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b/>
          <w:bCs/>
          <w:sz w:val="36"/>
          <w:szCs w:val="36"/>
        </w:rPr>
        <w:t>الجداول والأشكال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المرض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العرض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العلاج</w:t>
            </w:r>
          </w:p>
        </w:tc>
      </w:tr>
      <w:tr>
        <w:tc>
          <w:tcPr>
            <w:tcW w:type="dxa" w:w="2880"/>
          </w:tcPr>
          <w:p>
            <w:r>
              <w:t>الربو</w:t>
            </w:r>
          </w:p>
        </w:tc>
        <w:tc>
          <w:tcPr>
            <w:tcW w:type="dxa" w:w="2880"/>
          </w:tcPr>
          <w:p>
            <w:r>
              <w:t>وزيز</w:t>
            </w:r>
          </w:p>
        </w:tc>
        <w:tc>
          <w:tcPr>
            <w:tcW w:type="dxa" w:w="2880"/>
            <w:vMerge w:val="restart"/>
          </w:tcPr>
          <w:p>
            <w:r>
              <w:t>موسعات</w:t>
            </w:r>
          </w:p>
          <w:p>
            <w:r>
              <w:t>أوكسجين</w:t>
            </w:r>
          </w:p>
        </w:tc>
      </w:tr>
      <w:tr>
        <w:tc>
          <w:tcPr>
            <w:tcW w:type="dxa" w:w="2880"/>
          </w:tcPr>
          <w:p>
            <w:r>
              <w:t>COPD</w:t>
            </w:r>
          </w:p>
        </w:tc>
        <w:tc>
          <w:tcPr>
            <w:tcW w:type="dxa" w:w="2880"/>
          </w:tcPr>
          <w:p>
            <w:r>
              <w:t>سعال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8640"/>
            <w:gridSpan w:val="3"/>
          </w:tcPr>
          <w:p>
            <w:r>
              <w:t>ملاحظة عامة مدمجة</w:t>
            </w:r>
          </w:p>
        </w:tc>
      </w:tr>
    </w:tbl>
    <w:p>
      <w:pPr>
        <w:bidi/>
      </w:pPr>
      <w:r>
        <w:rPr>
          <w:b w:val="0"/>
        </w:rPr>
        <w:t>يعتبر هذا المرض من الأمراض الشائعة في الممارسة السريرية، ويجب على الطالب معرفة الأعراض والعلامات والتشخيص التفريقي بشكل جيد قبل الامتحان النهائي.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5001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001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5001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001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8"/>
              </w:rPr>
              <w:t>Figure 1: Acute inflammation</w:t>
            </w:r>
          </w:p>
        </w:tc>
        <w:tc>
          <w:tcPr>
            <w:tcW w:type="dxa" w:w="4320"/>
          </w:tcPr>
          <w:p>
            <w:r>
              <w:rPr>
                <w:b/>
                <w:sz w:val="28"/>
              </w:rPr>
              <w:t>الشكل 2: الالتهاب المزمن</w:t>
            </w:r>
          </w:p>
        </w:tc>
      </w:tr>
    </w:tbl>
    <w:p>
      <w:r>
        <w:rPr>
          <w:b/>
          <w:bCs/>
          <w:sz w:val="28"/>
          <w:szCs w:val="28"/>
        </w:rPr>
        <w:t>Figure 3: Standalone caption bold big</w:t>
      </w:r>
    </w:p>
    <w:p>
      <w:r>
        <w:drawing>
          <wp:inline xmlns:a="http://schemas.openxmlformats.org/drawingml/2006/main" xmlns:pic="http://schemas.openxmlformats.org/drawingml/2006/picture">
            <wp:extent cx="548640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</w:pPr>
      <w:r>
        <w:rPr>
          <w:b/>
          <w:bCs/>
          <w:sz w:val="28"/>
          <w:szCs w:val="28"/>
        </w:rPr>
        <w:t>الشكل 4: صورة مستقلة</w:t>
      </w:r>
    </w:p>
    <w:p>
      <w:pPr>
        <w:bidi/>
      </w:pPr>
      <w:r>
        <w:rPr>
          <w:b w:val="0"/>
        </w:rPr>
        <w:t>يعتبر هذا المرض من الأمراض الشائعة في الممارسة السريرية، ويجب على الطالب معرفة الأعراض والعلامات والتشخيص التفريقي بشكل جيد قبل الامتحان النهائي.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