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b/>
          <w:bCs/>
          <w:sz w:val="28"/>
          <w:szCs w:val="28"/>
        </w:rPr>
        <w:t>جامعة الشام الخاصة</w:t>
      </w:r>
    </w:p>
    <w:p>
      <w:pPr>
        <w:bidi/>
      </w:pPr>
      <w:r>
        <w:rPr>
          <w:b/>
          <w:bCs/>
          <w:sz w:val="56"/>
          <w:szCs w:val="56"/>
        </w:rPr>
        <w:t>علم الأمراض</w:t>
      </w:r>
    </w:p>
    <w:p>
      <w:pPr>
        <w:bidi/>
      </w:pPr>
      <w:r>
        <w:rPr>
          <w:b w:val="0"/>
          <w:sz w:val="24"/>
          <w:szCs w:val="24"/>
        </w:rPr>
        <w:t>د. أحمد</w:t>
      </w:r>
    </w:p>
    <w:p>
      <w:pPr>
        <w:bidi/>
      </w:pPr>
      <w:r>
        <w:rPr>
          <w:b/>
          <w:bCs/>
          <w:sz w:val="40"/>
          <w:szCs w:val="40"/>
        </w:rPr>
        <w:t>المحاضرة الأولى</w:t>
      </w:r>
    </w:p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p>
      <w:pPr>
        <w:bidi/>
      </w:pPr>
      <w:r>
        <w:rPr>
          <w:b/>
          <w:bCs/>
          <w:sz w:val="32"/>
          <w:szCs w:val="32"/>
        </w:rPr>
        <w:t>تعريف المرض</w:t>
      </w:r>
    </w:p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p>
      <w:pPr>
        <w:bidi/>
      </w:pPr>
      <w:r>
        <w:rPr>
          <w:b/>
          <w:bCs/>
          <w:sz w:val="40"/>
          <w:szCs w:val="40"/>
        </w:rPr>
        <w:t>المحاضرة الثانية</w:t>
      </w:r>
    </w:p>
    <w:p>
      <w:pPr>
        <w:bidi/>
      </w:pPr>
      <w:r>
        <w:rPr>
          <w:b w:val="0"/>
        </w:rPr>
        <w:t>يعتبر هذا المرض من الأمراض الشائعة في الممارسة السريرية، ويجب على الطالب معرفة الأعراض والعلامات والتشخيص التفريقي بشكل جيد قبل الامتحان النهائي.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