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360" w:line="240" w:lineRule="auto"/>
        <w:jc w:val="center"/>
      </w:pPr>
      <w:r>
        <w:drawing>
          <wp:inline distT="0" distB="0" distL="0" distR="0">
            <wp:extent cx="1362075" cy="1143000"/>
            <wp:effectExtent t="0" r="0" b="0" l="0"/>
            <wp:docPr id="1" name="logo" descr="شعار Random.MEd" title="Random.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20" w:lineRule="auto"/>
        <w:jc w:val="center"/>
      </w:pPr>
      <w:r>
        <w:rPr>
          <w:rFonts w:ascii="Times New Roman" w:cs="Simplified Arabic" w:eastAsia="Simplified Arabic" w:hAnsi="Times New Roman"/>
          <w:b/>
          <w:bCs/>
          <w:color w:val="141B2E"/>
          <w:sz w:val="54"/>
          <w:szCs w:val="54"/>
          <w:rtl/>
          <w:lang w:val="ar-SA" w:bidi="ar-SA"/>
        </w:rPr>
        <w:t xml:space="preserve">مبادئ الطب الشرعي والقضائي</w:t>
      </w:r>
    </w:p>
    <w:p>
      <w:pPr>
        <w:pBdr>
          <w:bottom w:val="thick" w:color="A9761E" w:sz="24" w:space="1"/>
        </w:pBdr>
        <w:spacing w:after="240" w:before="0"/>
        <w:ind w:start="2400" w:end="2400" w:left="2400" w:right="2400"/>
      </w:pPr>
    </w:p>
    <w:p>
      <w:pPr>
        <w:bidi/>
        <w:spacing w:after="600" w:before="0" w:line="360" w:lineRule="auto"/>
        <w:jc w:val="center"/>
      </w:pPr>
      <w:r>
        <w:rPr>
          <w:rFonts w:ascii="Times New Roman" w:cs="Simplified Arabic" w:eastAsia="Simplified Arabic" w:hAnsi="Times New Roman"/>
          <w:color w:val="595959"/>
          <w:sz w:val="32"/>
          <w:szCs w:val="32"/>
          <w:rtl/>
          <w:lang w:val="ar-SA" w:bidi="ar-SA"/>
        </w:rPr>
        <w:t xml:space="preserve">التفريغ النصي الأكاديمي الشامل للمحاضرات</w:t>
      </w:r>
    </w:p>
    <w:p>
      <w:pPr>
        <w:bidi/>
        <w:spacing w:after="0"/>
        <w:jc w:val="center"/>
      </w:pPr>
      <w:r>
        <w:rPr>
          <w:rFonts w:ascii="Times New Roman" w:cs="Simplified Arabic" w:eastAsia="Simplified Arabic" w:hAnsi="Times New Roman"/>
          <w:color w:val="7F7F7F"/>
          <w:sz w:val="24"/>
          <w:szCs w:val="24"/>
          <w:rtl/>
          <w:lang w:val="ar-SA" w:bidi="ar-SA"/>
        </w:rPr>
        <w:t xml:space="preserve">عدد المحاضرات: </w:t>
      </w:r>
      <w:r>
        <w:rPr>
          <w:rFonts w:ascii="Times New Roman" w:cs="Times New Roman" w:eastAsia="Times New Roman" w:hAnsi="Times New Roman"/>
          <w:color w:val="7F7F7F"/>
          <w:sz w:val="24"/>
          <w:szCs w:val="24"/>
          <w:rtl w:val="false"/>
          <w:lang w:val="en-US" w:bidi="ar-SA"/>
        </w:rPr>
        <w:t xml:space="preserve">1</w:t>
      </w:r>
    </w:p>
    <w:p>
      <w:pPr>
        <w:bidi w:val="false"/>
        <w:spacing w:after="0" w:before="2400"/>
        <w:jc w:val="center"/>
      </w:pPr>
      <w:r>
        <w:rPr>
          <w:rFonts w:ascii="Times New Roman" w:cs="Times New Roman" w:hAnsi="Times New Roman"/>
          <w:b/>
          <w:bCs/>
          <w:color w:val="A9761E"/>
          <w:sz w:val="28"/>
          <w:szCs w:val="28"/>
        </w:rPr>
        <w:t xml:space="preserve">Random.MEd</w:t>
      </w:r>
    </w:p>
    <w:p>
      <w:pPr>
        <w:pageBreakBefore/>
        <w:pBdr>
          <w:top w:val="single" w:color="141B2E" w:sz="6" w:space="4"/>
          <w:bottom w:val="single" w:color="141B2E" w:sz="6" w:space="4"/>
          <w:left w:val="single" w:color="141B2E" w:sz="6" w:space="4"/>
          <w:right w:val="single" w:color="141B2E" w:sz="6" w:space="4"/>
        </w:pBdr>
        <w:shd w:fill="141B2E" w:color="auto" w:val="clear"/>
        <w:bidi/>
        <w:spacing w:after="200" w:before="0" w:line="300" w:lineRule="auto"/>
        <w:jc w:val="center"/>
      </w:pPr>
      <w:r>
        <w:rPr>
          <w:rFonts w:ascii="Times New Roman" w:cs="Simplified Arabic" w:eastAsia="Simplified Arabic" w:hAnsi="Times New Roman"/>
          <w:b/>
          <w:bCs/>
          <w:color w:val="FFFFFF"/>
          <w:sz w:val="32"/>
          <w:szCs w:val="32"/>
          <w:rtl/>
          <w:lang w:val="ar-SA" w:bidi="ar-SA"/>
        </w:rPr>
        <w:t xml:space="preserve">فهرس المحاضرات ومحاورها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2300"/>
            <w:shd w:fill="141B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المحاضرة</w:t>
            </w:r>
          </w:p>
        </w:tc>
        <w:tc>
          <w:tcPr>
            <w:tcW w:type="dxa" w:w="6770"/>
            <w:shd w:fill="141B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المحاور الرئيسية</w:t>
            </w:r>
          </w:p>
        </w:tc>
      </w:tr>
      <w:tr>
        <w:trPr>
          <w:cantSplit/>
        </w:trPr>
        <w:tc>
          <w:tcPr>
            <w:tcW w:type="dxa" w:w="2300"/>
            <w:shd w:fill="F6EED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3"/>
                <w:szCs w:val="23"/>
                <w:rtl/>
                <w:lang w:val="ar-SA" w:bidi="ar-SA"/>
              </w:rPr>
              <w:t xml:space="preserve">المحاضرة الرابعة</w:t>
            </w:r>
          </w:p>
        </w:tc>
        <w:tc>
          <w:tcPr>
            <w:tcW w:type="dxa" w:w="67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أولاً: التمييز الطبي الشرعي بين الموت الدماغي والحالات الأخرى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ثانياً: الموت المفاجئ غير المتوقع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(Sudden Unexpected Death)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ثالثاً: أسباب الموت المفاجئ (المنظومة القلبية الوعائية)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رابعاً: أمراض الشرايين الإكليلية المسببة للموت المفاجئ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خامساً: أمراض واعتلالات العضلة القلبية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(Cardiomyopathies)</w:t>
            </w:r>
          </w:p>
        </w:tc>
      </w:tr>
    </w:tbl>
    <w:p>
      <w:pPr>
        <w:sectPr>
          <w:pgSz w:w="11906" w:h="16838" w:orient="portrait"/>
          <w:pgMar w:top="1418" w:right="1418" w:bottom="1418" w:left="1418" w:header="709" w:footer="709" w:gutter="0"/>
          <w:pgNumType/>
          <w:bidi/>
          <w:docGrid w:linePitch="360"/>
        </w:sectPr>
      </w:pPr>
    </w:p>
    <w:p>
      <w:pPr>
        <w:pStyle w:val="Heading1"/>
        <w:keepNext/>
        <w:pBdr>
          <w:top w:val="single" w:color="141B2E" w:sz="6" w:space="6"/>
          <w:bottom w:val="single" w:color="141B2E" w:sz="6" w:space="6"/>
          <w:left w:val="single" w:color="141B2E" w:sz="6" w:space="6"/>
          <w:right w:val="single" w:color="141B2E" w:sz="6" w:space="6"/>
        </w:pBdr>
        <w:shd w:fill="141B2E" w:color="auto" w:val="clear"/>
        <w:bidi/>
        <w:spacing w:after="200" w:before="0" w:line="320" w:lineRule="auto"/>
        <w:jc w:val="center"/>
      </w:pPr>
      <w:bookmarkStart w:name="BODY_START" w:id="1"/>
      <w:bookmarkEnd w:id="1"/>
      <w:r>
        <w:rPr>
          <w:rFonts w:ascii="Times New Roman" w:cs="Simplified Arabic" w:eastAsia="Simplified Arabic" w:hAnsi="Times New Roman"/>
          <w:b/>
          <w:bCs/>
          <w:color w:val="FFFFFF"/>
          <w:sz w:val="36"/>
          <w:szCs w:val="36"/>
          <w:rtl/>
          <w:lang w:val="ar-SA" w:bidi="ar-SA"/>
        </w:rPr>
        <w:t xml:space="preserve">التفريغ النصي الأكاديمي الشامل: المحاضرة الرابعة - مبادئ الطب الشرعي والقضائي</w:t>
      </w:r>
    </w:p>
    <w:p>
      <w:pPr>
        <w:pBdr>
          <w:top w:val="single" w:color="BFBFBF" w:sz="6" w:space="5"/>
          <w:bottom w:val="single" w:color="BFBFBF" w:sz="6" w:space="5"/>
          <w:left w:val="single" w:color="BFBFBF" w:sz="6" w:space="5"/>
          <w:right w:val="single" w:color="BFBFBF" w:sz="6" w:space="5"/>
        </w:pBdr>
        <w:shd w:fill="F2F2F2" w:color="auto" w:val="clear"/>
        <w:bidi/>
        <w:spacing w:after="240" w:before="0" w:line="324" w:lineRule="auto"/>
        <w:jc w:val="both"/>
      </w:pP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إليك التفريغ النصي الحرفي والشامل والمنظم أكاديمياً لمحتوى المحاضرة الرابعة من مادة 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"مبادئ الطب الشرعي والقضائي"</w:t>
      </w: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 (المصدر: 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شرعي نظري </w:t>
      </w:r>
      <w:r>
        <w:rPr>
          <w:rFonts w:ascii="Times New Roman" w:cs="Times New Roman" w:eastAsia="Times New Roman" w:hAnsi="Times New Roman"/>
          <w:b/>
          <w:bCs/>
          <w:color w:val="262626"/>
          <w:sz w:val="22"/>
          <w:szCs w:val="22"/>
          <w:rtl w:val="false"/>
          <w:lang w:val="en-US" w:bidi="ar-SA"/>
        </w:rPr>
        <w:t xml:space="preserve">1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-٤.</w:t>
      </w:r>
      <w:r>
        <w:rPr>
          <w:rFonts w:ascii="Times New Roman" w:cs="Times New Roman" w:eastAsia="Times New Roman" w:hAnsi="Times New Roman"/>
          <w:b/>
          <w:bCs/>
          <w:color w:val="262626"/>
          <w:sz w:val="22"/>
          <w:szCs w:val="22"/>
          <w:rtl w:val="false"/>
          <w:lang w:val="en-US" w:bidi="ar-SA"/>
        </w:rPr>
        <w:t xml:space="preserve">‎m4a‎</w:t>
      </w: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)، مع الالتزام التام بكافة القواعد الأكاديمية وصياغتها بلغة عربية فصحى رصينة دون اختصار أو إيجاز.</w:t>
      </w: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أولاً: التمييز الطبي الشرعي بين الموت الدماغي والحالات الأخرى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المظاهر الحيوية الكاذبة والموت الدماغي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طبيعة المظاهر الحيوية تحت التهوية الآلية: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عند تشخيص الموت الدماغي رسمياً لدى مريض موجود في وحدة العناية المشددة وموصول بجهاز التنفس الاصطناعي (المنفسة الآلية)، فإن استمرار وجود النبض، الضغط الشرياني، والحرارة الجسدية يُعد مجرد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"مظاهر كاذبة للحياة"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ناتجة عن الدعم الآلي وليست دليلاً على بقاء الشخص على قيد الحياة.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التكييف القانوني والأخلاقي لرفع أجهزة الدعم: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إن فصل أجهزة التهوية الآلية عن الشخص المتوفى دماغياً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لا يُعد إطلاقاً من قبيل القتل الرحيم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(Euthanasia)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؛ لأن الشخص يُعد متوفى حكماً وقانوناً وطبياً قبل رفع الجهاز، وإنما يتم إيقاف الأجهزة لانتفاء صفة الحياة الحقيقية ولإتاحة الفرصة لاستغلال أجهزة وسرة العناية المشددة لإنقاذ مرضى آخرين أحياء.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التمييز بين الموت الدماغي والحالة النباتية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(Vegetative State)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842"/>
        <w:gridCol w:w="3094"/>
        <w:gridCol w:w="4134"/>
      </w:tblGrid>
      <w:tr>
        <w:trPr>
          <w:cantSplit/>
          <w:tblHeader/>
        </w:trPr>
        <w:tc>
          <w:tcPr>
            <w:tcW w:type="dxa" w:w="1842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وجه المقارنة</w:t>
            </w:r>
          </w:p>
        </w:tc>
        <w:tc>
          <w:tcPr>
            <w:tcW w:type="dxa" w:w="309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الموت الدماغي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  <w:rtl w:val="false"/>
                <w:lang w:val="en-US" w:bidi="ar-SA"/>
              </w:rPr>
              <w:t xml:space="preserve">(Brain Death)</w:t>
            </w:r>
          </w:p>
        </w:tc>
        <w:tc>
          <w:tcPr>
            <w:tcW w:type="dxa" w:w="413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الحالة النباتية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  <w:rtl w:val="false"/>
                <w:lang w:val="en-US" w:bidi="ar-SA"/>
              </w:rPr>
              <w:t xml:space="preserve">(Vegetative State)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طبيعة الضرر الدماغي</w:t>
            </w:r>
          </w:p>
        </w:tc>
        <w:tc>
          <w:tcPr>
            <w:tcW w:type="dxa" w:w="30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تموت كامل وشامل للدماغ وجذعه بشكل غير عكوس</w:t>
            </w:r>
          </w:p>
        </w:tc>
        <w:tc>
          <w:tcPr>
            <w:tcW w:type="dxa" w:w="41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أذية في القشر الدماغي مع بقاء جذع الدماغ يعمل جزئياً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إمكانية التحسن أو الشفاء</w:t>
            </w:r>
          </w:p>
        </w:tc>
        <w:tc>
          <w:tcPr>
            <w:tcW w:type="dxa" w:w="309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معدومة تماماً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(توقف نهائي وغير عكوس)</w:t>
            </w:r>
          </w:p>
        </w:tc>
        <w:tc>
          <w:tcPr>
            <w:tcW w:type="dxa" w:w="413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ممكّنة ومحتملة (قد يتحسن المريض أو يستعيد بعض الوظائف)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التكييف القانوني للوفاة</w:t>
            </w:r>
          </w:p>
        </w:tc>
        <w:tc>
          <w:tcPr>
            <w:tcW w:type="dxa" w:w="30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شخص متوفى رسمياً وقانونياً</w:t>
            </w:r>
          </w:p>
        </w:tc>
        <w:tc>
          <w:tcPr>
            <w:tcW w:type="dxa" w:w="41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شخص حي يخضع للعلاج والمتابعة الطبية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ثانياً: الموت المفاجئ غير المتوقع </w:t>
      </w:r>
      <w:r>
        <w:rPr>
          <w:rFonts w:ascii="Times New Roman" w:cs="Times New Roman" w:eastAsia="Times New Roman" w:hAnsi="Times New Roman"/>
          <w:b/>
          <w:bCs/>
          <w:color w:val="141B2E"/>
          <w:sz w:val="30"/>
          <w:szCs w:val="30"/>
          <w:rtl w:val="false"/>
          <w:lang w:val="en-US" w:bidi="ar-SA"/>
        </w:rPr>
        <w:t xml:space="preserve">(Sudden Unexpected Death)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التعريف الأكاديمي والزمني للموت المفاجئ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تعريف الموت المفاجئ: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هو الموت الطبيعي السريع غير المتوقع الذي يحدث لدى شخص كان يبدو ظاهرياً بصحة جيدة وسليمة، ودون وجود إشراف طبي مباشر أو علامات مرضية سابقة معروفة.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التصنيف الزمني للموت المفاجئ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ينقسم الموت المفاجئ بحسب الظروف الزمنية ووجود الشهود إلى ثلاثة أنماط رئيسية: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45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الآني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(Instantaneous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يحدث فوراً وفي نفس اللحظة (خلال ثوانٍ) أثناء ممارسة الشخص لنشاطه الطبيعي (مثل سقوط الشخص فجأة وتوفيه أثناء حديثه مع الآخرين).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السريع في الحالات المشهودة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(Witnessed Rapid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يحدث في الحالات التي يوجد فيها شهود عيان، وتتطور فيها الوفاة خلال مدة أقصاها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ساعة واحدة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‎(1 hour)‎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من بدايه ظهور الأعراض الجسدية المفاجئة (مثل الشعور بألم صدري أو بطني حاد أثناء تناول الطعام وتدهور الحالة والوفاة قبل الوصول للمستشفى).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المفاجئ في الحالات غير المشهودة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(Unwitnessed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يُصنف الموت بأنه مفاجئ إذا كانت الحادثة غير مشهودة (غياب الشهود) ووقعت الوفاة خلال مدة أقصاها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24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ساعة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من آخر مرة شوهد فيها الشخص حياً وبصحة جيدة (مثل دخول الشخص لمنزله مساءً والعثور عليه متوفياً في الصباح التالي).</w:t>
            </w:r>
          </w:p>
        </w:tc>
      </w:tr>
    </w:tbl>
    <w:p>
      <w:pPr>
        <w:spacing w:after="60" w:before="0" w:line="12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الأنماط الزمنية للموت المفاجئ غير المتوقع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700"/>
        <w:gridCol w:w="1700"/>
        <w:gridCol w:w="3051"/>
        <w:gridCol w:w="2619"/>
      </w:tblGrid>
      <w:tr>
        <w:trPr>
          <w:cantSplit/>
          <w:tblHeader/>
        </w:trPr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النمط الزمني</w:t>
            </w:r>
          </w:p>
        </w:tc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وجود الشهود</w:t>
            </w:r>
          </w:p>
        </w:tc>
        <w:tc>
          <w:tcPr>
            <w:tcW w:type="dxa" w:w="3051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الإطار الزمني لتطور الوفاة</w:t>
            </w:r>
          </w:p>
        </w:tc>
        <w:tc>
          <w:tcPr>
            <w:tcW w:type="dxa" w:w="2619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مثال تطبيقي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الآني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مشهود</w:t>
            </w:r>
          </w:p>
        </w:tc>
        <w:tc>
          <w:tcPr>
            <w:tcW w:type="dxa" w:w="30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فورياً (خلال لحظات/ثوانٍ)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السقوط والوفاة المفاجئة أثناء الحديث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السريع المشهود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مشهود</w:t>
            </w:r>
          </w:p>
        </w:tc>
        <w:tc>
          <w:tcPr>
            <w:tcW w:type="dxa" w:w="3051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خلال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ساعة واحدة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من ظهور الأعراض</w:t>
            </w:r>
          </w:p>
        </w:tc>
        <w:tc>
          <w:tcPr>
            <w:tcW w:type="dxa" w:w="2619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ألم صدري مفاجئ يؤدي للوفاة خلال دقائق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غير المشهود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غير مشهود</w:t>
            </w:r>
          </w:p>
        </w:tc>
        <w:tc>
          <w:tcPr>
            <w:tcW w:type="dxa" w:w="30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خلال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24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ساعة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من آخر مشاهدة حية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العثور على شخص متوفياً في شقته صباحاً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ثالثاً: أسباب الموت المفاجئ (المنظومة القلبية الوعائية)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تُعزى معظم حالات الموت المفاجئ إلى أذية الأعضاء الحياتية الثلاثة (القلب، الدماغ، الرئتان).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نسبة الأسباب القلبية الوعائية: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تشكل الأسباب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القلبية الوعائية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(Cardiovascular Causes)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ما نسبته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‎80%‎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من إجمالي حالات الموت المفاجئ غير المتوقع في الطب الشرعي.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تُصنف الأسباب القلبية بحسب الطبقات البنيوية للقلب من الخرج إلى الداخل: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5"/>
        <w:gridCol w:w="6000"/>
        <w:gridCol w:w="1535"/>
      </w:tblGrid>
      <w:tr>
        <w:trPr>
          <w:cantSplit/>
        </w:trPr>
        <w:tc>
          <w:tcPr>
            <w:tcW w:type="dxa" w:w="1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6000"/>
            <w:tcBorders>
              <w:top w:val="single" w:color="141B2E" w:sz="8"/>
              <w:left w:val="single" w:color="141B2E" w:sz="8"/>
              <w:bottom w:val="single" w:color="141B2E" w:sz="8"/>
              <w:right w:val="single" w:color="141B2E" w:sz="8"/>
            </w:tcBorders>
            <w:shd w:fill="141B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الأسباب القلبية الوعائية للموت المفاجئ</w:t>
            </w:r>
          </w:p>
        </w:tc>
        <w:tc>
          <w:tcPr>
            <w:tcW w:type="dxa" w:w="1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</w:tr>
    </w:tbl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64"/>
        <w:gridCol w:w="240"/>
        <w:gridCol w:w="2863"/>
        <w:gridCol w:w="240"/>
        <w:gridCol w:w="2863"/>
      </w:tblGrid>
      <w:tr>
        <w:trPr>
          <w:cantSplit/>
        </w:trPr>
        <w:tc>
          <w:tcPr>
            <w:tcW w:type="dxa" w:w="2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2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2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التامور والطبقة الخارجية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</w:p>
        </w:tc>
        <w:tc>
          <w:tcPr>
            <w:tcW w:type="dxa" w:w="2863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‎2.‎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الشرايين الإكليلية (الأشيع)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</w:p>
        </w:tc>
        <w:tc>
          <w:tcPr>
            <w:tcW w:type="dxa" w:w="2863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‎3.‎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العضلة القلبية (الاعتلالات)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رابعاً: أمراض الشرايين الإكليلية المسببة للموت المفاجئ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تُعد أمراض الشرايين الإكليلية المسبب الرئيسي والأول للوفيات القلبية المفاجئة: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تصلب وتضيق الشرايين الإكليلية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(Coronary Atherosclerosis)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 الإمراضية: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يسبب التصلب العصيدي تضيقاً في لمعة الشريان الإكليلي، مما يؤدي إلى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نقص التروية الدموية الحاد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(Acute Ischemia)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وبالتالي حدوث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احتشاء العضلة القلبية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(Myocardial Infarction)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أو اضطرابات نظم قاتلة.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النسبة الحرجة للتضيق الإكليلي: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لكي يتسبب التضيق الإكليلي في حدوث نقص تروية حاد وموت مفاجئ في حالة الراحة، يجب أن تزيد نسبة التضيق في لمعة الشريان عن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‎75%‎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(أكثر من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‎75%‎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 أما التضيقات التي بلغت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‎50%‎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فقد تظهر أعراضها فقط عند الجهد الشديد.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التوزيع التشريحي ونسب وقوع التصلب في الشرايين الإكليلية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تحدث التضيقات العصيدية بشكل انتقائي في أماكن محددة من الشرايين الإكليلية وفق النسب التالية: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45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الإكليلي النازل الأمامي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Anterior Descending Artery - LAD)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ينشأ من جذع الشريان الإكليلي الأيسر (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Left Main Trunk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الذي يبلغ طوله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سم).</w:t>
            </w:r>
          </w:p>
          <w:p>
            <w:pPr>
              <w:pBdr>
                <w:top w:val="single" w:color="BF9000" w:sz="8" w:space="4"/>
                <w:bottom w:val="single" w:color="BF9000" w:sz="8" w:space="4"/>
                <w:left w:val="single" w:color="BF9000" w:sz="8" w:space="4"/>
                <w:right w:val="single" w:color="BF9000" w:sz="8" w:space="4"/>
              </w:pBdr>
              <w:shd w:fill="FFF2CC" w:color="auto" w:val="clear"/>
              <w:bidi/>
              <w:spacing w:after="140" w:before="80" w:line="360" w:lineRule="auto"/>
              <w:ind w:start="100" w:end="100" w:left="100" w:right="100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shd w:fill="C00000" w:color="auto" w:val="clear"/>
                <w:rtl/>
                <w:lang w:val="ar-SA" w:bidi="ar-SA"/>
              </w:rPr>
              <w:t xml:space="preserve">[هام جداً]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تحدث التضيقات في الجزء الأول منه (على بعد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سم من بدايته)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‎45%‎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‎65%‎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(وهو الموقع الأشيع إطلاقاً).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التسمية الشائعة: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يُطلق عليه اسم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"صانع الأرامل"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(Widow Maker)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لخطورة التضيق فيه وتسببه بالموت المفاجئ.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الإكليلي الايمن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(Right Coronary Artery - RCA)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يلتف حول الحافة اليمنى للقلب ويتمادى بالشريان النازل الخلفي (الذي يحدد سيطرة الشريان).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عند الحافة اليمنى وبدايته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‎25%‎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‎35%‎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المنعكس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Circumflex Artery - LCx)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في بدايته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4.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جذع الشريان الإكليلي الأيسر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Main Coronary Trunk)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في بدايته بعد المخرج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(Ostium)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</w:tbl>
    <w:p>
      <w:pPr>
        <w:spacing w:after="60" w:before="0" w:line="12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التوزيع التشريحي لتضيقات الشرايين الإكليلية العصيدية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2295"/>
        <w:gridCol w:w="2448"/>
        <w:gridCol w:w="1700"/>
        <w:gridCol w:w="2627"/>
      </w:tblGrid>
      <w:tr>
        <w:trPr>
          <w:cantSplit/>
          <w:tblHeader/>
        </w:trPr>
        <w:tc>
          <w:tcPr>
            <w:tcW w:type="dxa" w:w="2295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الشريان الإكليلي</w:t>
            </w:r>
          </w:p>
        </w:tc>
        <w:tc>
          <w:tcPr>
            <w:tcW w:type="dxa" w:w="244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موقع التضيق الشائع</w:t>
            </w:r>
          </w:p>
        </w:tc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نسبة الحدوث</w:t>
            </w:r>
          </w:p>
        </w:tc>
        <w:tc>
          <w:tcPr>
            <w:tcW w:type="dxa" w:w="2627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التسمية المميزة / الملاحظة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النازل الأمامي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(LAD)</w:t>
            </w:r>
          </w:p>
        </w:tc>
        <w:tc>
          <w:tcPr>
            <w:tcW w:type="dxa" w:w="2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الجزء الأول (أول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سم من بدايته)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‎45%‎ - ‎65%‎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(الأشيع)</w:t>
            </w:r>
          </w:p>
        </w:tc>
        <w:tc>
          <w:tcPr>
            <w:tcW w:type="dxa" w:w="26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يُسمى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"صانع الأرامل"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(Widow Maker)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الإكليلي الأيمن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(RCA)</w:t>
            </w:r>
          </w:p>
        </w:tc>
        <w:tc>
          <w:tcPr>
            <w:tcW w:type="dxa" w:w="244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عند الحافة اليمنى وبدايته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‎25%‎ - ‎35%‎</w:t>
            </w:r>
          </w:p>
        </w:tc>
        <w:tc>
          <w:tcPr>
            <w:tcW w:type="dxa" w:w="262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يتمادى غالباً بالنازل الخلفي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(Dominant)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الشريان المنعكس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(LCx)</w:t>
            </w:r>
          </w:p>
        </w:tc>
        <w:tc>
          <w:tcPr>
            <w:tcW w:type="dxa" w:w="2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عند بدايات الشريان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‎5%‎ - ‎10%‎</w:t>
            </w:r>
          </w:p>
        </w:tc>
        <w:tc>
          <w:tcPr>
            <w:tcW w:type="dxa" w:w="26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ينشأ من الجذع الأيسر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جذع الإكليلي الأيسر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(Trunk)</w:t>
            </w:r>
          </w:p>
        </w:tc>
        <w:tc>
          <w:tcPr>
            <w:tcW w:type="dxa" w:w="244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بعد مخرجه المباشر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‎1%‎ - ‎10%‎</w:t>
            </w:r>
          </w:p>
        </w:tc>
        <w:tc>
          <w:tcPr>
            <w:tcW w:type="dxa" w:w="262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يبلغ طوله الأصلي (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سم)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‎4.‎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أمراض الشرايين الإكليلية غير العصيدية (المسببة لموت الشباب)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تصلب الشرايين شائع بعد سن الثلاثين، بينما تُعزى الوفاة المفاجئة الإكليلية لدى الشباب (دون سن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30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) إلى حالات أخرى: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أ. الجسور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(Myocardial Bridging / Bridging)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التشريح والمرض: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الشرايين الإكليلية تسير طبيعياً على سطح القلب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(Epicardium)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 في حالة الجسور الإكليلية، يغوص الشريان النازل الأمامي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(LAD)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داخل عمق العضلة القلبية.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 الفيزيولوجية: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أثناء الانقباض السيني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(Systole)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ينضغط الشريان. وبما أن العضلة القلبية تتغذى أساساً أثناء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الانبساط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(Diastole)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فإن الحالة تكون سليمة في الراحة.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آلية الموت المفاجئ: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عند ممارسة الجهد الفيزيائي الشديد، يقل زمن الانبساط القلبية بدرجة كبيرة، مما يؤدي إلى نقص تروية حاد ينجم عنه اضطراب نظم قاتل وموت مفاجئ.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ب. التشوهات الولادية في الشرايين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(Congenital Coronary Anomalies)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المفهوم: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خروج الشرايين الإكليلية من غير مواقعها التشريحية الطبيعية (مثل خروج الشريان الأيسر والأيمن من فتحة واحدة فوق الوريقة الدسامية اليمنى وتغير مساره).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الفئة المستهدفة: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تُسبب الموت المفاجئ لدى الشباب بعمر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18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إلى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25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سنة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(خاصة بين الرياضيين والعساكر أثناء التدريبات القاسية).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ج. أم الدم المسلخة في الشرايين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(Coronary Artery Dissection)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النمط الثانوي: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ناجم عن امتيداد تسلخ الشريان الأبهر الصاعد، أو ناجم عن رد مباشر على الصدر، أو خطأ رضي أثناء عمليات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قسطرة الشرايين الإكليلية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النمط العفوي البدئي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(Spontaneous Dissection)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يحدث بنسبة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‎80%‎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لدى النساء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500" w:end="100" w:left="5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التوقيت الخطر لحدث أم الدم المسلخة العفوية: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تظهر حصراً خلال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فترة النفاس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والشهر الأخير قبل الولادة، والأشهر الأولى بعد الولادة.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‎5.‎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الأسباب الإكليلية للموت المفاجئ عند الشباب (دون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30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سنة)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828"/>
        <w:gridCol w:w="3114"/>
        <w:gridCol w:w="4128"/>
      </w:tblGrid>
      <w:tr>
        <w:trPr>
          <w:cantSplit/>
          <w:tblHeader/>
        </w:trPr>
        <w:tc>
          <w:tcPr>
            <w:tcW w:type="dxa" w:w="182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المرض الإكليلي</w:t>
            </w:r>
          </w:p>
        </w:tc>
        <w:tc>
          <w:tcPr>
            <w:tcW w:type="dxa" w:w="311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الآلية والمظهر التشريحي</w:t>
            </w:r>
          </w:p>
        </w:tc>
        <w:tc>
          <w:tcPr>
            <w:tcW w:type="dxa" w:w="412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الفئة الأكثر عرضة / ظروف الحدوث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الجسور الإكليلية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(Bridging)</w:t>
            </w:r>
          </w:p>
        </w:tc>
        <w:tc>
          <w:tcPr>
            <w:tcW w:type="dxa" w:w="3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انغماس الشريان الإكليلي في عمق العضلة القلبية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تحدث الوفاة أثناء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الجهد الفيزيائي الشديد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(نقص زمن الانبساط)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التشوهات الولادية</w:t>
            </w:r>
          </w:p>
        </w:tc>
        <w:tc>
          <w:tcPr>
            <w:tcW w:type="dxa" w:w="311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شذوذ منشأ ومسار الشرايين الإكليلية</w:t>
            </w:r>
          </w:p>
        </w:tc>
        <w:tc>
          <w:tcPr>
            <w:tcW w:type="dxa" w:w="412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الشباب بعمر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‎18‎-‎25‎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سنة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(الرياضيون والعساكر)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أم الدم المسلخة العفوية</w:t>
            </w:r>
          </w:p>
        </w:tc>
        <w:tc>
          <w:tcPr>
            <w:tcW w:type="dxa" w:w="3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تسلخ تلقائي في جدار الشريان الإكليلي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النساء (بنسبة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‎80%‎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)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خلال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فترة النفاس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وما حول الولادة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خامساً: أمراض واعتلالات العضلة القلبية </w:t>
      </w:r>
      <w:r>
        <w:rPr>
          <w:rFonts w:ascii="Times New Roman" w:cs="Times New Roman" w:eastAsia="Times New Roman" w:hAnsi="Times New Roman"/>
          <w:b/>
          <w:bCs/>
          <w:color w:val="141B2E"/>
          <w:sz w:val="30"/>
          <w:szCs w:val="30"/>
          <w:rtl w:val="false"/>
          <w:lang w:val="en-US" w:bidi="ar-SA"/>
        </w:rPr>
        <w:t xml:space="preserve">(Cardiomyopathies)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التعريف الأكاديمي لإعتلال العضلة القلبية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تعريف اعتلال العضلة القلبية: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هو اضطراب وظيفي وبنيوي في العضلة القلبية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غير ناجم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 ارتفاع الضغط الشرياني، ولا عن نقص التروية الإكليلي، ولا عن أمراض الصمامات القلبية، ولا عن التشوهات الولادية البنيوية.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أنواع اعتلالات العضلة القلبية الرئيسية الثلاثة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أ. الاعتلال التوسعي الاحتقاني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(Dilated / Congestive Cardiomyopathy)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المظاهر التشريحية: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توسع وتضخم كبير في جميع حجرات القلب (البطينين والاذينين)، حيث قد يصل وزن القلب إلى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‎700‎ - ‎1000‎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غرام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(الوزن الطبيعي نحو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300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غرام).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آلية الوفاة: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حدوث رجفان بطيني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(Ventricular Fibrillation)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واضطرابات نظم قاتلة.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الأسباب الرئيسية:</w:t>
      </w:r>
    </w:p>
    <w:tbl>
      <w:tblPr>
        <w:bidiVisual/>
        <w:tblW w:type="dxa" w:w="8670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05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الكحولية المزمنة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(Chronic Alcoholism)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تُعد السبب الأكثر أهمية وشيوعاً.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السموم والادوية: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التعرض لمادة الكوبالت (المضافة للكحول)، أو عقار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الأدريامايسين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(Adriamycin)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المستخدم في علاج السرطانات.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اعتلال فترة النفاس: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يحدث لدى النساء خلال فترة النفاس وحتى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6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أشهر بعد الولادة (وغالبيتهن يشفين بعد سنة).</w:t>
            </w:r>
          </w:p>
        </w:tc>
      </w:tr>
    </w:tbl>
    <w:p>
      <w:pPr>
        <w:spacing w:after="60" w:before="0" w:line="120"/>
      </w:pP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ب. الاعتلال الضخامي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(Hypertrophic Cardiomyopathy - HCM)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الصفة الوراثية للاعتلال الضخامي: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يُعد هذا النوع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مرضاً عائلياً وراثياً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(Familial)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بامتياز. عند تشخيص حالة وفاة بهذا المرض أثناء التشريح، يتوجب حتماً فحص أشقاء وأقارب المتوفى.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المظهر التشريحي: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ضخامة شديدة غير متناظرة في جدران البطين والحاجز بين البطينين (خاصة المنطقة تحت الأبهرية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Subaortic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الأهمية: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يُعد من أهم أسباب الموت المفاجئ لدى الشباب والرياضيين.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ج. الاعتلال الحاصر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(Restrictive Cardiomyopathy)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ناجم عن ارتشاح العضلة القلبية بمواد غريبة مثل (الداء النشاواني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Amyloidosis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الساركويئيد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Sarcoidosis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أو أدواء تخزين الجليكوجين).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الموقف الطبي الشرعي: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مرضي مزمن بطيء،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لا يسبب الموت المفاجئ إطلاقاً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ولا يشكل أهمية في ممارسة الطب الشرعي.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أنواع اعتلالات العضلة القلبية الثلاثة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700"/>
        <w:gridCol w:w="2754"/>
        <w:gridCol w:w="2439"/>
        <w:gridCol w:w="2177"/>
      </w:tblGrid>
      <w:tr>
        <w:trPr>
          <w:cantSplit/>
          <w:tblHeader/>
        </w:trPr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نوع الاعتلال</w:t>
            </w:r>
          </w:p>
        </w:tc>
        <w:tc>
          <w:tcPr>
            <w:tcW w:type="dxa" w:w="275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التغير التشريحي البارز</w:t>
            </w:r>
          </w:p>
        </w:tc>
        <w:tc>
          <w:tcPr>
            <w:tcW w:type="dxa" w:w="2439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المسبب الرئيسي</w:t>
            </w:r>
          </w:p>
        </w:tc>
        <w:tc>
          <w:tcPr>
            <w:tcW w:type="dxa" w:w="2177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إمكانية التسبب بالموت المفاجئ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التوسعي الاحتقاني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(Dilated)</w:t>
            </w:r>
          </w:p>
        </w:tc>
        <w:tc>
          <w:tcPr>
            <w:tcW w:type="dxa" w:w="275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توسع كافة الحجرات وزيادة الوزن (حتى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1000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غ)</w:t>
            </w:r>
          </w:p>
        </w:tc>
        <w:tc>
          <w:tcPr>
            <w:tcW w:type="dxa" w:w="2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الكحولية المزمنة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، أدوية السرطان (الأدريامايسين)، والنفاس</w:t>
            </w:r>
          </w:p>
        </w:tc>
        <w:tc>
          <w:tcPr>
            <w:tcW w:type="dxa" w:w="21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نعم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(رجفان بطيني واضطراب نظم)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الضخامي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(Hypertrophic)</w:t>
            </w:r>
          </w:p>
        </w:tc>
        <w:tc>
          <w:tcPr>
            <w:tcW w:type="dxa" w:w="275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ضخامة جدار البطين والحاجز تحت الأبهري</w:t>
            </w:r>
          </w:p>
        </w:tc>
        <w:tc>
          <w:tcPr>
            <w:tcW w:type="dxa" w:w="2439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وراثي عائلي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(Familial)</w:t>
            </w:r>
          </w:p>
        </w:tc>
        <w:tc>
          <w:tcPr>
            <w:tcW w:type="dxa" w:w="217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نعم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(أهم أسباب موت الرياضيين)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الحاصر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(Restrictive)</w:t>
            </w:r>
          </w:p>
        </w:tc>
        <w:tc>
          <w:tcPr>
            <w:tcW w:type="dxa" w:w="275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ارتشاح النسيج بالنشاواني أو الساركويئيد</w:t>
            </w:r>
          </w:p>
        </w:tc>
        <w:tc>
          <w:tcPr>
            <w:tcW w:type="dxa" w:w="2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أمراض ارتشاحية وتخزينية مزمنة</w:t>
            </w:r>
          </w:p>
        </w:tc>
        <w:tc>
          <w:tcPr>
            <w:tcW w:type="dxa" w:w="21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لا يسبب الموت المفاجئ</w:t>
            </w:r>
          </w:p>
        </w:tc>
      </w:tr>
    </w:tbl>
    <w:p>
      <w:pPr>
        <w:spacing w:after="120" w:before="0" w:line="200"/>
      </w:pPr>
    </w:p>
    <w:p>
      <w:pPr>
        <w:pBdr>
          <w:top w:val="dashed" w:color="A9761E" w:sz="6" w:space="5"/>
          <w:bottom w:val="dashed" w:color="A9761E" w:sz="6" w:space="5"/>
          <w:left w:val="dashed" w:color="A9761E" w:sz="6" w:space="5"/>
          <w:right w:val="dashed" w:color="A9761E" w:sz="6" w:space="5"/>
        </w:pBdr>
        <w:shd w:fill="EAF3F0" w:color="auto" w:val="clear"/>
        <w:bidi/>
        <w:spacing w:after="120" w:before="240" w:line="360" w:lineRule="auto"/>
        <w:jc w:val="both"/>
      </w:pPr>
      <w:r>
        <w:rPr>
          <w:rFonts w:ascii="Segoe UI Emoji" w:cs="Segoe UI Emoji" w:hAnsi="Segoe UI Emoji"/>
          <w:sz w:val="24"/>
          <w:szCs w:val="24"/>
          <w:rtl w:val="false"/>
          <w:lang w:val="en-US" w:bidi="ar-SA"/>
        </w:rPr>
        <w:t xml:space="preserve">💡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هل ترغب في تحويل هذا التفريغ النصي إلى بطاقات استذكار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(Flashcards)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للمراجعة السريعة، أو إنشاء اختبار تفاعلي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(Quiz)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لتأكيد الفهم؟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9" w:footer="709" w:gutter="0"/>
      <w:pgNumType w:start="1" w:fmt="decimal"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center"/>
    </w:pPr>
    <w:r>
      <w:rPr>
        <w:rFonts w:ascii="Times New Roman" w:cs="Simplified Arabic" w:eastAsia="Simplified Arabic" w:hAnsi="Times New Roman"/>
        <w:color w:val="7F7F7F"/>
        <w:sz w:val="20"/>
        <w:szCs w:val="20"/>
        <w:rtl/>
        <w:lang w:val="ar-SA" w:bidi="ar-SA"/>
      </w:rPr>
      <w:t xml:space="preserve">صفحة </w:t>
    </w:r>
    <w:r>
      <w:rPr>
        <w:rFonts w:ascii="Times New Roman" w:cs="Times New Roman" w:hAnsi="Times New Roman"/>
        <w:color w:val="7F7F7F"/>
        <w:sz w:val="20"/>
        <w:szCs w:val="20"/>
        <w:lang w:val="en-US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Simplified Arabic" w:eastAsia="Simplified Arabic" w:hAnsi="Times New Roman"/>
        <w:color w:val="BFBFBF"/>
        <w:sz w:val="20"/>
        <w:szCs w:val="20"/>
        <w:rtl/>
        <w:lang w:val="ar-SA" w:bidi="ar-SA"/>
      </w:rPr>
      <w:t xml:space="preserve">   ·   </w:t>
    </w:r>
    <w:r>
      <w:rPr>
        <w:rFonts w:ascii="Times New Roman" w:cs="Times New Roman" w:hAnsi="Times New Roman"/>
        <w:b/>
        <w:bCs/>
        <w:color w:val="A9761E"/>
        <w:sz w:val="20"/>
        <w:szCs w:val="20"/>
        <w:lang w:val="en-US"/>
      </w:rPr>
      <w:t xml:space="preserve">Random.MEd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49A" w:sz="6" w:space="4"/>
      </w:pBdr>
      <w:bidi/>
      <w:spacing w:after="0"/>
    </w:pPr>
    <w:r>
      <w:drawing>
        <wp:anchor distT="0" distB="0" distL="0" distR="0" simplePos="0" allowOverlap="1" behindDoc="1" locked="0" layoutInCell="1" relativeHeight="30480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048000"/>
          <wp:effectExtent t="0" r="0" b="0" l="0"/>
          <wp:wrapNone/>
          <wp:docPr id="1" name="watermark" descr="Random.MEd" title="علامة مائي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0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28600" cy="190500"/>
          <wp:effectExtent t="0" r="0" b="0" l="0"/>
          <wp:docPr id="1" name="logo" descr="شعار Random.MEd" title="Random.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Simplified Arabic" w:eastAsia="Simplified Arabic" w:hAnsi="Times New Roman"/>
        <w:sz w:val="20"/>
        <w:szCs w:val="20"/>
        <w:rtl/>
        <w:lang w:val="ar-SA" w:bidi="ar-SA"/>
      </w:rPr>
      <w:t xml:space="preserve">  </w:t>
    </w:r>
    <w:r>
      <w:rPr>
        <w:rFonts w:ascii="Times New Roman" w:cs="Simplified Arabic" w:eastAsia="Simplified Arabic" w:hAnsi="Times New Roman"/>
        <w:color w:val="7F7F7F"/>
        <w:sz w:val="20"/>
        <w:szCs w:val="20"/>
        <w:rtl/>
        <w:lang w:val="ar-SA" w:bidi="ar-SA"/>
      </w:rPr>
      <w:t xml:space="preserve">مبادئ الطب الشرعي والقضائي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start="360" w:left="360" w:hanging="280"/>
      </w:pPr>
      <w:rPr>
        <w:rFonts w:ascii="Arial" w:cs="Arial" w:hAnsi="Arial"/>
        <w:color w:val="A9761E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start="760" w:left="760" w:hanging="280"/>
      </w:pPr>
      <w:rPr>
        <w:rFonts w:ascii="Arial" w:cs="Arial" w:hAnsi="Arial"/>
        <w:color w:val="A9761E"/>
        <w:sz w:val="18"/>
        <w:szCs w:val="18"/>
      </w:rPr>
    </w:lvl>
    <w:lvl w:ilvl="2" w15:tentative="1">
      <w:start w:val="1"/>
      <w:numFmt w:val="bullet"/>
      <w:lvlText w:val="■"/>
      <w:lvlJc w:val="left"/>
      <w:pPr>
        <w:ind w:start="1160" w:left="1160" w:hanging="280"/>
      </w:pPr>
      <w:rPr>
        <w:rFonts w:ascii="Arial" w:cs="Arial" w:hAnsi="Arial"/>
        <w:color w:val="A9761E"/>
        <w:sz w:val="18"/>
        <w:szCs w:val="18"/>
      </w:rPr>
    </w:lvl>
    <w:lvl w:ilvl="3" w15:tentative="1">
      <w:start w:val="1"/>
      <w:numFmt w:val="bullet"/>
      <w:lvlText w:val="▪"/>
      <w:lvlJc w:val="left"/>
      <w:pPr>
        <w:ind w:start="1560" w:left="1560" w:hanging="280"/>
      </w:pPr>
      <w:rPr>
        <w:rFonts w:ascii="Arial" w:cs="Arial" w:hAnsi="Arial"/>
        <w:color w:val="A9761E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implified Arabic" w:eastAsia="Simplified Arabic" w:hAnsi="Times New Roman"/>
        <w:sz w:val="24"/>
        <w:szCs w:val="24"/>
        <w:lang w:val="ar-SA" w:bidi="ar-SA"/>
      </w:rPr>
    </w:rPrDefault>
    <w:pPrDefault>
      <w:pPr>
        <w:bidi/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141B2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146B5D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8A5E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06ae622f2cc25b19565ef61d169f20574a75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06ae622f2cc25b19565ef61d169f20574a7514.png"/><Relationship Id="rId1" Type="http://schemas.openxmlformats.org/officeDocument/2006/relationships/image" Target="media/5f0b789ae38527259ae19c702ed47b0ee3388ac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مبادئ الطب الشرعي والقضائي</dc:title>
  <dc:creator>Random.MEd</dc:creator>
  <cp:lastModifiedBy>Un-named</cp:lastModifiedBy>
  <cp:revision>1</cp:revision>
  <dcterms:created xsi:type="dcterms:W3CDTF">2026-10-04T21:26:32.293Z</dcterms:created>
  <dcterms:modified xsi:type="dcterms:W3CDTF">2026-10-04T21:26:32.300Z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