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Voice Deepfake Detector Proposal</w:t>
      </w:r>
    </w:p>
    <w:p>
      <w:pPr>
        <w:pStyle w:val="Subtitle"/>
      </w:pPr>
      <w:r>
        <w:t>A reproducible study of detection reliability on unfamiliar speech</w:t>
      </w:r>
    </w:p>
    <w:p>
      <w:r>
        <w:t>Mohamad Abo-Ras  |  Project  |  AI Engineering Course  |  4 October 2026</w:t>
      </w:r>
    </w:p>
    <w:p>
      <w:pPr>
        <w:pStyle w:val="Heading2"/>
      </w:pPr>
      <w:r>
        <w:t>Project definition</w:t>
      </w:r>
    </w:p>
    <w:p>
      <w:r>
        <w:t>I will build an audio analysis system that estimates whether a short speech recording is bona fide human speech or speech produced by synthesis or voice conversion. I will compare a classical classifier with a spectrogram based Convolutional Neural Network (CNN), evaluate unfamiliar attacks and recording conditions, and deliver a working web demo with a transparent evaluation report.</w:t>
      </w:r>
    </w:p>
    <w:p>
      <w:r>
        <w:t>The intended user is an analyst reviewing a suspicious recording. The system will provide an assessment and evidence about its own measured reliability. A detector score cannot establish authenticity or identify a speaker. The project studies audio origin; it does not determine whether spoken claims are true.</w:t>
      </w:r>
    </w:p>
    <w:p>
      <w:pPr>
        <w:pStyle w:val="Heading2"/>
      </w:pPr>
      <w:r>
        <w:t>What makes this project strong</w:t>
      </w:r>
    </w:p>
    <w:p>
      <w:r>
        <w:t>The main contribution will be a reproducible comparison that shows both performance and failure: whether a model trained on one collection of synthetic speech transfers to unfamiliar attacks, and how compression and noise change its errors. The demo will show these evaluation findings alongside each assessment.</w:t>
      </w:r>
    </w:p>
    <w:p>
      <w:pPr>
        <w:pStyle w:val="Heading2"/>
      </w:pPr>
      <w:r>
        <w:t>Research questions</w:t>
      </w:r>
    </w:p>
    <w:p>
      <w:pPr>
        <w:pStyle w:val="ListBullet"/>
      </w:pPr>
      <w:r>
        <w:t>Does a compact CNN improve on an MFCC feature baseline under the same data and evaluation protocol?</w:t>
      </w:r>
    </w:p>
    <w:p>
      <w:pPr>
        <w:pStyle w:val="ListBullet"/>
      </w:pPr>
      <w:r>
        <w:t>How do detection rates and false alarms change for unseen attacks, compressed audio, and a second evaluation domain?</w:t>
      </w:r>
    </w:p>
    <w:p>
      <w:pPr>
        <w:pStyle w:val="ListBullet"/>
      </w:pPr>
      <w:r>
        <w:t>If resources allow, do frozen transformer audio embeddings improve the accuracy and inference cost tradeoff?</w:t>
      </w:r>
    </w:p>
    <w:p>
      <w:pPr>
        <w:pStyle w:val="Heading2"/>
      </w:pPr>
      <w:r>
        <w:t>Scope and priorities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8424"/>
      </w:tblGrid>
      <w:tr>
        <w:trPr>
          <w:cantSplit/>
          <w:tblHeader/>
        </w:trPr>
        <w:tc>
          <w:tcPr>
            <w:tcW w:type="dxa" w:w="1800"/>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20"/>
              </w:rPr>
              <w:t>Priority</w:t>
            </w:r>
          </w:p>
        </w:tc>
        <w:tc>
          <w:tcPr>
            <w:tcW w:type="dxa" w:w="8424"/>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20"/>
              </w:rPr>
              <w:t>Planned deliverable</w:t>
            </w:r>
          </w:p>
        </w:tc>
      </w:tr>
      <w:tr>
        <w:trPr>
          <w:cantSplit/>
        </w:trPr>
        <w:tc>
          <w:tcPr>
            <w:tcW w:type="dxa" w:w="1800"/>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Core</w:t>
            </w:r>
          </w:p>
        </w:tc>
        <w:tc>
          <w:tcPr>
            <w:tcW w:type="dxa" w:w="8424"/>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Data audit, MFCC baseline, CNN, locked evaluation, robustness study, demo, reproducible repository and model card.</w:t>
            </w:r>
          </w:p>
        </w:tc>
      </w:tr>
      <w:tr>
        <w:trPr>
          <w:cantSplit/>
        </w:trPr>
        <w:tc>
          <w:tcPr>
            <w:tcW w:type="dxa" w:w="1800"/>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Next enhancement</w:t>
            </w:r>
          </w:p>
        </w:tc>
        <w:tc>
          <w:tcPr>
            <w:tcW w:type="dxa" w:w="8424"/>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Frozen wav2vec 2.0 embeddings with a small classifier, after the core runs successfully.</w:t>
            </w:r>
          </w:p>
        </w:tc>
      </w:tr>
      <w:tr>
        <w:trPr>
          <w:cantSplit/>
        </w:trPr>
        <w:tc>
          <w:tcPr>
            <w:tcW w:type="dxa" w:w="1800"/>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Optional extension</w:t>
            </w:r>
          </w:p>
        </w:tc>
        <w:tc>
          <w:tcPr>
            <w:tcW w:type="dxa" w:w="8424"/>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A grounded evidence assistant using retrieval and an LLM; a small MCP interface if useful.</w:t>
            </w:r>
          </w:p>
        </w:tc>
      </w:tr>
      <w:tr>
        <w:trPr>
          <w:cantSplit/>
        </w:trPr>
        <w:tc>
          <w:tcPr>
            <w:tcW w:type="dxa" w:w="1800"/>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Outside this release</w:t>
            </w:r>
          </w:p>
        </w:tc>
        <w:tc>
          <w:tcPr>
            <w:tcW w:type="dxa" w:w="8424"/>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Live call monitoring, speaker identification, generator attribution, video deepfakes, multilingual claims and multiagent orchestration.</w:t>
            </w:r>
          </w:p>
        </w:tc>
      </w:tr>
    </w:tbl>
    <w:p>
      <w:pPr>
        <w:spacing w:after="0"/>
      </w:pPr>
    </w:p>
    <w:p>
      <w:pPr>
        <w:pStyle w:val="Heading2"/>
      </w:pPr>
      <w:r>
        <w:t>Fit with the graduation brief</w:t>
      </w:r>
    </w:p>
    <w:p>
      <w:r>
        <w:t>The brief asks for a practical problem, real data, an end to end AI/ML solution, evaluation, and a working demonstration. It permits a focused core challenge and does not require every syllabus topic. I will own data, modeling, engineering, evaluation and presentation. The principles summary on pages 5–6 explains the planned scope, use and demonstration. [1, 2]</w:t>
      </w:r>
    </w:p>
    <w:p>
      <w:pPr>
        <w:pStyle w:val="Heading1"/>
        <w:pageBreakBefore/>
      </w:pPr>
      <w:r>
        <w:t>Data and model plan</w:t>
      </w:r>
    </w:p>
    <w:p>
      <w:pPr>
        <w:pStyle w:val="Heading2"/>
      </w:pPr>
      <w:r>
        <w:t>Corrected benchmark protocol</w:t>
      </w:r>
    </w:p>
    <w:p>
      <w:r>
        <w:t>ASVspoof 2021 supplies new evaluation data and reuses the ASVspoof 2019 training and development partitions. I will start with the 2019 logical access (LA) dataset and use the 2021 deepfake (DF) set for transfer evaluation. The 2021 collection remains evaluation only. [3, 4]</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848"/>
      </w:tblGrid>
      <w:tr>
        <w:trPr>
          <w:cantSplit/>
          <w:tblHeader/>
        </w:trPr>
        <w:tc>
          <w:tcPr>
            <w:tcW w:type="dxa" w:w="2376"/>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20"/>
              </w:rPr>
              <w:t>Data partition</w:t>
            </w:r>
          </w:p>
        </w:tc>
        <w:tc>
          <w:tcPr>
            <w:tcW w:type="dxa" w:w="7848"/>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20"/>
              </w:rPr>
              <w:t>Use in this project</w:t>
            </w:r>
          </w:p>
        </w:tc>
      </w:tr>
      <w:tr>
        <w:trPr>
          <w:cantSplit/>
        </w:trPr>
        <w:tc>
          <w:tcPr>
            <w:tcW w:type="dxa" w:w="2376"/>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2019 LA training</w:t>
            </w:r>
          </w:p>
        </w:tc>
        <w:tc>
          <w:tcPr>
            <w:tcW w:type="dxa" w:w="7848"/>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Fit preprocessing statistics and train all supervised models. Keep the official partition boundaries.</w:t>
            </w:r>
          </w:p>
        </w:tc>
      </w:tr>
      <w:tr>
        <w:trPr>
          <w:cantSplit/>
        </w:trPr>
        <w:tc>
          <w:tcPr>
            <w:tcW w:type="dxa" w:w="2376"/>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2019 LA development</w:t>
            </w:r>
          </w:p>
        </w:tc>
        <w:tc>
          <w:tcPr>
            <w:tcW w:type="dxa" w:w="7848"/>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Choose features, hyperparameters and checkpoints. Reserve a speaker grouped portion for calibration and thresholds before experiments begin.</w:t>
            </w:r>
          </w:p>
        </w:tc>
      </w:tr>
      <w:tr>
        <w:trPr>
          <w:cantSplit/>
        </w:trPr>
        <w:tc>
          <w:tcPr>
            <w:tcW w:type="dxa" w:w="2376"/>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2019 LA evaluation</w:t>
            </w:r>
          </w:p>
        </w:tc>
        <w:tc>
          <w:tcPr>
            <w:tcW w:type="dxa" w:w="7848"/>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Locked primary test, including attacks not seen during fitting. Report results by attack identifier as well as overall.</w:t>
            </w:r>
          </w:p>
        </w:tc>
      </w:tr>
      <w:tr>
        <w:trPr>
          <w:cantSplit/>
        </w:trPr>
        <w:tc>
          <w:tcPr>
            <w:tcW w:type="dxa" w:w="2376"/>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2021 DF evaluation</w:t>
            </w:r>
          </w:p>
        </w:tc>
        <w:tc>
          <w:tcPr>
            <w:tcW w:type="dxa" w:w="7848"/>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Locked transfer test after the pipeline is frozen. Audit original source overlap; report dataset and codec slices separately.</w:t>
            </w:r>
          </w:p>
        </w:tc>
      </w:tr>
      <w:tr>
        <w:trPr>
          <w:cantSplit/>
        </w:trPr>
        <w:tc>
          <w:tcPr>
            <w:tcW w:type="dxa" w:w="2376"/>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WaveFake if time permits</w:t>
            </w:r>
          </w:p>
        </w:tc>
        <w:tc>
          <w:tcPr>
            <w:tcW w:type="dxa" w:w="7848"/>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External test only. Match preprocessing and report limited speaker and language diversity; do not claim population wide validation.</w:t>
            </w:r>
          </w:p>
        </w:tc>
      </w:tr>
    </w:tbl>
    <w:p>
      <w:pPr>
        <w:spacing w:after="0"/>
      </w:pPr>
    </w:p>
    <w:p>
      <w:r>
        <w:t>The official 2019 partitions separate speakers. The organizers also publish source file maps for 2019 and 2021; I will use these to audit shared source recordings. Results on overlapping evaluation recordings are correlated and will not be treated as independent evidence. WaveFake is based on a small set of reference speakers and is an additional domain test, not a diverse speaker benchmark. [3, 5, 7]</w:t>
      </w:r>
    </w:p>
    <w:p>
      <w:pPr>
        <w:pStyle w:val="Heading2"/>
      </w:pPr>
      <w:r>
        <w:t>Data preparation</w:t>
      </w:r>
    </w:p>
    <w:p>
      <w:pPr>
        <w:pStyle w:val="ListBullet"/>
      </w:pPr>
      <w:r>
        <w:t>Build a CSV manifest and SQLite catalog with clip ID, source ID, speaker and attack IDs when available, label, split, duration, sample rate, checksum and provenance. Use SQL to audit counts and joins.</w:t>
      </w:r>
    </w:p>
    <w:p>
      <w:pPr>
        <w:pStyle w:val="ListBullet"/>
      </w:pPr>
      <w:r>
        <w:t>Use NumPy, Pandas and plots to inspect class balance, durations, silence, clipping and source differences. Check exact duplicates and mapped source overlap; keep all chunks and transformed copies with their original recording.</w:t>
      </w:r>
    </w:p>
    <w:p>
      <w:pPr>
        <w:pStyle w:val="ListBullet"/>
      </w:pPr>
      <w:r>
        <w:t>Decode consistently to mono 16 kHz. Start with four second training windows and deterministic test windows, aggregating to one score per original clip. Document padding and duration effects. Fit scalers and PCA on training data only.</w:t>
      </w:r>
    </w:p>
    <w:p>
      <w:pPr>
        <w:pStyle w:val="Heading2"/>
      </w:pPr>
      <w:r>
        <w:t>Model comparison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76"/>
        <w:gridCol w:w="7848"/>
      </w:tblGrid>
      <w:tr>
        <w:trPr>
          <w:cantSplit/>
          <w:tblHeader/>
        </w:trPr>
        <w:tc>
          <w:tcPr>
            <w:tcW w:type="dxa" w:w="2376"/>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20"/>
              </w:rPr>
              <w:t>Model</w:t>
            </w:r>
          </w:p>
        </w:tc>
        <w:tc>
          <w:tcPr>
            <w:tcW w:type="dxa" w:w="7848"/>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20"/>
              </w:rPr>
              <w:t>Purpose and scope</w:t>
            </w:r>
          </w:p>
        </w:tc>
      </w:tr>
      <w:tr>
        <w:trPr>
          <w:cantSplit/>
        </w:trPr>
        <w:tc>
          <w:tcPr>
            <w:tcW w:type="dxa" w:w="2376"/>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MFCC baseline</w:t>
            </w:r>
          </w:p>
        </w:tc>
        <w:tc>
          <w:tcPr>
            <w:tcW w:type="dxa" w:w="7848"/>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Summarize Mel Frequency Cepstral Coefficients and train Logistic Regression. Use a small tuning budget and a fixed feature pipeline.</w:t>
            </w:r>
          </w:p>
        </w:tc>
      </w:tr>
      <w:tr>
        <w:trPr>
          <w:cantSplit/>
        </w:trPr>
        <w:tc>
          <w:tcPr>
            <w:tcW w:type="dxa" w:w="2376"/>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Compact CNN</w:t>
            </w:r>
          </w:p>
        </w:tc>
        <w:tc>
          <w:tcPr>
            <w:tcW w:type="dxa" w:w="7848"/>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Learn from log Mel spectrograms with a few convolution blocks and a small Multilayer Perceptron (MLP) head. Use class weighting, early stopping and saved configurations.</w:t>
            </w:r>
          </w:p>
        </w:tc>
      </w:tr>
      <w:tr>
        <w:trPr>
          <w:cantSplit/>
        </w:trPr>
        <w:tc>
          <w:tcPr>
            <w:tcW w:type="dxa" w:w="2376"/>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Transformer enhancement</w:t>
            </w:r>
          </w:p>
        </w:tc>
        <w:tc>
          <w:tcPr>
            <w:tcW w:type="dxa" w:w="7848"/>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Freeze a pretrained wav2vec 2.0 encoder, pool its audio representations and train a linear or small MLP head. Cache embeddings; avoid full encoder fine tuning in this release. [6]</w:t>
            </w:r>
          </w:p>
        </w:tc>
      </w:tr>
    </w:tbl>
    <w:p>
      <w:pPr>
        <w:spacing w:after="0"/>
      </w:pPr>
    </w:p>
    <w:p>
      <w:r>
        <w:t>First week gate: verify access, licenses, storage and a timed training run. If full evaluation is too costly, freeze a documented stratified subset before inspecting scores and report its limits. Retain the 2019 primary test if 2021 access is blocked. No dataset or model has yet been downloaded or trained as part of this proposal.</w:t>
      </w:r>
    </w:p>
    <w:p>
      <w:pPr>
        <w:pStyle w:val="Heading1"/>
        <w:pageBreakBefore/>
      </w:pPr>
      <w:r>
        <w:t>Evaluation and acceptance criteria</w:t>
      </w:r>
    </w:p>
    <w:p>
      <w:pPr>
        <w:pStyle w:val="Heading2"/>
      </w:pPr>
      <w:r>
        <w:t>Freeze the protocol before final testing</w:t>
      </w:r>
    </w:p>
    <w:p>
      <w:r>
        <w:t>Use the same permitted training data, preprocessing rules and test clips for every model. Select the deployed model using development results only. Record seeds, dependency versions, Git commit, manifest hash, preprocessing settings and thresholds for every run. Final evaluation labels may be used for the report after predictions are frozen; they will not guide retraining.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43"/>
        <w:gridCol w:w="3974"/>
        <w:gridCol w:w="4406"/>
      </w:tblGrid>
      <w:tr>
        <w:trPr>
          <w:cantSplit/>
          <w:tblHeader/>
        </w:trPr>
        <w:tc>
          <w:tcPr>
            <w:tcW w:type="dxa" w:w="1843"/>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19"/>
              </w:rPr>
              <w:t>Experiment</w:t>
            </w:r>
          </w:p>
        </w:tc>
        <w:tc>
          <w:tcPr>
            <w:tcW w:type="dxa" w:w="3974"/>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19"/>
              </w:rPr>
              <w:t>Controlled comparison</w:t>
            </w:r>
          </w:p>
        </w:tc>
        <w:tc>
          <w:tcPr>
            <w:tcW w:type="dxa" w:w="4406"/>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19"/>
              </w:rPr>
              <w:t>Evidence to report</w:t>
            </w:r>
          </w:p>
        </w:tc>
      </w:tr>
      <w:tr>
        <w:trPr>
          <w:cantSplit/>
        </w:trPr>
        <w:tc>
          <w:tcPr>
            <w:tcW w:type="dxa" w:w="1843"/>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Primary model study</w:t>
            </w:r>
          </w:p>
        </w:tc>
        <w:tc>
          <w:tcPr>
            <w:tcW w:type="dxa" w:w="3974"/>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MFCC baseline versus CNN; add the transformer only if its resource gate passes.</w:t>
            </w:r>
          </w:p>
        </w:tc>
        <w:tc>
          <w:tcPr>
            <w:tcW w:type="dxa" w:w="4406"/>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EER, macro F1, balanced accuracy, ROC AUC, class counts and confusion matrix.</w:t>
            </w:r>
          </w:p>
        </w:tc>
      </w:tr>
      <w:tr>
        <w:trPr>
          <w:cantSplit/>
        </w:trPr>
        <w:tc>
          <w:tcPr>
            <w:tcW w:type="dxa" w:w="1843"/>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Unfamiliar attacks</w:t>
            </w:r>
          </w:p>
        </w:tc>
        <w:tc>
          <w:tcPr>
            <w:tcW w:type="dxa" w:w="3974"/>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Group the locked 2019 test by attack ID and distinguish attacks absent during training.</w:t>
            </w:r>
          </w:p>
        </w:tc>
        <w:tc>
          <w:tcPr>
            <w:tcW w:type="dxa" w:w="4406"/>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Per attack errors and pooled result with counts; no claim that one test covers all generators.</w:t>
            </w:r>
          </w:p>
        </w:tc>
      </w:tr>
      <w:tr>
        <w:trPr>
          <w:cantSplit/>
        </w:trPr>
        <w:tc>
          <w:tcPr>
            <w:tcW w:type="dxa" w:w="1843"/>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Transfer and codec shift</w:t>
            </w:r>
          </w:p>
        </w:tc>
        <w:tc>
          <w:tcPr>
            <w:tcW w:type="dxa" w:w="3974"/>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Evaluate frozen models on 2021 DF; use published subset and codec labels.</w:t>
            </w:r>
          </w:p>
        </w:tc>
        <w:tc>
          <w:tcPr>
            <w:tcW w:type="dxa" w:w="4406"/>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Separate test tables and absolute changes in error. Identify shared source recordings. [5, 10]</w:t>
            </w:r>
          </w:p>
        </w:tc>
      </w:tr>
      <w:tr>
        <w:trPr>
          <w:cantSplit/>
        </w:trPr>
        <w:tc>
          <w:tcPr>
            <w:tcW w:type="dxa" w:w="1843"/>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Robustness ablation</w:t>
            </w:r>
          </w:p>
        </w:tc>
        <w:tc>
          <w:tcPr>
            <w:tcW w:type="dxa" w:w="3974"/>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Compare clean training with one augmentation recipe. Test clean audio, one compression setting, and two noise levels.</w:t>
            </w:r>
          </w:p>
        </w:tc>
        <w:tc>
          <w:tcPr>
            <w:tcW w:type="dxa" w:w="4406"/>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Apply transformations equally to both classes; compare the same underlying clips with fixed parameters.</w:t>
            </w:r>
          </w:p>
        </w:tc>
      </w:tr>
      <w:tr>
        <w:trPr>
          <w:cantSplit/>
        </w:trPr>
        <w:tc>
          <w:tcPr>
            <w:tcW w:type="dxa" w:w="1843"/>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Error diagnosis</w:t>
            </w:r>
          </w:p>
        </w:tc>
        <w:tc>
          <w:tcPr>
            <w:tcW w:type="dxa" w:w="3974"/>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Review false alarms and missed synthetic clips by duration, attack and codec.</w:t>
            </w:r>
          </w:p>
        </w:tc>
        <w:tc>
          <w:tcPr>
            <w:tcW w:type="dxa" w:w="4406"/>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Training fitted PCA and clustering views plus representative errors. Visual separation alone is not proof of detection.</w:t>
            </w:r>
          </w:p>
        </w:tc>
      </w:tr>
    </w:tbl>
    <w:p>
      <w:pPr>
        <w:spacing w:after="0"/>
      </w:pPr>
    </w:p>
    <w:p>
      <w:pPr>
        <w:pStyle w:val="Heading2"/>
      </w:pPr>
      <w:r>
        <w:t>Metrics and uncertainty</w:t>
      </w:r>
    </w:p>
    <w:p>
      <w:r>
        <w:t>Equal error rate (EER) is the point where the two class error rates match; lower is better. It is the official 2021 DF metric. Macro F1 gives the two classes equal weight. I will also report the human speech false positive rate and synthetic speech detection rate at one threshold fixed on reserved development data. The proposed operating target is at most 5% development false alarms; the final test may exceed it. [4]</w:t>
      </w:r>
    </w:p>
    <w:p>
      <w:r>
        <w:t>If calibration is implemented, fit it only on the reserved development portion and report a reliability plot and Brier score. Otherwise label the output a model score, not a probability. A development chosen uncertainty band can return “inconclusive”; report both coverage and errors among decided clips. Abstention cannot guarantee that unfamiliar audio will be recognized as uncertain.</w:t>
      </w:r>
    </w:p>
    <w:p>
      <w:r>
        <w:t>Report 95% bootstrap intervals, grouping repeated windows and transformations by original source recording. Separate speaker variability where metadata allows. Run at least two seeds for the compact CNN if the measured compute budget permits; otherwise state that training variability was not estimated.</w:t>
      </w:r>
    </w:p>
    <w:p>
      <w:pPr>
        <w:pStyle w:val="Heading2"/>
      </w:pPr>
      <w:r>
        <w:t>What completion means</w:t>
      </w:r>
    </w:p>
    <w:p>
      <w:pPr>
        <w:pStyle w:val="ListBullet"/>
      </w:pPr>
      <w:r>
        <w:t>A fresh checkout can reproduce data preparation, baseline training and the evaluation report using documented commands and the same manifest.</w:t>
      </w:r>
    </w:p>
    <w:p>
      <w:pPr>
        <w:pStyle w:val="ListBullet"/>
      </w:pPr>
      <w:r>
        <w:t>The report includes a baseline comparison, an unfamiliar attack test, a robustness ablation and an honest failure analysis. Any unavailable transfer experiment is clearly identified.</w:t>
      </w:r>
    </w:p>
    <w:p>
      <w:pPr>
        <w:pStyle w:val="ListBullet"/>
      </w:pPr>
      <w:r>
        <w:t>The demo handles valid and invalid inputs, shows its model version and limitations, and has measured inference latency. Improvement over the baseline is a research goal, not a promised result.</w:t>
      </w:r>
    </w:p>
    <w:p>
      <w:r>
        <w:t>The transformer uses external pretraining and therefore belongs to a separate research setting from the original 2021 challenge rules. Its results will be labeled accordingly; this project will not claim an official leaderboard comparison. [4, 6]</w:t>
      </w:r>
    </w:p>
    <w:p>
      <w:pPr>
        <w:pStyle w:val="Heading1"/>
        <w:pageBreakBefore/>
      </w:pPr>
      <w:r>
        <w:t>System design and responsible operation</w:t>
      </w:r>
    </w:p>
    <w:p>
      <w:pPr>
        <w:pStyle w:val="Heading2"/>
      </w:pPr>
      <w:r>
        <w:t>A small deployable system</w:t>
      </w:r>
    </w:p>
    <w:p>
      <w:r>
        <w:t>Use a shared Python inference module behind a FastAPI service and a Streamlit interface. The interface uploads a file; the service validates and decodes it, applies the frozen feature pipeline, loads the selected model and returns a structured assessment. Keep training separate from serving. Package the service and UI in Docker and document one local startup command.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01"/>
        <w:gridCol w:w="8323"/>
      </w:tblGrid>
      <w:tr>
        <w:trPr>
          <w:cantSplit/>
          <w:tblHeader/>
        </w:trPr>
        <w:tc>
          <w:tcPr>
            <w:tcW w:type="dxa" w:w="1901"/>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20"/>
              </w:rPr>
              <w:t>Component</w:t>
            </w:r>
          </w:p>
        </w:tc>
        <w:tc>
          <w:tcPr>
            <w:tcW w:type="dxa" w:w="8323"/>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20"/>
              </w:rPr>
              <w:t>Planned behavior</w:t>
            </w:r>
          </w:p>
        </w:tc>
      </w:tr>
      <w:tr>
        <w:trPr>
          <w:cantSplit/>
        </w:trPr>
        <w:tc>
          <w:tcPr>
            <w:tcW w:type="dxa" w:w="1901"/>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Input</w:t>
            </w:r>
          </w:p>
        </w:tc>
        <w:tc>
          <w:tcPr>
            <w:tcW w:type="dxa" w:w="8323"/>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Initially accept WAV and FLAC speech clips of 1–30 seconds, up to 20 MB. Validate decoded content, duration and sample rate; reject unsupported or empty audio clearly.</w:t>
            </w:r>
          </w:p>
        </w:tc>
      </w:tr>
      <w:tr>
        <w:trPr>
          <w:cantSplit/>
        </w:trPr>
        <w:tc>
          <w:tcPr>
            <w:tcW w:type="dxa" w:w="1901"/>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Assessment</w:t>
            </w:r>
          </w:p>
        </w:tc>
        <w:tc>
          <w:tcPr>
            <w:tcW w:type="dxa" w:w="8323"/>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Return predicted class, model score, model version and processing time. Show “inconclusive” only if the optional abstention rule has been evaluated.</w:t>
            </w:r>
          </w:p>
        </w:tc>
      </w:tr>
      <w:tr>
        <w:trPr>
          <w:cantSplit/>
        </w:trPr>
        <w:tc>
          <w:tcPr>
            <w:tcW w:type="dxa" w:w="1901"/>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Evidence view</w:t>
            </w:r>
          </w:p>
        </w:tc>
        <w:tc>
          <w:tcPr>
            <w:tcW w:type="dxa" w:w="8323"/>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Display the spectrogram and the model’s evaluation summary, including false alarms and known limits. A spectrogram is an input visualization, not a causal explanation.</w:t>
            </w:r>
          </w:p>
        </w:tc>
      </w:tr>
      <w:tr>
        <w:trPr>
          <w:cantSplit/>
        </w:trPr>
        <w:tc>
          <w:tcPr>
            <w:tcW w:type="dxa" w:w="1901"/>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API and records</w:t>
            </w:r>
          </w:p>
        </w:tc>
        <w:tc>
          <w:tcPr>
            <w:tcW w:type="dxa" w:w="8323"/>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Use prediction and health endpoints with typed responses. Store experiment metadata in SQLite and export small result tables. Keep raw user audio out of operational logs.</w:t>
            </w:r>
          </w:p>
        </w:tc>
      </w:tr>
      <w:tr>
        <w:trPr>
          <w:cantSplit/>
        </w:trPr>
        <w:tc>
          <w:tcPr>
            <w:tcW w:type="dxa" w:w="1901"/>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Observability</w:t>
            </w:r>
          </w:p>
        </w:tc>
        <w:tc>
          <w:tcPr>
            <w:tcW w:type="dxa" w:w="8323"/>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20"/>
              </w:rPr>
              <w:t>Log request ID, model version, decoded duration, status and latency. Measure p50 and p95 latency, inference failures and memory use on named hardware.</w:t>
            </w:r>
          </w:p>
        </w:tc>
      </w:tr>
      <w:tr>
        <w:trPr>
          <w:cantSplit/>
        </w:trPr>
        <w:tc>
          <w:tcPr>
            <w:tcW w:type="dxa" w:w="1901"/>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Deployment</w:t>
            </w:r>
          </w:p>
        </w:tc>
        <w:tc>
          <w:tcPr>
            <w:tcW w:type="dxa" w:w="8323"/>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20"/>
              </w:rPr>
              <w:t>Verify a clean local container run. Attempt one small cloud deployment only after the local demo is reliable and access and cost are known; keep a local demo fallback.</w:t>
            </w:r>
          </w:p>
        </w:tc>
      </w:tr>
    </w:tbl>
    <w:p>
      <w:pPr>
        <w:spacing w:after="0"/>
      </w:pPr>
    </w:p>
    <w:p>
      <w:pPr>
        <w:pStyle w:val="Heading2"/>
      </w:pPr>
      <w:r>
        <w:t>Reliability and governance</w:t>
      </w:r>
    </w:p>
    <w:p>
      <w:pPr>
        <w:pStyle w:val="ListBullet"/>
      </w:pPr>
      <w:r>
        <w:t>Use a model card and dataset notes to record intended use, source terms, training scope, language coverage, observed errors and version history. Older benchmark results do not establish performance on current commercial voice generators.</w:t>
      </w:r>
    </w:p>
    <w:p>
      <w:pPr>
        <w:pStyle w:val="ListBullet"/>
      </w:pPr>
      <w:r>
        <w:t>Process uploaded audio temporarily and delete it after the request, including failed requests. Do not retain recordings by default. Use consented or licensed examples for the demo.</w:t>
      </w:r>
    </w:p>
    <w:p>
      <w:pPr>
        <w:pStyle w:val="ListBullet"/>
      </w:pPr>
      <w:r>
        <w:t>Test meaningful failure cases: corrupt files, wrong formats, excessive duration, silence, inconsistent preprocessing and an unavailable model. Add a small CI check for feature shapes, split leakage and API error handling.</w:t>
      </w:r>
    </w:p>
    <w:p>
      <w:pPr>
        <w:pStyle w:val="Heading2"/>
      </w:pPr>
      <w:r>
        <w:t>Optional grounded evidence assistant</w:t>
      </w:r>
    </w:p>
    <w:p>
      <w:r>
        <w:t>After the detector and report work, add a small Retrieval Augmented Generation (RAG) assistant over curated dataset documentation, the model card and approved evaluation reports. It can answer questions such as “Which conditions increased false alarms?” with citations. Numeric claims come from structured experiment results; the language model does not decide whether the uploaded audio is synthetic.</w:t>
      </w:r>
    </w:p>
    <w:p>
      <w:r>
        <w:t>Compare BM25 retrieval with document embeddings on 15–20 labeled questions. Measure recall at k, citation correctness, unsupported claims and handling of unanswerable questions. Treat retrieved text as evidence, not executable instructions. This extension covers retrieval, text embeddings and LLM evaluation only if it is actually built and tested.</w:t>
      </w:r>
    </w:p>
    <w:p>
      <w:pPr>
        <w:pStyle w:val="Heading2"/>
      </w:pPr>
      <w:r>
        <w:t>Optional MCP interface</w:t>
      </w:r>
    </w:p>
    <w:p>
      <w:r>
        <w:t>Expose the existing inspect_audio, predict_audio and get_model_report functions through FastMCP if an agent client adds a useful demo interaction. Reuse the same validated inference path, with explicit file inputs, time limits and structured results. One bounded orchestrator is sufficient; multiagent coordination is outside the planned release.</w:t>
      </w:r>
    </w:p>
    <w:p>
      <w:pPr>
        <w:pStyle w:val="Heading1"/>
        <w:pageBreakBefore/>
      </w:pPr>
      <w:r>
        <w:t>Principles applied in the project</w:t>
      </w:r>
    </w:p>
    <w:p>
      <w:r>
        <w:t>The selected syllabus principles support the graduation brief through real data, model evaluation and a working audio detector. The following implementation and demonstration evidence are planned. [1, 2]</w:t>
      </w:r>
    </w:p>
    <w:p>
      <w:pPr>
        <w:pStyle w:val="Heading2"/>
        <w:pageBreakBefore w:val="0"/>
      </w:pPr>
      <w:r>
        <w:t>Core scope</w:t>
      </w:r>
    </w:p>
    <w:p>
      <w:r>
        <w:t>Core scope covers data preparation, the MFCC baseline and Convolutional Neural Network (CNN), generalization and robustness evaluation, and a runnable application. The evidence below will support the final presentation.</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4176"/>
        <w:gridCol w:w="4032"/>
      </w:tblGrid>
      <w:tr>
        <w:trPr>
          <w:cantSplit/>
          <w:tblHeader/>
        </w:trPr>
        <w:tc>
          <w:tcPr>
            <w:tcW w:type="dxa" w:w="2016"/>
            <w:vAlign w:val="center"/>
            <w:shd w:fill="213F58"/>
            <w:tcMar>
              <w:top w:w="85" w:type="dxa"/>
              <w:bottom w:w="85" w:type="dxa"/>
              <w:left w:w="85" w:type="dxa"/>
              <w:right w:w="85" w:type="dxa"/>
            </w:tcMar>
          </w:tcPr>
          <w:p>
            <w:pPr>
              <w:spacing w:after="0" w:line="247" w:lineRule="auto"/>
            </w:pPr>
            <w:r>
              <w:rPr>
                <w:rFonts w:ascii="Liberation Sans" w:hAnsi="Liberation Sans"/>
                <w:b/>
                <w:color w:val="FFFFFF"/>
                <w:sz w:val="19"/>
              </w:rPr>
              <w:t>Principle</w:t>
            </w:r>
          </w:p>
        </w:tc>
        <w:tc>
          <w:tcPr>
            <w:tcW w:type="dxa" w:w="4176"/>
            <w:vAlign w:val="center"/>
            <w:shd w:fill="213F58"/>
            <w:tcMar>
              <w:top w:w="85" w:type="dxa"/>
              <w:bottom w:w="85" w:type="dxa"/>
              <w:left w:w="85" w:type="dxa"/>
              <w:right w:w="85" w:type="dxa"/>
            </w:tcMar>
          </w:tcPr>
          <w:p>
            <w:pPr>
              <w:spacing w:after="0" w:line="247" w:lineRule="auto"/>
            </w:pPr>
            <w:r>
              <w:rPr>
                <w:rFonts w:ascii="Liberation Sans" w:hAnsi="Liberation Sans"/>
                <w:b/>
                <w:color w:val="FFFFFF"/>
                <w:sz w:val="19"/>
              </w:rPr>
              <w:t>Use in the project</w:t>
            </w:r>
          </w:p>
        </w:tc>
        <w:tc>
          <w:tcPr>
            <w:tcW w:type="dxa" w:w="4032"/>
            <w:vAlign w:val="center"/>
            <w:shd w:fill="213F58"/>
            <w:tcMar>
              <w:top w:w="85" w:type="dxa"/>
              <w:bottom w:w="85" w:type="dxa"/>
              <w:left w:w="85" w:type="dxa"/>
              <w:right w:w="85" w:type="dxa"/>
            </w:tcMar>
          </w:tcPr>
          <w:p>
            <w:pPr>
              <w:spacing w:after="0" w:line="247" w:lineRule="auto"/>
            </w:pPr>
            <w:r>
              <w:rPr>
                <w:rFonts w:ascii="Liberation Sans" w:hAnsi="Liberation Sans"/>
                <w:b/>
                <w:color w:val="FFFFFF"/>
                <w:sz w:val="19"/>
              </w:rPr>
              <w:t>Evidence and demonstration</w:t>
            </w:r>
          </w:p>
        </w:tc>
      </w:tr>
      <w:tr>
        <w:trPr>
          <w:cantSplit/>
        </w:trPr>
        <w:tc>
          <w:tcPr>
            <w:tcW w:type="dxa" w:w="201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Python and software engineering</w:t>
            </w:r>
          </w:p>
        </w:tc>
        <w:tc>
          <w:tcPr>
            <w:tcW w:type="dxa" w:w="417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Separate data ingestion, feature extraction, training, evaluation and inference into reusable modules. Use saved configurations, dependency versions and focused correctness tests.</w:t>
            </w:r>
          </w:p>
        </w:tc>
        <w:tc>
          <w:tcPr>
            <w:tcW w:type="dxa" w:w="4032"/>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A documented fresh setup reproduces the baseline and report. The API and interface reuse the evaluated inference pipeline.</w:t>
            </w:r>
          </w:p>
        </w:tc>
      </w:tr>
      <w:tr>
        <w:trPr>
          <w:cantSplit/>
        </w:trPr>
        <w:tc>
          <w:tcPr>
            <w:tcW w:type="dxa" w:w="201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Data lifecycle and exploratory analysis</w:t>
            </w:r>
          </w:p>
        </w:tc>
        <w:tc>
          <w:tcPr>
            <w:tcW w:type="dxa" w:w="417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Record dataset provenance and terms. Use NumPy, Pandas and plots to inspect class balance, durations, sample rates, silence and duplicates before modeling.</w:t>
            </w:r>
          </w:p>
        </w:tc>
        <w:tc>
          <w:tcPr>
            <w:tcW w:type="dxa" w:w="4032"/>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A dataset inventory and EDA report show what was collected, cleaned or excluded and how those choices affect the experiment.</w:t>
            </w:r>
          </w:p>
        </w:tc>
      </w:tr>
      <w:tr>
        <w:trPr>
          <w:cantSplit/>
        </w:trPr>
        <w:tc>
          <w:tcPr>
            <w:tcW w:type="dxa" w:w="201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SQL and experiment records</w:t>
            </w:r>
          </w:p>
        </w:tc>
        <w:tc>
          <w:tcPr>
            <w:tcW w:type="dxa" w:w="417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Store clip metadata and run records in SQLite. Query label counts, source identifiers, partition membership and model configurations; retain a versioned CSV manifest.</w:t>
            </w:r>
          </w:p>
        </w:tc>
        <w:tc>
          <w:tcPr>
            <w:tcW w:type="dxa" w:w="4032"/>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Show metadata summaries and trace a reported metric to its dataset version, model configuration and saved predictions.</w:t>
            </w:r>
          </w:p>
        </w:tc>
      </w:tr>
      <w:tr>
        <w:trPr>
          <w:cantSplit/>
        </w:trPr>
        <w:tc>
          <w:tcPr>
            <w:tcW w:type="dxa" w:w="201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Supervised classification</w:t>
            </w:r>
          </w:p>
        </w:tc>
        <w:tc>
          <w:tcPr>
            <w:tcW w:type="dxa" w:w="417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Train Logistic Regression on MFCC summary features. Handle class imbalance consistently and tune using development data only.</w:t>
            </w:r>
          </w:p>
        </w:tc>
        <w:tc>
          <w:tcPr>
            <w:tcW w:type="dxa" w:w="4032"/>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A simple reference model establishes whether the CNN adds value under the same data and test protocol.</w:t>
            </w:r>
          </w:p>
        </w:tc>
      </w:tr>
      <w:tr>
        <w:trPr>
          <w:cantSplit/>
        </w:trPr>
        <w:tc>
          <w:tcPr>
            <w:tcW w:type="dxa" w:w="201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Neural networks and CNN</w:t>
            </w:r>
          </w:p>
        </w:tc>
        <w:tc>
          <w:tcPr>
            <w:tcW w:type="dxa" w:w="417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Train convolution blocks on log Mel spectrograms with a small Multilayer Perceptron (MLP) head. Use class weighting, early stopping and a reproducible checkpoint selection rule.</w:t>
            </w:r>
          </w:p>
        </w:tc>
        <w:tc>
          <w:tcPr>
            <w:tcW w:type="dxa" w:w="4032"/>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Show training and development curves, then upload a speech clip to display its spectrogram and model assessment.</w:t>
            </w:r>
          </w:p>
        </w:tc>
      </w:tr>
      <w:tr>
        <w:trPr>
          <w:cantSplit/>
        </w:trPr>
        <w:tc>
          <w:tcPr>
            <w:tcW w:type="dxa" w:w="201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Evaluation and generalization</w:t>
            </w:r>
          </w:p>
        </w:tc>
        <w:tc>
          <w:tcPr>
            <w:tcW w:type="dxa" w:w="417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Keep final tests locked. Compare unfamiliar attacks and recording conditions; measure EER, macro F1, balanced accuracy, ROC AUC and false alarms at a development chosen threshold.</w:t>
            </w:r>
          </w:p>
        </w:tc>
        <w:tc>
          <w:tcPr>
            <w:tcW w:type="dxa" w:w="4032"/>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Present confusion matrices, attack and codec slices, compression and noise comparisons, uncertainty intervals and representative failures.</w:t>
            </w:r>
          </w:p>
        </w:tc>
      </w:tr>
      <w:tr>
        <w:trPr>
          <w:cantSplit/>
        </w:trPr>
        <w:tc>
          <w:tcPr>
            <w:tcW w:type="dxa" w:w="201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PCA and clustering</w:t>
            </w:r>
          </w:p>
        </w:tc>
        <w:tc>
          <w:tcPr>
            <w:tcW w:type="dxa" w:w="417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Fit projections and clusters on training features. Examine where test errors concentrate by attack, duration or source; use the analysis to describe model limitations.</w:t>
            </w:r>
          </w:p>
        </w:tc>
        <w:tc>
          <w:tcPr>
            <w:tcW w:type="dxa" w:w="4032"/>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Show labeled feature plots and error groups. Diagnostic patterns support interpretation rather than acting as authenticity decisions.</w:t>
            </w:r>
          </w:p>
        </w:tc>
      </w:tr>
      <w:tr>
        <w:trPr>
          <w:cantSplit/>
        </w:trPr>
        <w:tc>
          <w:tcPr>
            <w:tcW w:type="dxa" w:w="201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Governance and responsible use</w:t>
            </w:r>
          </w:p>
        </w:tc>
        <w:tc>
          <w:tcPr>
            <w:tcW w:type="dxa" w:w="417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Document intended use, dataset terms, language scope and observed limitations in a model card. Version the model and remove temporary uploaded audio after processing.</w:t>
            </w:r>
          </w:p>
        </w:tc>
        <w:tc>
          <w:tcPr>
            <w:tcW w:type="dxa" w:w="4032"/>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Show model version and limitations beside the assessment. Verify that the demo handles recordings according to its documented retention policy.</w:t>
            </w:r>
          </w:p>
        </w:tc>
      </w:tr>
      <w:tr>
        <w:trPr>
          <w:cantSplit/>
        </w:trPr>
        <w:tc>
          <w:tcPr>
            <w:tcW w:type="dxa" w:w="201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Observability and performance testing</w:t>
            </w:r>
          </w:p>
        </w:tc>
        <w:tc>
          <w:tcPr>
            <w:tcW w:type="dxa" w:w="417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Validate inputs, provide a health check and log status, duration, model version and latency. Test corrupt files, silence, unsupported inputs and model failures.</w:t>
            </w:r>
          </w:p>
        </w:tc>
        <w:tc>
          <w:tcPr>
            <w:tcW w:type="dxa" w:w="4032"/>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Demonstrate clear failure handling and report p50 and p95 latency, inference failure rate and memory use on identified hardware.</w:t>
            </w:r>
          </w:p>
        </w:tc>
      </w:tr>
    </w:tbl>
    <w:p>
      <w:pPr>
        <w:pStyle w:val="Heading2"/>
        <w:pageBreakBefore/>
      </w:pPr>
      <w:r>
        <w:t>Extensions and graduation evidence</w:t>
      </w:r>
    </w:p>
    <w:p>
      <w:r>
        <w:t>Extensions support the same detection workflow and are added only after the core report and demo are reliable. Their implementation and evaluation remain separate from the core acceptance criteria.</w:t>
      </w:r>
    </w:p>
    <w:tbl>
      <w:tblPr>
        <w:tblW w:type="auto" w:w="0"/>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16"/>
        <w:gridCol w:w="4176"/>
        <w:gridCol w:w="4032"/>
      </w:tblGrid>
      <w:tr>
        <w:trPr>
          <w:cantSplit/>
          <w:tblHeader/>
        </w:trPr>
        <w:tc>
          <w:tcPr>
            <w:tcW w:type="dxa" w:w="2016"/>
            <w:vAlign w:val="center"/>
            <w:shd w:fill="213F58"/>
            <w:tcMar>
              <w:top w:w="85" w:type="dxa"/>
              <w:bottom w:w="85" w:type="dxa"/>
              <w:left w:w="85" w:type="dxa"/>
              <w:right w:w="85" w:type="dxa"/>
            </w:tcMar>
          </w:tcPr>
          <w:p>
            <w:pPr>
              <w:spacing w:after="0" w:line="247" w:lineRule="auto"/>
            </w:pPr>
            <w:r>
              <w:rPr>
                <w:rFonts w:ascii="Liberation Sans" w:hAnsi="Liberation Sans"/>
                <w:b/>
                <w:color w:val="FFFFFF"/>
                <w:sz w:val="19"/>
              </w:rPr>
              <w:t>Relevant extension</w:t>
            </w:r>
          </w:p>
        </w:tc>
        <w:tc>
          <w:tcPr>
            <w:tcW w:type="dxa" w:w="4176"/>
            <w:vAlign w:val="center"/>
            <w:shd w:fill="213F58"/>
            <w:tcMar>
              <w:top w:w="85" w:type="dxa"/>
              <w:bottom w:w="85" w:type="dxa"/>
              <w:left w:w="85" w:type="dxa"/>
              <w:right w:w="85" w:type="dxa"/>
            </w:tcMar>
          </w:tcPr>
          <w:p>
            <w:pPr>
              <w:spacing w:after="0" w:line="247" w:lineRule="auto"/>
            </w:pPr>
            <w:r>
              <w:rPr>
                <w:rFonts w:ascii="Liberation Sans" w:hAnsi="Liberation Sans"/>
                <w:b/>
                <w:color w:val="FFFFFF"/>
                <w:sz w:val="19"/>
              </w:rPr>
              <w:t>Scope and use</w:t>
            </w:r>
          </w:p>
        </w:tc>
        <w:tc>
          <w:tcPr>
            <w:tcW w:type="dxa" w:w="4032"/>
            <w:vAlign w:val="center"/>
            <w:shd w:fill="213F58"/>
            <w:tcMar>
              <w:top w:w="85" w:type="dxa"/>
              <w:bottom w:w="85" w:type="dxa"/>
              <w:left w:w="85" w:type="dxa"/>
              <w:right w:w="85" w:type="dxa"/>
            </w:tcMar>
          </w:tcPr>
          <w:p>
            <w:pPr>
              <w:spacing w:after="0" w:line="247" w:lineRule="auto"/>
            </w:pPr>
            <w:r>
              <w:rPr>
                <w:rFonts w:ascii="Liberation Sans" w:hAnsi="Liberation Sans"/>
                <w:b/>
                <w:color w:val="FFFFFF"/>
                <w:sz w:val="19"/>
              </w:rPr>
              <w:t>What it would demonstrate</w:t>
            </w:r>
          </w:p>
        </w:tc>
      </w:tr>
      <w:tr>
        <w:trPr>
          <w:cantSplit/>
        </w:trPr>
        <w:tc>
          <w:tcPr>
            <w:tcW w:type="dxa" w:w="201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Attention transformers and audio embeddings</w:t>
            </w:r>
          </w:p>
        </w:tc>
        <w:tc>
          <w:tcPr>
            <w:tcW w:type="dxa" w:w="417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Next enhancement. Freeze a pretrained wav2vec 2.0 encoder and train a small classifier on pooled audio representations. Cache features to control compute.</w:t>
            </w:r>
          </w:p>
        </w:tc>
        <w:tc>
          <w:tcPr>
            <w:tcW w:type="dxa" w:w="4032"/>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Transfer learning with transformer representations; compare detection errors, latency and resource cost with the baseline and CNN.</w:t>
            </w:r>
          </w:p>
        </w:tc>
      </w:tr>
      <w:tr>
        <w:trPr>
          <w:cantSplit/>
        </w:trPr>
        <w:tc>
          <w:tcPr>
            <w:tcW w:type="dxa" w:w="201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Cloud deployment and infrastructure</w:t>
            </w:r>
          </w:p>
        </w:tc>
        <w:tc>
          <w:tcPr>
            <w:tcW w:type="dxa" w:w="417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Next enhancement. Container packaging and a reproducible local run are core. Deploy one hosted instance after access, cost and resource requirements are established.</w:t>
            </w:r>
          </w:p>
        </w:tc>
        <w:tc>
          <w:tcPr>
            <w:tcW w:type="dxa" w:w="4032"/>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The same versioned inference pipeline runs in a container and, if deployed, through a hosted upload interface with health and latency checks.</w:t>
            </w:r>
          </w:p>
        </w:tc>
      </w:tr>
      <w:tr>
        <w:trPr>
          <w:cantSplit/>
        </w:trPr>
        <w:tc>
          <w:tcPr>
            <w:tcW w:type="dxa" w:w="201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Text embeddings retrieval and RAG</w:t>
            </w:r>
          </w:p>
        </w:tc>
        <w:tc>
          <w:tcPr>
            <w:tcW w:type="dxa" w:w="4176"/>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Optional evidence assistant. Search dataset documentation, the model card and measured reports with BM25 or semantic retrieval, then generate source grounded answers.</w:t>
            </w:r>
          </w:p>
        </w:tc>
        <w:tc>
          <w:tcPr>
            <w:tcW w:type="dxa" w:w="4032"/>
            <w:vAlign w:val="center"/>
            <w:shd w:fill="FFFFFF"/>
            <w:tcMar>
              <w:top w:w="85" w:type="dxa"/>
              <w:bottom w:w="85" w:type="dxa"/>
              <w:left w:w="85" w:type="dxa"/>
              <w:right w:w="85" w:type="dxa"/>
            </w:tcMar>
          </w:tcPr>
          <w:p>
            <w:pPr>
              <w:spacing w:after="0" w:line="247" w:lineRule="auto"/>
            </w:pPr>
            <w:r>
              <w:rPr>
                <w:rFonts w:ascii="Liberation Sans" w:hAnsi="Liberation Sans"/>
                <w:b w:val="0"/>
                <w:color w:val="000000"/>
                <w:sz w:val="19"/>
              </w:rPr>
              <w:t>Answer questions about measured performance with citations. Evaluate retrieval recall, citation correctness and unanswerable questions; audio decisions remain with the detector.</w:t>
            </w:r>
          </w:p>
        </w:tc>
      </w:tr>
      <w:tr>
        <w:trPr>
          <w:cantSplit/>
        </w:trPr>
        <w:tc>
          <w:tcPr>
            <w:tcW w:type="dxa" w:w="201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Agents and MCP</w:t>
            </w:r>
          </w:p>
        </w:tc>
        <w:tc>
          <w:tcPr>
            <w:tcW w:type="dxa" w:w="4176"/>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Optional integration. A bounded agent workflow invokes existing validated audio and report functions through FastMCP when that improves the demonstration.</w:t>
            </w:r>
          </w:p>
        </w:tc>
        <w:tc>
          <w:tcPr>
            <w:tcW w:type="dxa" w:w="4032"/>
            <w:vAlign w:val="center"/>
            <w:shd w:fill="F3F6F8"/>
            <w:tcMar>
              <w:top w:w="85" w:type="dxa"/>
              <w:bottom w:w="85" w:type="dxa"/>
              <w:left w:w="85" w:type="dxa"/>
              <w:right w:w="85" w:type="dxa"/>
            </w:tcMar>
          </w:tcPr>
          <w:p>
            <w:pPr>
              <w:spacing w:after="0" w:line="247" w:lineRule="auto"/>
            </w:pPr>
            <w:r>
              <w:rPr>
                <w:rFonts w:ascii="Liberation Sans" w:hAnsi="Liberation Sans"/>
                <w:b w:val="0"/>
                <w:color w:val="000000"/>
                <w:sz w:val="19"/>
              </w:rPr>
              <w:t>A tool call analyzes a permitted input and returns a structured result; the client retrieves the model report through the same controlled interface.</w:t>
            </w:r>
          </w:p>
        </w:tc>
      </w:tr>
    </w:tbl>
    <w:p>
      <w:pPr>
        <w:pStyle w:val="Heading2"/>
        <w:pageBreakBefore w:val="0"/>
      </w:pPr>
      <w:r>
        <w:t>Evidence required by the graduation brief</w:t>
      </w:r>
    </w:p>
    <w:p>
      <w:r>
        <w:t>The project will connect implementation to the brief through the following deliverables. These are completion evidence rather than a promise of a particular accuracy score. [1]</w:t>
      </w:r>
    </w:p>
    <w:p>
      <w:pPr>
        <w:pStyle w:val="ListBullet"/>
      </w:pPr>
      <w:r>
        <w:t>Practical question and related work: explain human versus synthetic speech detection, the selected baseline and CNN approaches, and the reason for testing unfamiliar attacks.</w:t>
      </w:r>
    </w:p>
    <w:p>
      <w:pPr>
        <w:pStyle w:val="ListBullet"/>
      </w:pPr>
      <w:r>
        <w:t>Real data and early EDA: show sources, actual dataset size and properties, cleaning decisions and partition safeguards. Refine the question if the data or resources require a narrower scope.</w:t>
      </w:r>
    </w:p>
    <w:p>
      <w:pPr>
        <w:pStyle w:val="ListBullet"/>
      </w:pPr>
      <w:r>
        <w:t>End to end solution: demonstrate a path from prepared audio through model input and inference to a displayed assessment, with a reproducible training and evaluation workflow.</w:t>
      </w:r>
    </w:p>
    <w:p>
      <w:pPr>
        <w:pStyle w:val="ListBullet"/>
      </w:pPr>
      <w:r>
        <w:t>Data driven conclusions: compare models under a fixed protocol, report what worked and failed, and explain the limits of generalization using measured results.</w:t>
      </w:r>
    </w:p>
    <w:p>
      <w:pPr>
        <w:pStyle w:val="ListBullet"/>
      </w:pPr>
      <w:r>
        <w:t>Milestones and presentation: deliver data, modeling, evaluation and demonstration milestones. Present within 12 minutes using design choices, plots, results and a working demo; do not show code.</w:t>
      </w:r>
    </w:p>
    <w:p>
      <w:r>
        <w:t>Only completed and evaluated extensions will be described as implemented. The project remains focused on audio detection and its reliability; every included principle contributes to that goal.</w:t>
      </w:r>
    </w:p>
    <w:p>
      <w:pPr>
        <w:pStyle w:val="Heading1"/>
        <w:pageBreakBefore/>
      </w:pPr>
      <w:r>
        <w:t>Execution milestones and presentation</w:t>
      </w:r>
    </w:p>
    <w:p>
      <w:r>
        <w:t>I am responsible for all work. The dates below target the syllabus presentation on 5 November 2026; the syllabus marks its schedule as tentative. Available weekly hours, hardware and hosting access are not yet confirmed, so the first week includes a feasibility checkpoint.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00"/>
        <w:gridCol w:w="2189"/>
        <w:gridCol w:w="6235"/>
      </w:tblGrid>
      <w:tr>
        <w:trPr>
          <w:cantSplit/>
          <w:tblHeader/>
        </w:trPr>
        <w:tc>
          <w:tcPr>
            <w:tcW w:type="dxa" w:w="1800"/>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19"/>
              </w:rPr>
              <w:t>Dates</w:t>
            </w:r>
          </w:p>
        </w:tc>
        <w:tc>
          <w:tcPr>
            <w:tcW w:type="dxa" w:w="2189"/>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19"/>
              </w:rPr>
              <w:t>Milestone</w:t>
            </w:r>
          </w:p>
        </w:tc>
        <w:tc>
          <w:tcPr>
            <w:tcW w:type="dxa" w:w="6235"/>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19"/>
              </w:rPr>
              <w:t>Exit condition</w:t>
            </w:r>
          </w:p>
        </w:tc>
      </w:tr>
      <w:tr>
        <w:trPr>
          <w:cantSplit/>
        </w:trPr>
        <w:tc>
          <w:tcPr>
            <w:tcW w:type="dxa" w:w="1800"/>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5–11 October</w:t>
            </w:r>
          </w:p>
        </w:tc>
        <w:tc>
          <w:tcPr>
            <w:tcW w:type="dxa" w:w="2189"/>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Repository data and baseline</w:t>
            </w:r>
          </w:p>
        </w:tc>
        <w:tc>
          <w:tcPr>
            <w:tcW w:type="dxa" w:w="6235"/>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Repository initialized; data terms and access checked; manifest and EDA complete; baseline and timed training pilot run.</w:t>
            </w:r>
          </w:p>
        </w:tc>
      </w:tr>
      <w:tr>
        <w:trPr>
          <w:cantSplit/>
        </w:trPr>
        <w:tc>
          <w:tcPr>
            <w:tcW w:type="dxa" w:w="1800"/>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12–18 October</w:t>
            </w:r>
          </w:p>
        </w:tc>
        <w:tc>
          <w:tcPr>
            <w:tcW w:type="dxa" w:w="2189"/>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CNN and evaluation protocol</w:t>
            </w:r>
          </w:p>
        </w:tc>
        <w:tc>
          <w:tcPr>
            <w:tcW w:type="dxa" w:w="6235"/>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CNN comparison works; split audit passes; development settings and final test protocol frozen; decide transformer feasibility.</w:t>
            </w:r>
          </w:p>
        </w:tc>
      </w:tr>
      <w:tr>
        <w:trPr>
          <w:cantSplit/>
        </w:trPr>
        <w:tc>
          <w:tcPr>
            <w:tcW w:type="dxa" w:w="1800"/>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19–25 October</w:t>
            </w:r>
          </w:p>
        </w:tc>
        <w:tc>
          <w:tcPr>
            <w:tcW w:type="dxa" w:w="2189"/>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Evidence and working demo</w:t>
            </w:r>
          </w:p>
        </w:tc>
        <w:tc>
          <w:tcPr>
            <w:tcW w:type="dxa" w:w="6235"/>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Locked tests and robustness study complete; error report available; upload flow works; extension only if core is ready.</w:t>
            </w:r>
          </w:p>
        </w:tc>
      </w:tr>
      <w:tr>
        <w:trPr>
          <w:cantSplit/>
        </w:trPr>
        <w:tc>
          <w:tcPr>
            <w:tcW w:type="dxa" w:w="1800"/>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26 October–1 November</w:t>
            </w:r>
          </w:p>
        </w:tc>
        <w:tc>
          <w:tcPr>
            <w:tcW w:type="dxa" w:w="2189"/>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Release and presentation</w:t>
            </w:r>
          </w:p>
        </w:tc>
        <w:tc>
          <w:tcPr>
            <w:tcW w:type="dxa" w:w="6235"/>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Freeze features; measure reliability and latency; verify container setup; finalize model card and presentation draft.</w:t>
            </w:r>
          </w:p>
        </w:tc>
      </w:tr>
      <w:tr>
        <w:trPr>
          <w:cantSplit/>
        </w:trPr>
        <w:tc>
          <w:tcPr>
            <w:tcW w:type="dxa" w:w="1800"/>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2–4 November</w:t>
            </w:r>
          </w:p>
        </w:tc>
        <w:tc>
          <w:tcPr>
            <w:tcW w:type="dxa" w:w="2189"/>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Rehearsal and backup</w:t>
            </w:r>
          </w:p>
        </w:tc>
        <w:tc>
          <w:tcPr>
            <w:tcW w:type="dxa" w:w="6235"/>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Rehearse within 12 minutes; prepare local samples, saved results and a short backup demo recording.</w:t>
            </w:r>
          </w:p>
        </w:tc>
      </w:tr>
      <w:tr>
        <w:trPr>
          <w:cantSplit/>
        </w:trPr>
        <w:tc>
          <w:tcPr>
            <w:tcW w:type="dxa" w:w="1800"/>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5 November</w:t>
            </w:r>
          </w:p>
        </w:tc>
        <w:tc>
          <w:tcPr>
            <w:tcW w:type="dxa" w:w="2189"/>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Final presentation</w:t>
            </w:r>
          </w:p>
        </w:tc>
        <w:tc>
          <w:tcPr>
            <w:tcW w:type="dxa" w:w="6235"/>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Demonstrate the system and explain findings, failures, limitations and next steps.</w:t>
            </w:r>
          </w:p>
        </w:tc>
      </w:tr>
    </w:tbl>
    <w:p>
      <w:pPr>
        <w:spacing w:after="0"/>
      </w:pPr>
    </w:p>
    <w:p>
      <w:pPr>
        <w:pStyle w:val="Heading2"/>
      </w:pPr>
      <w:r>
        <w:t>Risks and decisions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8"/>
        <w:gridCol w:w="7776"/>
      </w:tblGrid>
      <w:tr>
        <w:trPr>
          <w:cantSplit/>
          <w:tblHeader/>
        </w:trPr>
        <w:tc>
          <w:tcPr>
            <w:tcW w:type="dxa" w:w="2448"/>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19"/>
              </w:rPr>
              <w:t>Risk</w:t>
            </w:r>
          </w:p>
        </w:tc>
        <w:tc>
          <w:tcPr>
            <w:tcW w:type="dxa" w:w="7776"/>
            <w:vAlign w:val="center"/>
            <w:tcMar>
              <w:top w:w="75" w:type="dxa"/>
              <w:bottom w:w="75" w:type="dxa"/>
              <w:left w:w="95" w:type="dxa"/>
              <w:right w:w="95" w:type="dxa"/>
            </w:tcMar>
            <w:shd w:fill="213F58"/>
          </w:tcPr>
          <w:p>
            <w:pPr>
              <w:spacing w:after="0" w:line="245" w:lineRule="auto"/>
            </w:pPr>
            <w:r>
              <w:rPr>
                <w:rFonts w:ascii="Liberation Sans" w:hAnsi="Liberation Sans"/>
                <w:b/>
                <w:color w:val="FFFFFF"/>
                <w:sz w:val="19"/>
              </w:rPr>
              <w:t>Decision rule</w:t>
            </w:r>
          </w:p>
        </w:tc>
      </w:tr>
      <w:tr>
        <w:trPr>
          <w:cantSplit/>
        </w:trPr>
        <w:tc>
          <w:tcPr>
            <w:tcW w:type="dxa" w:w="2448"/>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Data access or compute delay</w:t>
            </w:r>
          </w:p>
        </w:tc>
        <w:tc>
          <w:tcPr>
            <w:tcW w:type="dxa" w:w="7776"/>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Keep the 2019 LA core and a declared fixed subset if necessary. Defer 2021 transfer and the transformer before delaying the main report.</w:t>
            </w:r>
          </w:p>
        </w:tc>
      </w:tr>
      <w:tr>
        <w:trPr>
          <w:cantSplit/>
        </w:trPr>
        <w:tc>
          <w:tcPr>
            <w:tcW w:type="dxa" w:w="2448"/>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Leakage or dataset shortcuts</w:t>
            </w:r>
          </w:p>
        </w:tc>
        <w:tc>
          <w:tcPr>
            <w:tcW w:type="dxa" w:w="7776"/>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Audit official partitions, source maps and clip groups. Inspect silence and duration effects. Document any unresolved metadata gaps.</w:t>
            </w:r>
          </w:p>
        </w:tc>
      </w:tr>
      <w:tr>
        <w:trPr>
          <w:cantSplit/>
        </w:trPr>
        <w:tc>
          <w:tcPr>
            <w:tcW w:type="dxa" w:w="2448"/>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Weak performance on new attacks</w:t>
            </w:r>
          </w:p>
        </w:tc>
        <w:tc>
          <w:tcPr>
            <w:tcW w:type="dxa" w:w="7776"/>
            <w:vAlign w:val="center"/>
            <w:tcMar>
              <w:top w:w="75" w:type="dxa"/>
              <w:bottom w:w="75" w:type="dxa"/>
              <w:left w:w="95" w:type="dxa"/>
              <w:right w:w="95" w:type="dxa"/>
            </w:tcMar>
            <w:shd w:fill="FFFFFF"/>
          </w:tcPr>
          <w:p>
            <w:pPr>
              <w:spacing w:after="0" w:line="245" w:lineRule="auto"/>
            </w:pPr>
            <w:r>
              <w:rPr>
                <w:rFonts w:ascii="Liberation Sans" w:hAnsi="Liberation Sans"/>
                <w:b w:val="0"/>
                <w:color w:val="000000"/>
                <w:sz w:val="19"/>
              </w:rPr>
              <w:t>Report the drop and investigate it. Retain a defensible baseline and describe the operating limits; do not tune on final test results.</w:t>
            </w:r>
          </w:p>
        </w:tc>
      </w:tr>
      <w:tr>
        <w:trPr>
          <w:cantSplit/>
        </w:trPr>
        <w:tc>
          <w:tcPr>
            <w:tcW w:type="dxa" w:w="2448"/>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Too many course features</w:t>
            </w:r>
          </w:p>
        </w:tc>
        <w:tc>
          <w:tcPr>
            <w:tcW w:type="dxa" w:w="7776"/>
            <w:vAlign w:val="center"/>
            <w:tcMar>
              <w:top w:w="75" w:type="dxa"/>
              <w:bottom w:w="75" w:type="dxa"/>
              <w:left w:w="95" w:type="dxa"/>
              <w:right w:w="95" w:type="dxa"/>
            </w:tcMar>
            <w:shd w:fill="F3F6F8"/>
          </w:tcPr>
          <w:p>
            <w:pPr>
              <w:spacing w:after="0" w:line="245" w:lineRule="auto"/>
            </w:pPr>
            <w:r>
              <w:rPr>
                <w:rFonts w:ascii="Liberation Sans" w:hAnsi="Liberation Sans"/>
                <w:b w:val="0"/>
                <w:color w:val="000000"/>
                <w:sz w:val="19"/>
              </w:rPr>
              <w:t>Complete core deliverables first. Stop adding features on 26 October. Defer RAG, MCP and cloud deployment if they threaten evaluation or rehearsal.</w:t>
            </w:r>
          </w:p>
        </w:tc>
      </w:tr>
    </w:tbl>
    <w:p>
      <w:pPr>
        <w:spacing w:after="0"/>
      </w:pPr>
    </w:p>
    <w:p>
      <w:pPr>
        <w:pStyle w:val="Heading2"/>
      </w:pPr>
      <w:r>
        <w:t>Final deliverables</w:t>
      </w:r>
    </w:p>
    <w:p>
      <w:r>
        <w:t>The release will contain the source repository and setup guide; dataset manifest and EDA; baseline and CNN configurations; frozen evaluation results and error analysis; a runnable demo and container configuration; a model card; and presentation materials. Any completed extension will include its own measurements. Dataset audio and large model artifacts will be distributed separately only as their terms permit.</w:t>
      </w:r>
    </w:p>
    <w:p>
      <w:pPr>
        <w:pStyle w:val="Heading2"/>
      </w:pPr>
      <w:r>
        <w:t>Presentation within 12 minutes</w:t>
      </w:r>
    </w:p>
    <w:p>
      <w:r>
        <w:t>Use 1 minute for motivation and the question, 2 minutes for data and leakage controls, 2 minutes for models and design choices, 3 minutes for results and failures, 2 minutes for the demo, and 1 minute for limitations and conclusions. Keep 1 minute as buffer. Show plots and system behavior; the graduation brief explicitly asks not to show code. [1]</w:t>
      </w:r>
    </w:p>
    <w:sectPr w:rsidR="00FC693F" w:rsidRPr="0006063C" w:rsidSect="00034616">
      <w:headerReference w:type="default" r:id="rId9"/>
      <w:footerReference w:type="default" r:id="rId10"/>
      <w:pgSz w:w="12240" w:h="15840"/>
      <w:pgMar w:top="922" w:right="1008" w:bottom="864"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Mohamad Abo-Ras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AI VOICE DEEPFAKE DETECTOR  |  FINAL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160" w:line="252" w:lineRule="auto"/>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80" w:line="252" w:lineRule="auto"/>
      <w:outlineLvl w:val="1"/>
    </w:pPr>
    <w:rPr>
      <w:rFonts w:asciiTheme="majorHAnsi" w:eastAsiaTheme="majorEastAsia" w:hAnsiTheme="majorHAnsi" w:cstheme="majorBidi" w:ascii="Liberation Sans" w:hAnsi="Liberation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2" w:lineRule="auto"/>
      <w:contextualSpacing/>
    </w:pPr>
    <w:rPr>
      <w:rFonts w:asciiTheme="majorHAnsi" w:eastAsiaTheme="majorEastAsia" w:hAnsiTheme="majorHAnsi" w:cstheme="majorBidi" w:ascii="Liberation Sans" w:hAnsi="Liberation San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2" w:lineRule="auto"/>
    </w:pPr>
    <w:rPr>
      <w:rFonts w:asciiTheme="majorHAnsi" w:eastAsiaTheme="majorEastAsia" w:hAnsiTheme="majorHAnsi" w:cstheme="majorBidi" w:ascii="Liberation Sans" w:hAnsi="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2" w:lineRule="auto"/>
      <w:contextualSpacing/>
    </w:pPr>
    <w:rPr>
      <w:rFonts w:ascii="Liberation Sans" w:hAnsi="Liberation San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2" w:lineRule="auto"/>
      <w:contextualSpacing/>
    </w:pPr>
    <w:rPr>
      <w:rFonts w:ascii="Liberation Sans" w:hAnsi="Liberation San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enodo.org/records/6906306" TargetMode="External"/><Relationship Id="rId12" Type="http://schemas.openxmlformats.org/officeDocument/2006/relationships/hyperlink" Target="https://www.asvspoof.org/asvspoof2021/asvspoof2021_evaluation_plan.pdf" TargetMode="External"/><Relationship Id="rId13" Type="http://schemas.openxmlformats.org/officeDocument/2006/relationships/hyperlink" Target="https://www.asvspoof.org/index2021.html" TargetMode="External"/><Relationship Id="rId14" Type="http://schemas.openxmlformats.org/officeDocument/2006/relationships/hyperlink" Target="https://huggingface.co/facebook/wav2vec2-base" TargetMode="External"/><Relationship Id="rId15" Type="http://schemas.openxmlformats.org/officeDocument/2006/relationships/hyperlink" Target="https://zenodo.org/records/5642694" TargetMode="External"/><Relationship Id="rId16" Type="http://schemas.openxmlformats.org/officeDocument/2006/relationships/hyperlink" Target="https://docs.github.com/en/repositories/creating-and-managing-repositories/creating-a-new-repository" TargetMode="External"/><Relationship Id="rId17" Type="http://schemas.openxmlformats.org/officeDocument/2006/relationships/hyperlink" Target="https://docs.github.com/en/issues/planning-and-tracking-with-projects/learning-about-projects/about-projects" TargetMode="External"/><Relationship Id="rId18" Type="http://schemas.openxmlformats.org/officeDocument/2006/relationships/hyperlink" Target="https://github.com/asvspoof-challenge/2021/blob/main/eval-package/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Voice Deepfake Detector Proposal</dc:title>
  <dc:subject>AI Engineering final project with syllabus coverage and implementation plan</dc:subject>
  <dc:creator>Mohamad Abo-Ras</dc:creator>
  <cp:keywords/>
  <dc:description>generated by python-docx</dc:description>
  <cp:lastModifiedBy/>
  <cp:revision>1</cp:revision>
  <dcterms:created xsi:type="dcterms:W3CDTF">2013-12-23T23:15:00Z</dcterms:created>
  <dcterms:modified xsi:type="dcterms:W3CDTF">2013-12-23T23:15:00Z</dcterms:modified>
  <cp:category/>
</cp:coreProperties>
</file>