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color w:val="000000"/>
          <w:sz w:val="40"/>
          <w:szCs w:val="40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۲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331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معمولی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افتاده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نویسیم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معمولی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کوچکتر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m:t>∀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i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نیروی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عادی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خرابی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نامناسب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(0.8*(x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)+20)=40-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(0.8*(x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)+0.9*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)=10+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(0.8*(x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0.9*y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)=40+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(0.8*(x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)+0.9*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)=20+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تقاضا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براورده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۴=0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</w:t>
      </w: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*40+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*40+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*40+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*40+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*8=40*(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)+60*(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8*(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)+10*(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571950" cy="403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xij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خریداری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 = { 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کتاب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۲‌: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روزنامه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۳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مقوا</w:t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۴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j= { 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پردازش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Lk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خمیر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nary>
          <m:naryPr>
            <m:chr m:val="∑"/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naryPr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j=1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p>
        </m:nary>
        <m:nary>
          <m:naryPr>
            <m:chr m:val="∑"/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naryPr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i=1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p>
        </m:nary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ij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بازیافتی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خمیر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روزنامه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0.9*(x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)+0.8*(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=500</w:t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بازیافتی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خمیر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مقوا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0.9*(x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)+0.8*(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 :</w:t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بازیافتی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خمیر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روزنامه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مقوا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0.9*(x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)+0.8*(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=600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Z =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8*(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6*(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25*x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28*x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+23*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+26*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+21*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1133.8582677165355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AMUW2mWiW7zBIXPOPFzo4OShXLWnWPGRFZErh2c8gcvEFax1EW8tjFTUTQevQtuXqyrTMitDtMrmGus7O4Ck9nLaaL73amFDp79rR3we1zmhq96WbcmL6HQ=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