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IoT PLC — Embedded Linux SoC Selection</w:t>
      </w:r>
    </w:p>
    <w:p>
      <w:pPr/>
      <w:r>
        <w:t xml:space="preserve">Oct 3, 2026</w:t>
      </w:r>
      <w:r>
        <w:t xml:space="preserve"> · </w:t>
      </w:r>
      <w:r>
        <w:t xml:space="preserve">@MohammadJavad</w:t>
      </w:r>
    </w:p>
    <w:p>
      <w:pPr>
        <w:pStyle w:val="Heading2"/>
      </w:pPr>
      <w:r>
        <w:t xml:space="preserve">Why embedded Linux</w:t>
      </w:r>
    </w:p>
    <w:p>
      <w:pPr/>
      <w:r>
        <w:t xml:space="preserve">A Linux processor should replace the ESP32-S3 as the </w:t>
      </w:r>
      <w:r>
        <w:rPr>
          <w:b/>
        </w:rPr>
        <w:t xml:space="preserve">communication and application brain</w:t>
      </w:r>
      <w:r>
        <w:t xml:space="preserve">, while the STM32H750 stays as the </w:t>
      </w:r>
      <w:r>
        <w:rPr>
          <w:b/>
        </w:rPr>
        <w:t xml:space="preserve">real-time I/O processor</w:t>
      </w:r>
      <w:r>
        <w:t xml:space="preserve">. This split keeps the deterministic PLC scan (DI/DO/AI/AO, watchdog, power-fail latch) on bare metal and moves everything that changes often to Linux.</w:t>
      </w:r>
    </w:p>
    <w:p>
      <w:pPr/>
      <w:r>
        <w:t xml:space="preserve">What Linux adds that the ESP32 cannot:</w:t>
      </w:r>
    </w:p>
    <w:p>
      <w:pPr>
        <w:pStyle w:val="ListParagraph"/>
        <w:numPr>
          <w:ilvl w:val="0"/>
          <w:numId w:val="2"/>
        </w:numPr>
      </w:pPr>
      <w:r>
        <w:t xml:space="preserve">Native Ethernet (one or two ports), Modbus TCP server, OPC UA, MQTT/Sparkplug B and a web HMI at the same time</w:t>
      </w:r>
    </w:p>
    <w:p>
      <w:pPr>
        <w:pStyle w:val="ListParagraph"/>
        <w:numPr>
          <w:ilvl w:val="0"/>
          <w:numId w:val="2"/>
        </w:numPr>
      </w:pPr>
      <w:r>
        <w:t xml:space="preserve">Secure boot, encrypted storage, A/B firmware updates and signed packages (needed for IEC 62443 / EU Cyber Resilience Act)</w:t>
      </w:r>
    </w:p>
    <w:p>
      <w:pPr>
        <w:pStyle w:val="ListParagraph"/>
        <w:numPr>
          <w:ilvl w:val="0"/>
          <w:numId w:val="2"/>
        </w:numPr>
      </w:pPr>
      <w:r>
        <w:t xml:space="preserve">Containers or Python/Node-RED on the device for customer logic and protocol converters</w:t>
      </w:r>
    </w:p>
    <w:p>
      <w:pPr>
        <w:pStyle w:val="ListParagraph"/>
        <w:numPr>
          <w:ilvl w:val="0"/>
          <w:numId w:val="2"/>
        </w:numPr>
      </w:pPr>
      <w:r>
        <w:t xml:space="preserve">Larger storage for data logging (eMMC) and a USB host for sticks and LTE modems</w:t>
      </w:r>
    </w:p>
    <w:p>
      <w:pPr>
        <w:pStyle w:val="ListParagraph"/>
        <w:numPr>
          <w:ilvl w:val="0"/>
          <w:numId w:val="2"/>
        </w:numPr>
      </w:pPr>
      <w:r>
        <w:t xml:space="preserve">An IEC 61131-3 runtime (CODESYS Control for Linux, or the open-source OpenPLC/Beremiz) next to the I/O firmware</w:t>
      </w:r>
    </w:p>
    <w:p>
      <w:pPr/>
      <w:r>
        <w:t xml:space="preserve">What stays on the current board: the I/O pages, power supply, RS-485/RS-232, RTC, FRAM latch memory and the expansion bus. Only the Connection page (ESP32) changes.</w:t>
      </w:r>
    </w:p>
    <w:p>
      <w:pPr>
        <w:pStyle w:val="Heading2"/>
      </w:pPr>
      <w:r>
        <w:t xml:space="preserve">Requirements for the processor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 for this PLC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Ethernet</w:t>
            </w:r>
          </w:p>
        </w:tc>
        <w:tc>
          <w:tcPr>
            <w:tcW w:w="3120" w:type="dxa"/>
          </w:tcPr>
          <w:p>
            <w:pPr/>
            <w:r>
              <w:t xml:space="preserve">2 × 10/100/1000 MAC, ideally with a switch or TSN</w:t>
            </w:r>
          </w:p>
        </w:tc>
        <w:tc>
          <w:tcPr>
            <w:tcW w:w="3120" w:type="dxa"/>
          </w:tcPr>
          <w:p>
            <w:pPr/>
            <w:r>
              <w:t xml:space="preserve">Daisy-chain line topology, Modbus TCP, OPC UA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Temperature</w:t>
            </w:r>
          </w:p>
        </w:tc>
        <w:tc>
          <w:tcPr>
            <w:tcW w:w="3120" w:type="dxa"/>
          </w:tcPr>
          <w:p>
            <w:pPr/>
            <w:r>
              <w:t xml:space="preserve">−40 to +85 °C ambient (industrial grade)</w:t>
            </w:r>
          </w:p>
        </w:tc>
        <w:tc>
          <w:tcPr>
            <w:tcW w:w="3120" w:type="dxa"/>
          </w:tcPr>
          <w:p>
            <w:pPr/>
            <w:r>
              <w:t xml:space="preserve">Control cabinets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Longevity</w:t>
            </w:r>
          </w:p>
        </w:tc>
        <w:tc>
          <w:tcPr>
            <w:tcW w:w="3120" w:type="dxa"/>
          </w:tcPr>
          <w:p>
            <w:pPr/>
            <w:r>
              <w:t xml:space="preserve">10+ years in the vendor's longevity programme</w:t>
            </w:r>
          </w:p>
        </w:tc>
        <w:tc>
          <w:tcPr>
            <w:tcW w:w="3120" w:type="dxa"/>
          </w:tcPr>
          <w:p>
            <w:pPr/>
            <w:r>
              <w:t xml:space="preserve">Industrial customers re-order for a decade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Security</w:t>
            </w:r>
          </w:p>
        </w:tc>
        <w:tc>
          <w:tcPr>
            <w:tcW w:w="3120" w:type="dxa"/>
          </w:tcPr>
          <w:p>
            <w:pPr/>
            <w:r>
              <w:t xml:space="preserve">Secure boot, crypto engine, TrustZone/OP-TEE, OTP keys</w:t>
            </w:r>
          </w:p>
        </w:tc>
        <w:tc>
          <w:tcPr>
            <w:tcW w:w="3120" w:type="dxa"/>
          </w:tcPr>
          <w:p>
            <w:pPr/>
            <w:r>
              <w:t xml:space="preserve">CRA and IEC 62443-4-2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Memory</w:t>
            </w:r>
          </w:p>
        </w:tc>
        <w:tc>
          <w:tcPr>
            <w:tcW w:w="3120" w:type="dxa"/>
          </w:tcPr>
          <w:p>
            <w:pPr/>
            <w:r>
              <w:t xml:space="preserve">256–512 MB DDR3L/DDR4/LPDDR4, 4–8 GB eMMC</w:t>
            </w:r>
          </w:p>
        </w:tc>
        <w:tc>
          <w:tcPr>
            <w:tcW w:w="3120" w:type="dxa"/>
          </w:tcPr>
          <w:p>
            <w:pPr/>
            <w:r>
              <w:t xml:space="preserve">Linux + logging + web HMI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PCB difficulty</w:t>
            </w:r>
          </w:p>
        </w:tc>
        <w:tc>
          <w:tcPr>
            <w:tcW w:w="3120" w:type="dxa"/>
          </w:tcPr>
          <w:p>
            <w:pPr/>
            <w:r>
              <w:t xml:space="preserve">Package with 0.8 mm ball pitch, single 16-bit DDR, 4–6 layers</w:t>
            </w:r>
          </w:p>
        </w:tc>
        <w:tc>
          <w:tcPr>
            <w:tcW w:w="3120" w:type="dxa"/>
          </w:tcPr>
          <w:p>
            <w:pPr/>
            <w:r>
              <w:t xml:space="preserve">Your team designs and builds it in-house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Power</w:t>
            </w:r>
          </w:p>
        </w:tc>
        <w:tc>
          <w:tcPr>
            <w:tcW w:w="3120" w:type="dxa"/>
          </w:tcPr>
          <w:p>
            <w:pPr/>
            <w:r>
              <w:t xml:space="preserve">1–2 W typical, discrete regulators or one PMIC</w:t>
            </w:r>
          </w:p>
        </w:tc>
        <w:tc>
          <w:tcPr>
            <w:tcW w:w="3120" w:type="dxa"/>
          </w:tcPr>
          <w:p>
            <w:pPr/>
            <w:r>
              <w:t xml:space="preserve">Runs from the existing 24 V → 5 V → 3.3 V chain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Real-time link</w:t>
            </w:r>
          </w:p>
        </w:tc>
        <w:tc>
          <w:tcPr>
            <w:tcW w:w="3120" w:type="dxa"/>
          </w:tcPr>
          <w:p>
            <w:pPr/>
            <w:r>
              <w:t xml:space="preserve">SPI or UART to the STM32H750 (or an on-chip MCU core)</w:t>
            </w:r>
          </w:p>
        </w:tc>
        <w:tc>
          <w:tcPr>
            <w:tcW w:w="3120" w:type="dxa"/>
          </w:tcPr>
          <w:p>
            <w:pPr/>
            <w:r>
              <w:t xml:space="preserve">Keeps the I/O scan deterministic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Software</w:t>
            </w:r>
          </w:p>
        </w:tc>
        <w:tc>
          <w:tcPr>
            <w:tcW w:w="3120" w:type="dxa"/>
          </w:tcPr>
          <w:p>
            <w:pPr/>
            <w:r>
              <w:t xml:space="preserve">Mainline Linux + Yocto/Buildroot BSP, long-term support</w:t>
            </w:r>
          </w:p>
        </w:tc>
        <w:tc>
          <w:tcPr>
            <w:tcW w:w="3120" w:type="dxa"/>
          </w:tcPr>
          <w:p>
            <w:pPr/>
            <w:r>
              <w:t xml:space="preserve">Low maintenance cost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</w:t>
            </w:r>
          </w:p>
        </w:tc>
        <w:tc>
          <w:tcPr>
            <w:tcW w:w="3120" w:type="dxa"/>
          </w:tcPr>
          <w:p>
            <w:pPr/>
            <w:r>
              <w:t xml:space="preserve">Under about US$15 for the SoC</w:t>
            </w:r>
          </w:p>
        </w:tc>
        <w:tc>
          <w:tcPr>
            <w:tcW w:w="3120" w:type="dxa"/>
          </w:tcPr>
          <w:p>
            <w:pPr/>
            <w:r>
              <w:t xml:space="preserve">Keeps the head-unit BOM competitive</w:t>
            </w:r>
          </w:p>
        </w:tc>
      </w:tr>
    </w:tbl>
    <w:p>
      <w:pPr>
        <w:pStyle w:val="Heading2"/>
      </w:pPr>
      <w:r>
        <w:t xml:space="preserve">Candidate processors</w:t>
      </w:r>
    </w:p>
    <w:p>
      <w:pPr/>
      <w:r>
        <w:t xml:space="preserve">Three families fit an industrial PLC well: ST STM32MP1/MP2, NXP i.MX 93 and TI AM62x. Allwinner and Rockchip parts are cheaper, but their documentation, longevity and security are weak for an industrial product.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SoC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CPU / real-time core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Ethernet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DRAM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Package (pitch)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Temp. / longevity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Integration effort</w:t>
            </w:r>
          </w:p>
        </w:tc>
      </w:tr>
      <w:tr>
        <w:tc>
          <w:tcPr>
            <w:tcW w:w="1337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STM32MP135F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1 × Cortex-A7 1 GHz / none</w:t>
            </w:r>
          </w:p>
        </w:tc>
        <w:tc>
          <w:tcPr>
            <w:tcW w:w="1337" w:type="dxa"/>
          </w:tcPr>
          <w:p>
            <w:pPr/>
            <w:r>
              <w:t xml:space="preserve">2 × GbE, IEEE 1588</w:t>
            </w:r>
          </w:p>
        </w:tc>
        <w:tc>
          <w:tcPr>
            <w:tcW w:w="1337" w:type="dxa"/>
          </w:tcPr>
          <w:p>
            <w:pPr/>
            <w:r>
              <w:t xml:space="preserve">16-bit DDR3L or LPDDR2/3, up to 1 GB</w:t>
            </w:r>
          </w:p>
        </w:tc>
        <w:tc>
          <w:tcPr>
            <w:tcW w:w="1337" w:type="dxa"/>
          </w:tcPr>
          <w:p>
            <w:pPr/>
            <w:r>
              <w:t xml:space="preserve">LFBGA289 14×14 mm (0.8 mm)</w:t>
            </w:r>
          </w:p>
        </w:tc>
        <w:tc>
          <w:tcPr>
            <w:tcW w:w="1337" w:type="dxa"/>
          </w:tcPr>
          <w:p>
            <w:pPr/>
            <w:r>
              <w:t xml:space="preserve">Industrial, 10-year ST longevity</w:t>
            </w:r>
          </w:p>
        </w:tc>
        <w:tc>
          <w:tcPr>
            <w:tcW w:w="1337" w:type="dxa"/>
          </w:tcPr>
          <w:p>
            <w:pPr/>
            <w:r>
              <w:t xml:space="preserve">Lowest: 4-layer board possible, discrete power</w:t>
            </w:r>
          </w:p>
        </w:tc>
      </w:tr>
      <w:tr>
        <w:tc>
          <w:tcPr>
            <w:tcW w:w="1337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STM32MP235 / MP23x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1–2 × Cortex-A35 1.5 GHz / Cortex-M33 400 MHz, NPU 0.6 TOPS</w:t>
            </w:r>
          </w:p>
        </w:tc>
        <w:tc>
          <w:tcPr>
            <w:tcW w:w="1337" w:type="dxa"/>
          </w:tcPr>
          <w:p>
            <w:pPr/>
            <w:r>
              <w:t xml:space="preserve">2 × GbE with TSN</w:t>
            </w:r>
          </w:p>
        </w:tc>
        <w:tc>
          <w:tcPr>
            <w:tcW w:w="1337" w:type="dxa"/>
          </w:tcPr>
          <w:p>
            <w:pPr/>
            <w:r>
              <w:t xml:space="preserve">16-bit DDR3L/DDR4/LPDDR4, up to 4 GB</w:t>
            </w:r>
          </w:p>
        </w:tc>
        <w:tc>
          <w:tcPr>
            <w:tcW w:w="1337" w:type="dxa"/>
          </w:tcPr>
          <w:p>
            <w:pPr/>
            <w:r>
              <w:t xml:space="preserve">TFBGA361 16×16 / TFBGA436 18×18 (0.8 mm)</w:t>
            </w:r>
          </w:p>
        </w:tc>
        <w:tc>
          <w:tcPr>
            <w:tcW w:w="1337" w:type="dxa"/>
          </w:tcPr>
          <w:p>
            <w:pPr/>
            <w:r>
              <w:t xml:space="preserve">−40…+125 °C Tj, 10 years; from US$8.46 @1k</w:t>
            </w:r>
          </w:p>
        </w:tc>
        <w:tc>
          <w:tcPr>
            <w:tcW w:w="1337" w:type="dxa"/>
          </w:tcPr>
          <w:p>
            <w:pPr/>
            <w:r>
              <w:t xml:space="preserve">Medium: 6 layers, PMIC</w:t>
            </w:r>
          </w:p>
        </w:tc>
      </w:tr>
      <w:tr>
        <w:tc>
          <w:tcPr>
            <w:tcW w:w="1337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STM32MP257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2 × A35 + M33, NPU 1.35 TOPS</w:t>
            </w:r>
          </w:p>
        </w:tc>
        <w:tc>
          <w:tcPr>
            <w:tcW w:w="1337" w:type="dxa"/>
          </w:tcPr>
          <w:p>
            <w:pPr/>
            <w:r>
              <w:t xml:space="preserve">3 × GbE incl. TSN switch</w:t>
            </w:r>
          </w:p>
        </w:tc>
        <w:tc>
          <w:tcPr>
            <w:tcW w:w="1337" w:type="dxa"/>
          </w:tcPr>
          <w:p>
            <w:pPr/>
            <w:r>
              <w:t xml:space="preserve">32-bit DDR4/LPDDR4</w:t>
            </w:r>
          </w:p>
        </w:tc>
        <w:tc>
          <w:tcPr>
            <w:tcW w:w="1337" w:type="dxa"/>
          </w:tcPr>
          <w:p>
            <w:pPr/>
            <w:r>
              <w:t xml:space="preserve">0.8 mm and 0.5 mm options</w:t>
            </w:r>
          </w:p>
        </w:tc>
        <w:tc>
          <w:tcPr>
            <w:tcW w:w="1337" w:type="dxa"/>
          </w:tcPr>
          <w:p>
            <w:pPr/>
            <w:r>
              <w:t xml:space="preserve">Industrial, 10 years</w:t>
            </w:r>
          </w:p>
        </w:tc>
        <w:tc>
          <w:tcPr>
            <w:tcW w:w="1337" w:type="dxa"/>
          </w:tcPr>
          <w:p>
            <w:pPr/>
            <w:r>
              <w:t xml:space="preserve">Medium–high</w:t>
            </w:r>
          </w:p>
        </w:tc>
      </w:tr>
      <w:tr>
        <w:tc>
          <w:tcPr>
            <w:tcW w:w="1337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NXP i.MX 93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2 × Cortex-A55 / Cortex-M33 250 MHz, Ethos-U65 NPU</w:t>
            </w:r>
          </w:p>
        </w:tc>
        <w:tc>
          <w:tcPr>
            <w:tcW w:w="1337" w:type="dxa"/>
          </w:tcPr>
          <w:p>
            <w:pPr/>
            <w:r>
              <w:t xml:space="preserve">2 × GbE, one with TSN</w:t>
            </w:r>
          </w:p>
        </w:tc>
        <w:tc>
          <w:tcPr>
            <w:tcW w:w="1337" w:type="dxa"/>
          </w:tcPr>
          <w:p>
            <w:pPr/>
            <w:r>
              <w:t xml:space="preserve">16-bit LPDDR4/4X with inline ECC</w:t>
            </w:r>
          </w:p>
        </w:tc>
        <w:tc>
          <w:tcPr>
            <w:tcW w:w="1337" w:type="dxa"/>
          </w:tcPr>
          <w:p>
            <w:pPr/>
            <w:r>
              <w:t xml:space="preserve">14×14 (0.65 mm), 11×11 and 9×9 (0.5 mm)</w:t>
            </w:r>
          </w:p>
        </w:tc>
        <w:tc>
          <w:tcPr>
            <w:tcW w:w="1337" w:type="dxa"/>
          </w:tcPr>
          <w:p>
            <w:pPr/>
            <w:r>
              <w:t xml:space="preserve">−40…+125 °C, 15 years</w:t>
            </w:r>
          </w:p>
        </w:tc>
        <w:tc>
          <w:tcPr>
            <w:tcW w:w="1337" w:type="dxa"/>
          </w:tcPr>
          <w:p>
            <w:pPr/>
            <w:r>
              <w:t xml:space="preserve">Medium–high: 0.5/0.65 mm pitch, LPDDR4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TI AM62x (approximate, from memory)</w:t>
            </w:r>
          </w:p>
        </w:tc>
        <w:tc>
          <w:tcPr>
            <w:tcW w:w="1337" w:type="dxa"/>
          </w:tcPr>
          <w:p>
            <w:pPr/>
            <w:r>
              <w:t xml:space="preserve">1–4 × Cortex-A53 1.4 GHz / Cortex-M4F</w:t>
            </w:r>
          </w:p>
        </w:tc>
        <w:tc>
          <w:tcPr>
            <w:tcW w:w="1337" w:type="dxa"/>
          </w:tcPr>
          <w:p>
            <w:pPr/>
            <w:r>
              <w:t xml:space="preserve">2-port GbE switch with TSN</w:t>
            </w:r>
          </w:p>
        </w:tc>
        <w:tc>
          <w:tcPr>
            <w:tcW w:w="1337" w:type="dxa"/>
          </w:tcPr>
          <w:p>
            <w:pPr/>
            <w:r>
              <w:t xml:space="preserve">DDR4/LPDDR4</w:t>
            </w:r>
          </w:p>
        </w:tc>
        <w:tc>
          <w:tcPr>
            <w:tcW w:w="1337" w:type="dxa"/>
          </w:tcPr>
          <w:p>
            <w:pPr/>
            <w:r>
              <w:t xml:space="preserve">17×17 mm (0.8 mm)</w:t>
            </w:r>
          </w:p>
        </w:tc>
        <w:tc>
          <w:tcPr>
            <w:tcW w:w="1337" w:type="dxa"/>
          </w:tcPr>
          <w:p>
            <w:pPr/>
            <w:r>
              <w:t xml:space="preserve">Industrial, long TI support</w:t>
            </w:r>
          </w:p>
        </w:tc>
        <w:tc>
          <w:tcPr>
            <w:tcW w:w="1337" w:type="dxa"/>
          </w:tcPr>
          <w:p>
            <w:pPr/>
            <w:r>
              <w:t xml:space="preserve">Medium: 6+ layers</w:t>
            </w:r>
          </w:p>
        </w:tc>
      </w:tr>
    </w:tbl>
    <w:p>
      <w:pPr/>
      <w:r>
        <w:t xml:space="preserve">For this PLC the decision is between the </w:t>
      </w:r>
      <w:r>
        <w:rPr>
          <w:b/>
        </w:rPr>
        <w:t xml:space="preserve">STM32MP135</w:t>
      </w:r>
      <w:r>
        <w:t xml:space="preserve"> (simplest, cheapest to integrate) and the </w:t>
      </w:r>
      <w:r>
        <w:rPr>
          <w:b/>
        </w:rPr>
        <w:t xml:space="preserve">STM32MP23x</w:t>
      </w:r>
      <w:r>
        <w:t xml:space="preserve"> (more performance, on-chip M33, TSN). Both stay in the STM32 tool chain your team already uses for the H750.</w:t>
      </w:r>
    </w:p>
    <w:p>
      <w:pPr>
        <w:pStyle w:val="Heading2"/>
      </w:pPr>
      <w:r>
        <w:t xml:space="preserve">Recommendation</w:t>
      </w:r>
    </w:p>
    <w:p>
      <w:pPr/>
      <w:r>
        <w:rPr>
          <w:b/>
        </w:rPr>
        <w:t xml:space="preserve">Use the STM32MP135F in the LFBGA289 (14×14 mm, 0.8 mm pitch) package, with the STM32H750 kept as the I/O co-processor.</w:t>
      </w:r>
      <w:r>
        <w:t xml:space="preserve"> It is the most integration-friendly Linux processor that still meets every industrial requirement.</w:t>
      </w:r>
    </w:p>
    <w:p>
      <w:pPr/>
      <w:r>
        <w:t xml:space="preserve">Why it is the optimal choice for this product: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Two Gigabit Ethernet MACs</w:t>
      </w:r>
      <w:r>
        <w:t xml:space="preserve"> on chip, so a dual-port head unit needs only two RGMII PHYs (or one PHY plus a 3-port switch for line topology).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Easiest board design in the class</w:t>
      </w:r>
      <w:r>
        <w:t xml:space="preserve">: 0.8 mm ball pitch, a single 16-bit DDR3L chip and ST reference designs that fit on 4 layers. You can keep building in-house.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Same ecosystem as the H750</w:t>
      </w:r>
      <w:r>
        <w:t xml:space="preserve">: STM32CubeIDE/CubeMX, OpenSTLinux (Yocto), ST forums and FAEs. No new vendor to learn.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Security that matches the CRA</w:t>
      </w:r>
      <w:r>
        <w:t xml:space="preserve">: secure boot, TrustZone with OP-TEE, crypto engine and on-the-fly DDR encryption.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Low power</w:t>
      </w:r>
      <w:r>
        <w:t xml:space="preserve"> (well under 1 W typical), so the existing 24 V → 5 V → 3.3 V supply only needs a DDR rail and a core rail added.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Two CAN FD</w:t>
      </w:r>
      <w:r>
        <w:t xml:space="preserve"> and ADCs on chip if you later want CANopen or extra analog monitoring.</w:t>
      </w:r>
    </w:p>
    <w:p>
      <w:pPr/>
      <w:r>
        <w:t xml:space="preserve">When to choose the STM32MP23x instead: when you need TSN, a vision/AI model on the device, or want to drop the H750 and run the real-time I/O scan on the on-chip Cortex-M33. Expect a 6-layer board and a PMIC.</w:t>
      </w:r>
    </w:p>
    <w:p>
      <w:pPr/>
      <w:r>
        <w:t xml:space="preserve">What the MP135 does not have: no on-chip MCU core (hence keeping the H750) and no NPU. Neither is needed for a PLC head unit.</w:t>
      </w:r>
    </w:p>
    <w:p>
      <w:pPr>
        <w:pStyle w:val="Heading2"/>
      </w:pPr>
      <w:r>
        <w:t xml:space="preserve">Reference architecture</w:t>
      </w:r>
    </w:p>
    <w:p>
      <w:pPr/>
      <w:r>
        <w:drawing>
          <wp:inline distT="0" distB="0" distL="0" distR="0">
            <wp:extent cx="5486400" cy="3200400"/>
            <wp:docPr id="1" name="image1" descr="v2 architecture · Linux head + existing I/O boar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v2 architecture · Linux head + existing I/O boar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v2 architecture · Linux head + existing I/O board</w:t>
      </w:r>
    </w:p>
    <w:p>
      <w:pPr/>
      <w:r>
        <w:t xml:space="preserve">Only the ESP32 Connection page is replaced. The H750 keeps USART3 free for an optional Wi-Fi module and exchanges a CRC-protected process image with the MP135 over SPI every scan.</w:t>
      </w:r>
    </w:p>
    <w:p>
      <w:pPr>
        <w:pStyle w:val="Heading2"/>
      </w:pPr>
      <w:r>
        <w:t xml:space="preserve">Integration path</w:t>
      </w:r>
    </w:p>
    <w:p>
      <w:pPr/>
      <w:r>
        <w:t xml:space="preserve">Start with a system-on-module, then move the same SoC chip-down once volume justifies it. The SoM removes the DDR and power-sequencing risk from the first release.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Board work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Risk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SoM (STM32MP13 module from an ST partner) on the head board</w:t>
            </w:r>
          </w:p>
        </w:tc>
        <w:tc>
          <w:tcPr>
            <w:tcW w:w="2340" w:type="dxa"/>
          </w:tcPr>
          <w:p>
            <w:pPr/>
            <w:r>
              <w:t xml:space="preserve">First 100–1000 units</w:t>
            </w:r>
          </w:p>
        </w:tc>
        <w:tc>
          <w:tcPr>
            <w:tcW w:w="2340" w:type="dxa"/>
          </w:tcPr>
          <w:p>
            <w:pPr/>
            <w:r>
              <w:t xml:space="preserve">Carrier board only, 4 layers</w:t>
            </w:r>
          </w:p>
        </w:tc>
        <w:tc>
          <w:tcPr>
            <w:tcW w:w="2340" w:type="dxa"/>
          </w:tcPr>
          <w:p>
            <w:pPr/>
            <w:r>
              <w:t xml:space="preserve">Low; module costs more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Chip-down STM32MP135F + DDR3L + eMMC</w:t>
            </w:r>
          </w:p>
        </w:tc>
        <w:tc>
          <w:tcPr>
            <w:tcW w:w="2340" w:type="dxa"/>
          </w:tcPr>
          <w:p>
            <w:pPr/>
            <w:r>
              <w:t xml:space="preserve">Volume above about 1000/year</w:t>
            </w:r>
          </w:p>
        </w:tc>
        <w:tc>
          <w:tcPr>
            <w:tcW w:w="2340" w:type="dxa"/>
          </w:tcPr>
          <w:p>
            <w:pPr/>
            <w:r>
              <w:t xml:space="preserve">Copy ST reference layout, DDR length matching</w:t>
            </w:r>
          </w:p>
        </w:tc>
        <w:tc>
          <w:tcPr>
            <w:tcW w:w="2340" w:type="dxa"/>
          </w:tcPr>
          <w:p>
            <w:pPr/>
            <w:r>
              <w:t xml:space="preserve">Medium; needs SI review</w:t>
            </w:r>
          </w:p>
        </w:tc>
      </w:tr>
    </w:tbl>
    <w:p>
      <w:pPr/>
      <w:r>
        <w:t xml:space="preserve">Software stack: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OS</w:t>
      </w:r>
      <w:r>
        <w:t xml:space="preserve">: OpenSTLinux (Yocto) with an A/B rootfs and RAUC or SWUpdate for signed updates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Runtime</w:t>
      </w:r>
      <w:r>
        <w:t xml:space="preserve">: CODESYS Control for Linux (commercial) or OpenPLC/Beremiz for IEC 61131-3; Node-RED optional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Protocols</w:t>
      </w:r>
      <w:r>
        <w:t xml:space="preserve">: Modbus TCP/RTU, OPC UA (open62541), MQTT/Sparkplug B to AWS IoT, web HMI over HTTPS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I/O link</w:t>
      </w:r>
      <w:r>
        <w:t xml:space="preserve">: SPI at 10–20 MHz to the H750 with a framed process image (inputs, outputs, diagnostics, CRC), refreshed every scan</w:t>
      </w:r>
    </w:p>
    <w:p>
      <w:pPr/>
      <w:r>
        <w:t xml:space="preserve">Roadmap:</w:t>
      </w:r>
    </w:p>
    <w:p>
      <w:pPr>
        <w:pStyle w:val="ListParagraph"/>
        <w:numPr>
          <w:ilvl w:val="0"/>
          <w:numId w:val="5"/>
        </w:numPr>
      </w:pPr>
      <w:r>
        <w:t xml:space="preserve">Now: finish v1 (H750 + ESP32-S3), keep Ethernet out of v1 or add a W5500 on the ESP32 SPI bus</w:t>
      </w:r>
    </w:p>
    <w:p>
      <w:pPr>
        <w:pStyle w:val="ListParagraph"/>
        <w:numPr>
          <w:ilvl w:val="0"/>
          <w:numId w:val="5"/>
        </w:numPr>
      </w:pPr>
      <w:r>
        <w:t xml:space="preserve">v2 prototype: STM32MP135 SoM on a new Connection board, ESP32 kept only as Wi-Fi/BLE co-processor (or dropped)</w:t>
      </w:r>
    </w:p>
    <w:p>
      <w:pPr>
        <w:pStyle w:val="ListParagraph"/>
        <w:numPr>
          <w:ilvl w:val="0"/>
          <w:numId w:val="5"/>
        </w:numPr>
      </w:pPr>
      <w:r>
        <w:t xml:space="preserve">v2 production: chip-down MP135, dual Ethernet, secure boot provisioned at end-of-line test</w:t>
      </w:r>
    </w:p>
    <w:p>
      <w:pPr>
        <w:pStyle w:val="ListParagraph"/>
        <w:numPr>
          <w:ilvl w:val="0"/>
          <w:numId w:val="5"/>
        </w:numPr>
      </w:pPr>
      <w:r>
        <w:t xml:space="preserve">v3 option: STM32MP23x with TSN and on-chip M33 when customers ask for TSN or edge AI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6"/>
        </w:numPr>
      </w:pPr>
      <w:hyperlink r:id="rId3" w:history="1">
        <w:r>
          <w:rPr>
            <w:rStyle w:val="Hyperlink"/>
          </w:rPr>
          <w:t xml:space="preserve">STM32MP135F datasheet (ST)</w:t>
        </w:r>
      </w:hyperlink>
    </w:p>
    <w:p>
      <w:pPr>
        <w:pStyle w:val="ListParagraph"/>
        <w:numPr>
          <w:ilvl w:val="0"/>
          <w:numId w:val="6"/>
        </w:numPr>
      </w:pPr>
      <w:hyperlink r:id="rId4" w:history="1">
        <w:r>
          <w:rPr>
            <w:rStyle w:val="Hyperlink"/>
          </w:rPr>
          <w:t xml:space="preserve">STM32MP23 launch details (CNX Software)</w:t>
        </w:r>
      </w:hyperlink>
    </w:p>
    <w:p>
      <w:pPr>
        <w:pStyle w:val="ListParagraph"/>
        <w:numPr>
          <w:ilvl w:val="0"/>
          <w:numId w:val="6"/>
        </w:numPr>
      </w:pPr>
      <w:hyperlink r:id="rId5" w:history="1">
        <w:r>
          <w:rPr>
            <w:rStyle w:val="Hyperlink"/>
          </w:rPr>
          <w:t xml:space="preserve">STM32MP25 overview (ST blog)</w:t>
        </w:r>
      </w:hyperlink>
    </w:p>
    <w:p>
      <w:pPr>
        <w:pStyle w:val="ListParagraph"/>
        <w:numPr>
          <w:ilvl w:val="0"/>
          <w:numId w:val="6"/>
        </w:numPr>
      </w:pPr>
      <w:hyperlink r:id="rId6" w:history="1">
        <w:r>
          <w:rPr>
            <w:rStyle w:val="Hyperlink"/>
          </w:rPr>
          <w:t xml:space="preserve">i.MX 93 family fact sheet (NXP)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st.com/resource/en/datasheet/stm32mp135f.pdf" TargetMode="External"/><Relationship Id="rId4" Type="http://schemas.openxmlformats.org/officeDocument/2006/relationships/hyperlink" Target="https://www.cnx-software.com/2025/04/08/stmicro-stm32mp23-cortex-a35-m33-mpu-features-a-600-gops-npu-for-industrial-iot-and-ml-applications/" TargetMode="External"/><Relationship Id="rId5" Type="http://schemas.openxmlformats.org/officeDocument/2006/relationships/hyperlink" Target="https://blog.st.com/stm32mp25/" TargetMode="External"/><Relationship Id="rId6" Type="http://schemas.openxmlformats.org/officeDocument/2006/relationships/hyperlink" Target="https://www.nxp.com/docs/en/fact-sheet/iMX93FAMFS.pdf" TargetMode="Externa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IoT PLC — Embedded Linux SoC Selection</dc:title>
  <dc:description>Claude Docs node/533372cc-1c44@8 docx-w6</dc:description>
  <cp:revision>8</cp:revision>
</cp:coreProperties>
</file>