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9206" w14:textId="77777777" w:rsidR="00B26549" w:rsidRPr="00555BC7" w:rsidRDefault="00B2654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5BC7">
        <w:rPr>
          <w:rFonts w:ascii="Arial" w:hAnsi="Arial" w:cs="Arial"/>
          <w:b/>
          <w:bCs/>
        </w:rPr>
        <w:t>TD</w:t>
      </w:r>
      <w:r w:rsidR="002B4BC9" w:rsidRPr="00555BC7">
        <w:rPr>
          <w:rFonts w:ascii="Arial" w:hAnsi="Arial" w:cs="Arial"/>
          <w:b/>
          <w:bCs/>
        </w:rPr>
        <w:t xml:space="preserve"> </w:t>
      </w:r>
      <w:r w:rsidR="001D3708" w:rsidRPr="00555BC7">
        <w:rPr>
          <w:rFonts w:ascii="Arial" w:hAnsi="Arial" w:cs="Arial"/>
          <w:b/>
          <w:bCs/>
        </w:rPr>
        <w:t>5</w:t>
      </w:r>
      <w:r w:rsidR="00C013B4" w:rsidRPr="00555BC7">
        <w:rPr>
          <w:rFonts w:ascii="Arial" w:hAnsi="Arial" w:cs="Arial"/>
          <w:b/>
          <w:bCs/>
        </w:rPr>
        <w:t xml:space="preserve"> </w:t>
      </w:r>
      <w:r w:rsidR="001F58CD" w:rsidRPr="00555BC7">
        <w:rPr>
          <w:rFonts w:ascii="Arial" w:hAnsi="Arial" w:cs="Arial"/>
          <w:b/>
          <w:bCs/>
        </w:rPr>
        <w:t>–</w:t>
      </w:r>
      <w:r w:rsidR="002B4BC9" w:rsidRPr="00555BC7">
        <w:rPr>
          <w:rFonts w:ascii="Arial" w:hAnsi="Arial" w:cs="Arial"/>
          <w:b/>
          <w:bCs/>
        </w:rPr>
        <w:t xml:space="preserve"> </w:t>
      </w:r>
      <w:r w:rsidR="0010560C" w:rsidRPr="00555BC7">
        <w:rPr>
          <w:rFonts w:ascii="Arial" w:hAnsi="Arial" w:cs="Arial"/>
          <w:b/>
          <w:bCs/>
        </w:rPr>
        <w:t xml:space="preserve">Analyse de sensibilité, </w:t>
      </w:r>
      <w:r w:rsidR="00462CF1" w:rsidRPr="00555BC7">
        <w:rPr>
          <w:rFonts w:ascii="Arial" w:hAnsi="Arial" w:cs="Arial"/>
          <w:b/>
          <w:bCs/>
        </w:rPr>
        <w:t>Sobol</w:t>
      </w:r>
    </w:p>
    <w:p w14:paraId="334BAF58" w14:textId="77777777" w:rsidR="00B26549" w:rsidRPr="00555BC7" w:rsidRDefault="00B2654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7992A186" w14:textId="77777777" w:rsidR="001D3708" w:rsidRPr="00555BC7" w:rsidRDefault="001D3708" w:rsidP="001D3708">
      <w:pPr>
        <w:jc w:val="center"/>
        <w:rPr>
          <w:rFonts w:ascii="Arial" w:hAnsi="Arial" w:cs="Arial"/>
          <w:b/>
          <w:bCs/>
        </w:rPr>
      </w:pPr>
      <w:r w:rsidRPr="00555BC7">
        <w:rPr>
          <w:rFonts w:ascii="Arial" w:hAnsi="Arial" w:cs="Arial"/>
          <w:b/>
          <w:bCs/>
        </w:rPr>
        <w:t>Bertrand Iooss</w:t>
      </w:r>
    </w:p>
    <w:p w14:paraId="094B9ABA" w14:textId="7F8B6916" w:rsidR="001D3708" w:rsidRDefault="001D3708" w:rsidP="001D3708">
      <w:pPr>
        <w:jc w:val="center"/>
        <w:rPr>
          <w:rFonts w:ascii="Arial" w:hAnsi="Arial" w:cs="Arial"/>
          <w:b/>
          <w:bCs/>
          <w:lang w:val="en-US"/>
        </w:rPr>
      </w:pPr>
      <w:r w:rsidRPr="00555BC7">
        <w:rPr>
          <w:rFonts w:ascii="Arial" w:hAnsi="Arial" w:cs="Arial"/>
          <w:b/>
          <w:bCs/>
          <w:lang w:val="en-US"/>
        </w:rPr>
        <w:t>Polytech Nice Sophia</w:t>
      </w:r>
    </w:p>
    <w:p w14:paraId="224B6582" w14:textId="77777777" w:rsidR="00E1285A" w:rsidRPr="00555BC7" w:rsidRDefault="00E1285A" w:rsidP="001D3708">
      <w:pPr>
        <w:jc w:val="center"/>
        <w:rPr>
          <w:rFonts w:ascii="Arial" w:hAnsi="Arial" w:cs="Arial"/>
          <w:b/>
          <w:bCs/>
          <w:lang w:val="en-US"/>
        </w:rPr>
      </w:pPr>
    </w:p>
    <w:p w14:paraId="02F3A04B" w14:textId="77777777" w:rsidR="009C697F" w:rsidRDefault="009C697F" w:rsidP="009C697F">
      <w:pPr>
        <w:jc w:val="both"/>
        <w:rPr>
          <w:lang w:val="en-US"/>
        </w:rPr>
      </w:pPr>
    </w:p>
    <w:p w14:paraId="575906D5" w14:textId="77777777" w:rsidR="00296788" w:rsidRDefault="00296788" w:rsidP="00296788">
      <w:pPr>
        <w:pStyle w:val="Titre1"/>
        <w:rPr>
          <w:lang w:val="en-US"/>
        </w:rPr>
      </w:pPr>
      <w:r>
        <w:rPr>
          <w:lang w:val="en-US"/>
        </w:rPr>
        <w:t>1 Estimateur pick-freeze</w:t>
      </w:r>
    </w:p>
    <w:p w14:paraId="0D67EBF5" w14:textId="77777777" w:rsidR="00296788" w:rsidRDefault="00296788" w:rsidP="00296788">
      <w:pPr>
        <w:jc w:val="both"/>
        <w:rPr>
          <w:lang w:val="en-US"/>
        </w:rPr>
      </w:pPr>
    </w:p>
    <w:p w14:paraId="66D3C090" w14:textId="594CDD6A" w:rsidR="00296788" w:rsidRPr="000E08E6" w:rsidRDefault="00296788" w:rsidP="00296788">
      <w:pPr>
        <w:numPr>
          <w:ilvl w:val="0"/>
          <w:numId w:val="27"/>
        </w:numPr>
        <w:jc w:val="both"/>
      </w:pPr>
      <w:r w:rsidRPr="000E08E6">
        <w:t>Calculez les indices de Sobol du premier ordre du modèle Y = X</w:t>
      </w:r>
      <w:r w:rsidRPr="000E08E6">
        <w:rPr>
          <w:vertAlign w:val="subscript"/>
        </w:rPr>
        <w:t>1</w:t>
      </w:r>
      <w:r w:rsidR="00C47927" w:rsidRPr="000E08E6">
        <w:rPr>
          <w:vertAlign w:val="superscript"/>
        </w:rPr>
        <w:t>2</w:t>
      </w:r>
      <w:r w:rsidRPr="000E08E6">
        <w:t xml:space="preserve"> [ 1</w:t>
      </w:r>
      <w:r w:rsidR="00DF35F9">
        <w:t xml:space="preserve"> </w:t>
      </w:r>
      <w:r w:rsidRPr="000E08E6">
        <w:t>+</w:t>
      </w:r>
      <w:r w:rsidR="00DF35F9">
        <w:t xml:space="preserve"> </w:t>
      </w:r>
      <w:r w:rsidRPr="000E08E6">
        <w:t>cos(X</w:t>
      </w:r>
      <w:r w:rsidRPr="000E08E6">
        <w:rPr>
          <w:vertAlign w:val="subscript"/>
        </w:rPr>
        <w:t>2</w:t>
      </w:r>
      <w:r w:rsidRPr="000E08E6">
        <w:t>)</w:t>
      </w:r>
      <w:r w:rsidR="00C47927" w:rsidRPr="000E08E6">
        <w:t xml:space="preserve"> ]</w:t>
      </w:r>
      <w:r w:rsidR="00C47927" w:rsidRPr="000E08E6">
        <w:rPr>
          <w:vertAlign w:val="superscript"/>
        </w:rPr>
        <w:t>2</w:t>
      </w:r>
    </w:p>
    <w:p w14:paraId="648F34BE" w14:textId="77777777" w:rsidR="00296788" w:rsidRPr="000E08E6" w:rsidRDefault="00296788" w:rsidP="00296788">
      <w:pPr>
        <w:jc w:val="both"/>
      </w:pPr>
      <w:r w:rsidRPr="000E08E6">
        <w:t>où X</w:t>
      </w:r>
      <w:r w:rsidRPr="000E08E6">
        <w:rPr>
          <w:vertAlign w:val="subscript"/>
        </w:rPr>
        <w:t>1</w:t>
      </w:r>
      <w:r w:rsidRPr="000E08E6">
        <w:t xml:space="preserve"> ~ U[0,1] et X</w:t>
      </w:r>
      <w:r w:rsidRPr="000E08E6">
        <w:rPr>
          <w:vertAlign w:val="subscript"/>
        </w:rPr>
        <w:t>2</w:t>
      </w:r>
      <w:r w:rsidRPr="000E08E6">
        <w:t xml:space="preserve"> ~ N(0,1).</w:t>
      </w:r>
    </w:p>
    <w:p w14:paraId="64E75475" w14:textId="77777777" w:rsidR="00296788" w:rsidRPr="000E08E6" w:rsidRDefault="00296788" w:rsidP="00296788">
      <w:pPr>
        <w:jc w:val="both"/>
      </w:pPr>
    </w:p>
    <w:p w14:paraId="199FFAE0" w14:textId="77777777" w:rsidR="00296788" w:rsidRPr="000E08E6" w:rsidRDefault="00296788" w:rsidP="00296788">
      <w:pPr>
        <w:jc w:val="both"/>
      </w:pPr>
      <w:r w:rsidRPr="000E08E6">
        <w:t>L’algorithme est le suivant :</w:t>
      </w:r>
    </w:p>
    <w:p w14:paraId="29682C35" w14:textId="7EE7526A" w:rsidR="00296788" w:rsidRPr="000E08E6" w:rsidRDefault="002C0561" w:rsidP="00296788">
      <w:pPr>
        <w:jc w:val="both"/>
      </w:pPr>
      <w:r>
        <w:t xml:space="preserve">1) construire 2 matrices </w:t>
      </w:r>
      <w:r w:rsidR="00DF35F9" w:rsidRPr="000E08E6">
        <w:t>des entrées (par exemple de taille 1000)</w:t>
      </w:r>
      <w:r w:rsidR="00DF35F9">
        <w:t xml:space="preserve"> </w:t>
      </w:r>
      <w:r>
        <w:t>indé</w:t>
      </w:r>
      <w:r w:rsidR="00296788" w:rsidRPr="000E08E6">
        <w:t xml:space="preserve">pendantes </w:t>
      </w:r>
      <w:r w:rsidR="00DF35F9">
        <w:t>l’une de l’autre,</w:t>
      </w:r>
    </w:p>
    <w:p w14:paraId="1C74B603" w14:textId="77777777" w:rsidR="00296788" w:rsidRPr="000E08E6" w:rsidRDefault="00296788" w:rsidP="00296788">
      <w:pPr>
        <w:jc w:val="both"/>
      </w:pPr>
      <w:r w:rsidRPr="000E08E6">
        <w:t>2) calculer le dénominateur des indices de Sobol,</w:t>
      </w:r>
    </w:p>
    <w:p w14:paraId="447752E0" w14:textId="7D66AFBB" w:rsidR="00296788" w:rsidRPr="000E08E6" w:rsidRDefault="00296788" w:rsidP="00296788">
      <w:pPr>
        <w:jc w:val="both"/>
      </w:pPr>
      <w:r w:rsidRPr="000E08E6">
        <w:t xml:space="preserve">3) calculez le numérateur des indices de Sobol </w:t>
      </w:r>
      <w:r w:rsidR="00AA4960" w:rsidRPr="000E08E6">
        <w:t>par</w:t>
      </w:r>
      <w:r w:rsidRPr="000E08E6">
        <w:t xml:space="preserve"> </w:t>
      </w:r>
      <w:r w:rsidR="00B96298">
        <w:t>estimation pick-freeze (slide 1</w:t>
      </w:r>
      <w:r w:rsidR="00E40877">
        <w:t>9</w:t>
      </w:r>
      <w:r w:rsidRPr="000E08E6">
        <w:t xml:space="preserve"> du cours),</w:t>
      </w:r>
    </w:p>
    <w:p w14:paraId="30B347A6" w14:textId="77777777" w:rsidR="00296788" w:rsidRPr="000E08E6" w:rsidRDefault="00296788" w:rsidP="00296788">
      <w:pPr>
        <w:jc w:val="both"/>
      </w:pPr>
      <w:r w:rsidRPr="000E08E6">
        <w:t>4) calculez les indices de Sobol.</w:t>
      </w:r>
    </w:p>
    <w:p w14:paraId="68D070D6" w14:textId="77777777" w:rsidR="00296788" w:rsidRPr="000E08E6" w:rsidRDefault="00296788" w:rsidP="00296788">
      <w:pPr>
        <w:jc w:val="both"/>
      </w:pPr>
    </w:p>
    <w:p w14:paraId="1F85B12A" w14:textId="77777777" w:rsidR="00296788" w:rsidRPr="000E08E6" w:rsidRDefault="00296788" w:rsidP="00C245E0">
      <w:pPr>
        <w:numPr>
          <w:ilvl w:val="0"/>
          <w:numId w:val="27"/>
        </w:numPr>
        <w:jc w:val="both"/>
      </w:pPr>
      <w:r w:rsidRPr="000E08E6">
        <w:t xml:space="preserve">Calculer les indices de </w:t>
      </w:r>
      <w:r w:rsidR="00C47927" w:rsidRPr="000E08E6">
        <w:t xml:space="preserve">Sobol avec la fonction </w:t>
      </w:r>
      <w:r w:rsidR="00C47927" w:rsidRPr="000E08E6">
        <w:rPr>
          <w:i/>
        </w:rPr>
        <w:t>sobol</w:t>
      </w:r>
      <w:r w:rsidRPr="000E08E6">
        <w:rPr>
          <w:i/>
        </w:rPr>
        <w:t>()</w:t>
      </w:r>
      <w:r w:rsidRPr="000E08E6">
        <w:t xml:space="preserve"> du package "sensitivity"</w:t>
      </w:r>
      <w:r w:rsidR="00C47927" w:rsidRPr="000E08E6">
        <w:t>. On calculera également l’indice d’ordre 2 entre X</w:t>
      </w:r>
      <w:r w:rsidR="00C47927" w:rsidRPr="000E08E6">
        <w:rPr>
          <w:vertAlign w:val="subscript"/>
        </w:rPr>
        <w:t>1</w:t>
      </w:r>
      <w:r w:rsidR="00C47927" w:rsidRPr="000E08E6">
        <w:t xml:space="preserve"> et X</w:t>
      </w:r>
      <w:r w:rsidR="00C47927" w:rsidRPr="000E08E6">
        <w:rPr>
          <w:vertAlign w:val="subscript"/>
        </w:rPr>
        <w:t>2</w:t>
      </w:r>
      <w:r w:rsidR="00C47927" w:rsidRPr="000E08E6">
        <w:t xml:space="preserve">. On activera également l’option bootstrap </w:t>
      </w:r>
      <w:r w:rsidR="008D4BB7" w:rsidRPr="000E08E6">
        <w:t xml:space="preserve">(parameter nboot) </w:t>
      </w:r>
      <w:r w:rsidR="002C0561">
        <w:t>de la fo</w:t>
      </w:r>
      <w:r w:rsidR="00C47927" w:rsidRPr="000E08E6">
        <w:t>nction afin d’estimer la variabilité des estimateurs.</w:t>
      </w:r>
    </w:p>
    <w:p w14:paraId="66EA4F8E" w14:textId="77777777" w:rsidR="00C47927" w:rsidRPr="000E08E6" w:rsidRDefault="00C47927" w:rsidP="00C47927">
      <w:pPr>
        <w:ind w:left="720"/>
        <w:jc w:val="both"/>
      </w:pPr>
    </w:p>
    <w:p w14:paraId="56D5CBDC" w14:textId="4181F116" w:rsidR="00EB5BE9" w:rsidRDefault="00C47927" w:rsidP="00E1285A">
      <w:pPr>
        <w:numPr>
          <w:ilvl w:val="0"/>
          <w:numId w:val="27"/>
        </w:numPr>
        <w:jc w:val="both"/>
      </w:pPr>
      <w:r w:rsidRPr="000E08E6">
        <w:t>Prendre des matrices de taille 100</w:t>
      </w:r>
      <w:r w:rsidR="00C61FF0">
        <w:t>0</w:t>
      </w:r>
      <w:r w:rsidRPr="000E08E6">
        <w:t xml:space="preserve">0 puis </w:t>
      </w:r>
      <w:r w:rsidR="002C0561" w:rsidRPr="000E08E6">
        <w:t>refaites-la</w:t>
      </w:r>
      <w:r w:rsidRPr="000E08E6">
        <w:t xml:space="preserve"> question b).</w:t>
      </w:r>
    </w:p>
    <w:p w14:paraId="310AB00F" w14:textId="77777777" w:rsidR="00E1285A" w:rsidRPr="000E08E6" w:rsidRDefault="00E1285A" w:rsidP="00E1285A">
      <w:pPr>
        <w:jc w:val="both"/>
      </w:pPr>
    </w:p>
    <w:p w14:paraId="42FEE7E8" w14:textId="77777777" w:rsidR="004160C9" w:rsidRPr="000E08E6" w:rsidRDefault="004160C9" w:rsidP="004160C9">
      <w:pPr>
        <w:jc w:val="both"/>
      </w:pPr>
    </w:p>
    <w:p w14:paraId="4813909D" w14:textId="494D9653" w:rsidR="004160C9" w:rsidRPr="000E08E6" w:rsidRDefault="004160C9" w:rsidP="004160C9">
      <w:pPr>
        <w:pStyle w:val="Titre1"/>
      </w:pPr>
      <w:r w:rsidRPr="000E08E6">
        <w:t xml:space="preserve">2 </w:t>
      </w:r>
      <w:r w:rsidR="008A51A1" w:rsidRPr="000E08E6">
        <w:t>M</w:t>
      </w:r>
      <w:r w:rsidRPr="000E08E6">
        <w:t xml:space="preserve">odèle </w:t>
      </w:r>
      <w:r w:rsidR="00EB5BE9">
        <w:t>de bras de robot</w:t>
      </w:r>
    </w:p>
    <w:p w14:paraId="319FAF01" w14:textId="77777777" w:rsidR="00296788" w:rsidRPr="000E08E6" w:rsidRDefault="00296788" w:rsidP="00296788">
      <w:pPr>
        <w:jc w:val="both"/>
      </w:pPr>
    </w:p>
    <w:p w14:paraId="736B523F" w14:textId="6FD90E25" w:rsidR="00EB5BE9" w:rsidRDefault="002C0561" w:rsidP="00296788">
      <w:pPr>
        <w:jc w:val="both"/>
      </w:pPr>
      <w:r>
        <w:t>On étudie à pré</w:t>
      </w:r>
      <w:r w:rsidR="00C47927" w:rsidRPr="000E08E6">
        <w:t xml:space="preserve">sent </w:t>
      </w:r>
      <w:r w:rsidR="00D53AEC" w:rsidRPr="000E08E6">
        <w:t>quelques</w:t>
      </w:r>
      <w:r w:rsidR="00C47927" w:rsidRPr="000E08E6">
        <w:t xml:space="preserve"> fonctions</w:t>
      </w:r>
      <w:r w:rsidR="008D4BB7" w:rsidRPr="000E08E6">
        <w:t xml:space="preserve"> du package “sensitivity”</w:t>
      </w:r>
      <w:r w:rsidR="00C47927" w:rsidRPr="000E08E6">
        <w:t xml:space="preserve"> permet</w:t>
      </w:r>
      <w:r w:rsidR="008A51A1" w:rsidRPr="000E08E6">
        <w:t>tant de calculer les indices</w:t>
      </w:r>
      <w:r w:rsidR="00D65D22">
        <w:t xml:space="preserve"> de Sobol’ du</w:t>
      </w:r>
      <w:r w:rsidR="008A51A1" w:rsidRPr="000E08E6">
        <w:t xml:space="preserve"> </w:t>
      </w:r>
      <w:r w:rsidR="00D65D22">
        <w:t>1</w:t>
      </w:r>
      <w:r w:rsidR="00D65D22" w:rsidRPr="00D65D22">
        <w:rPr>
          <w:vertAlign w:val="superscript"/>
        </w:rPr>
        <w:t>er</w:t>
      </w:r>
      <w:r w:rsidR="00D65D22">
        <w:t xml:space="preserve"> </w:t>
      </w:r>
      <w:r w:rsidR="008A51A1" w:rsidRPr="000E08E6">
        <w:t xml:space="preserve">ordre et </w:t>
      </w:r>
      <w:r w:rsidR="00826A1E">
        <w:t>totaux sur la f</w:t>
      </w:r>
      <w:r w:rsidR="004D5628">
        <w:t>o</w:t>
      </w:r>
      <w:r w:rsidR="00826A1E">
        <w:t>nction “</w:t>
      </w:r>
      <w:r w:rsidR="00D65D22">
        <w:t>robot</w:t>
      </w:r>
      <w:r w:rsidR="00C47927" w:rsidRPr="000E08E6">
        <w:t xml:space="preserve">” modélisant </w:t>
      </w:r>
      <w:r w:rsidR="00D65D22">
        <w:t xml:space="preserve">un bras de robot à 4 segments. La formule analytique, qui évalue la distance de l’extrémité du bras du robot à l’origine et qui prend comme entrées les longueurs </w:t>
      </w:r>
      <w:r w:rsidR="00D65D22" w:rsidRPr="00D65D22">
        <w:rPr>
          <w:i/>
          <w:iCs/>
        </w:rPr>
        <w:t>L</w:t>
      </w:r>
      <w:r w:rsidR="00D65D22" w:rsidRPr="00D65D22">
        <w:rPr>
          <w:i/>
          <w:iCs/>
          <w:vertAlign w:val="subscript"/>
        </w:rPr>
        <w:t>i</w:t>
      </w:r>
      <w:r w:rsidR="00D65D22">
        <w:t xml:space="preserve"> (de loi uniforme sur [0,1]) de chaque segment et les angles </w:t>
      </w:r>
      <w:r w:rsidR="00D65D22" w:rsidRPr="00D65D22">
        <w:rPr>
          <w:rFonts w:ascii="Symbol" w:hAnsi="Symbol"/>
          <w:i/>
          <w:iCs/>
        </w:rPr>
        <w:t>q</w:t>
      </w:r>
      <w:r w:rsidR="00D65D22" w:rsidRPr="00D65D22">
        <w:rPr>
          <w:i/>
          <w:iCs/>
          <w:vertAlign w:val="subscript"/>
        </w:rPr>
        <w:t>i</w:t>
      </w:r>
      <w:r w:rsidR="00D65D22">
        <w:t xml:space="preserve"> (de loi uniforme sur [0,2</w:t>
      </w:r>
      <w:r w:rsidR="00D65D22" w:rsidRPr="00D65D22">
        <w:rPr>
          <w:rFonts w:ascii="Symbol" w:hAnsi="Symbol"/>
          <w:i/>
          <w:iCs/>
        </w:rPr>
        <w:t>p</w:t>
      </w:r>
      <w:r w:rsidR="00D65D22">
        <w:t>]) de chaque jonction, est la suivante :</w:t>
      </w:r>
    </w:p>
    <w:p w14:paraId="792FFB78" w14:textId="2CD883E6" w:rsidR="00D65D22" w:rsidRDefault="00B139FD" w:rsidP="00D65D22">
      <w:pPr>
        <w:jc w:val="center"/>
        <w:rPr>
          <w:bCs/>
        </w:rPr>
      </w:pPr>
      <w:r>
        <w:rPr>
          <w:noProof/>
        </w:rPr>
        <w:pict w14:anchorId="2A8CF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74.1pt;height:137.55pt;visibility:visible;mso-wrap-style:square">
            <v:imagedata r:id="rId8" o:title=""/>
          </v:shape>
        </w:pict>
      </w:r>
    </w:p>
    <w:p w14:paraId="4C4CBB3F" w14:textId="41FD9599" w:rsidR="00EB5BE9" w:rsidRPr="00D53AEC" w:rsidRDefault="003B6A96" w:rsidP="00296788">
      <w:pPr>
        <w:jc w:val="both"/>
        <w:rPr>
          <w:bCs/>
        </w:rPr>
      </w:pPr>
      <w:r w:rsidRPr="00D53AEC">
        <w:rPr>
          <w:bCs/>
        </w:rPr>
        <w:t>Pour utiliser la fonction, il suffira de simule</w:t>
      </w:r>
      <w:r w:rsidR="00826A1E">
        <w:rPr>
          <w:bCs/>
        </w:rPr>
        <w:t xml:space="preserve">r </w:t>
      </w:r>
      <w:r w:rsidR="00D65D22">
        <w:rPr>
          <w:bCs/>
        </w:rPr>
        <w:t>8</w:t>
      </w:r>
      <w:r w:rsidR="00826A1E">
        <w:rPr>
          <w:bCs/>
        </w:rPr>
        <w:t xml:space="preserve"> variables U[0,1]. </w:t>
      </w:r>
    </w:p>
    <w:p w14:paraId="440B757B" w14:textId="77777777" w:rsidR="003B6A96" w:rsidRPr="00D53AEC" w:rsidRDefault="003B6A96" w:rsidP="00296788">
      <w:pPr>
        <w:jc w:val="both"/>
        <w:rPr>
          <w:bCs/>
        </w:rPr>
      </w:pPr>
    </w:p>
    <w:p w14:paraId="06A6DAE9" w14:textId="3C26CCA6" w:rsidR="00EE365F" w:rsidRPr="000E08E6" w:rsidRDefault="008D4BB7" w:rsidP="00EE365F">
      <w:pPr>
        <w:numPr>
          <w:ilvl w:val="0"/>
          <w:numId w:val="28"/>
        </w:numPr>
        <w:jc w:val="both"/>
      </w:pPr>
      <w:r w:rsidRPr="00D53AEC">
        <w:rPr>
          <w:bCs/>
        </w:rPr>
        <w:t>Calculez les indices de Sobol (1</w:t>
      </w:r>
      <w:r w:rsidRPr="00D53AEC">
        <w:rPr>
          <w:bCs/>
          <w:vertAlign w:val="superscript"/>
        </w:rPr>
        <w:t>er</w:t>
      </w:r>
      <w:r w:rsidRPr="00D53AEC">
        <w:rPr>
          <w:bCs/>
        </w:rPr>
        <w:t xml:space="preserve"> ordre et totaux) avec la fonction </w:t>
      </w:r>
      <w:r w:rsidRPr="00D53AEC">
        <w:rPr>
          <w:bCs/>
          <w:i/>
        </w:rPr>
        <w:t>sobol2002(),</w:t>
      </w:r>
      <w:r w:rsidRPr="00D53AEC">
        <w:rPr>
          <w:bCs/>
        </w:rPr>
        <w:t xml:space="preserve"> qui prend en entrée 2 échantillons Monte Carlo indépendants de taille </w:t>
      </w:r>
      <w:r w:rsidR="008A51A1">
        <w:rPr>
          <w:bCs/>
          <w:i/>
        </w:rPr>
        <w:t>n</w:t>
      </w:r>
      <w:r w:rsidRPr="00D53AEC">
        <w:rPr>
          <w:bCs/>
        </w:rPr>
        <w:t>.</w:t>
      </w:r>
      <w:r w:rsidR="00E1285A">
        <w:rPr>
          <w:bCs/>
        </w:rPr>
        <w:t xml:space="preserve"> </w:t>
      </w:r>
      <w:r w:rsidR="00E1285A" w:rsidRPr="00D53AEC">
        <w:rPr>
          <w:bCs/>
        </w:rPr>
        <w:t xml:space="preserve">Les formules des </w:t>
      </w:r>
      <w:r w:rsidR="00E1285A">
        <w:rPr>
          <w:bCs/>
        </w:rPr>
        <w:t>numérateurs des indices</w:t>
      </w:r>
      <w:r w:rsidR="00E1285A" w:rsidRPr="00D53AEC">
        <w:rPr>
          <w:bCs/>
        </w:rPr>
        <w:t xml:space="preserve"> implémentées dans </w:t>
      </w:r>
      <w:r w:rsidR="00E1285A" w:rsidRPr="00D53AEC">
        <w:rPr>
          <w:bCs/>
          <w:i/>
        </w:rPr>
        <w:t>sobol2002()</w:t>
      </w:r>
      <w:r w:rsidR="00E1285A" w:rsidRPr="00D53AEC">
        <w:rPr>
          <w:bCs/>
        </w:rPr>
        <w:t xml:space="preserve"> sont </w:t>
      </w:r>
      <w:r w:rsidR="00E1285A">
        <w:rPr>
          <w:bCs/>
        </w:rPr>
        <w:t>celles d</w:t>
      </w:r>
      <w:r w:rsidR="00B139FD">
        <w:rPr>
          <w:bCs/>
        </w:rPr>
        <w:t>e la</w:t>
      </w:r>
      <w:r w:rsidR="00E1285A">
        <w:rPr>
          <w:bCs/>
        </w:rPr>
        <w:t xml:space="preserve"> slide 1</w:t>
      </w:r>
      <w:r w:rsidR="00B139FD">
        <w:rPr>
          <w:bCs/>
        </w:rPr>
        <w:t>9 du cours</w:t>
      </w:r>
      <w:r w:rsidR="00E1285A">
        <w:rPr>
          <w:bCs/>
        </w:rPr>
        <w:t>.</w:t>
      </w:r>
      <w:r w:rsidRPr="00D53AEC">
        <w:rPr>
          <w:bCs/>
        </w:rPr>
        <w:t xml:space="preserve"> Estimez </w:t>
      </w:r>
      <w:r w:rsidR="00E1285A">
        <w:rPr>
          <w:bCs/>
        </w:rPr>
        <w:t>les</w:t>
      </w:r>
      <w:r w:rsidRPr="00D53AEC">
        <w:rPr>
          <w:bCs/>
        </w:rPr>
        <w:t xml:space="preserve"> variabilités</w:t>
      </w:r>
      <w:r w:rsidR="00E1285A">
        <w:rPr>
          <w:bCs/>
        </w:rPr>
        <w:t xml:space="preserve"> des indices de Sobol’</w:t>
      </w:r>
      <w:r w:rsidRPr="00D53AEC">
        <w:rPr>
          <w:bCs/>
        </w:rPr>
        <w:t xml:space="preserve"> par bootstrap. Commencez avec la taille </w:t>
      </w:r>
      <w:r w:rsidR="008A51A1">
        <w:rPr>
          <w:bCs/>
          <w:i/>
        </w:rPr>
        <w:t>n</w:t>
      </w:r>
      <w:r w:rsidRPr="00D53AEC">
        <w:rPr>
          <w:bCs/>
        </w:rPr>
        <w:t>=1000</w:t>
      </w:r>
      <w:r w:rsidR="00E1285A">
        <w:rPr>
          <w:bCs/>
        </w:rPr>
        <w:t xml:space="preserve">. Quels problèmes observez-vous sur les estimations des indices de </w:t>
      </w:r>
      <w:r w:rsidR="00E1285A">
        <w:rPr>
          <w:bCs/>
        </w:rPr>
        <w:lastRenderedPageBreak/>
        <w:t>Sobol’ ?</w:t>
      </w:r>
      <w:r w:rsidRPr="00D53AEC">
        <w:rPr>
          <w:bCs/>
        </w:rPr>
        <w:t xml:space="preserve"> </w:t>
      </w:r>
      <w:r w:rsidR="00E1285A">
        <w:rPr>
          <w:bCs/>
        </w:rPr>
        <w:t>A</w:t>
      </w:r>
      <w:r w:rsidRPr="00D53AEC">
        <w:rPr>
          <w:bCs/>
        </w:rPr>
        <w:t>ugmentez</w:t>
      </w:r>
      <w:r w:rsidR="00E1285A">
        <w:rPr>
          <w:bCs/>
        </w:rPr>
        <w:t xml:space="preserve"> la taille</w:t>
      </w:r>
      <w:r w:rsidR="007F7FD8">
        <w:rPr>
          <w:bCs/>
        </w:rPr>
        <w:t xml:space="preserve"> à</w:t>
      </w:r>
      <w:r w:rsidRPr="00D53AEC">
        <w:rPr>
          <w:bCs/>
        </w:rPr>
        <w:t xml:space="preserve"> </w:t>
      </w:r>
      <w:r w:rsidR="008A51A1">
        <w:rPr>
          <w:bCs/>
          <w:i/>
        </w:rPr>
        <w:t>n</w:t>
      </w:r>
      <w:r w:rsidR="00B006AD" w:rsidRPr="00D53AEC">
        <w:rPr>
          <w:bCs/>
        </w:rPr>
        <w:t xml:space="preserve">=10000 </w:t>
      </w:r>
      <w:r w:rsidRPr="00D53AEC">
        <w:rPr>
          <w:bCs/>
        </w:rPr>
        <w:t>si la varia</w:t>
      </w:r>
      <w:r w:rsidR="008A51A1">
        <w:rPr>
          <w:bCs/>
        </w:rPr>
        <w:t xml:space="preserve">bilité des estimateurs </w:t>
      </w:r>
      <w:r w:rsidR="00E1285A">
        <w:rPr>
          <w:bCs/>
        </w:rPr>
        <w:t>ne vous semble</w:t>
      </w:r>
      <w:r w:rsidRPr="00D53AEC">
        <w:rPr>
          <w:bCs/>
        </w:rPr>
        <w:t xml:space="preserve"> pas acceptable</w:t>
      </w:r>
      <w:r w:rsidR="00E1285A">
        <w:rPr>
          <w:bCs/>
        </w:rPr>
        <w:t>.</w:t>
      </w:r>
      <w:r w:rsidR="00C0312A">
        <w:rPr>
          <w:bCs/>
        </w:rPr>
        <w:t xml:space="preserve"> Interprétez les résultats.</w:t>
      </w:r>
    </w:p>
    <w:p w14:paraId="4A28CD59" w14:textId="77777777" w:rsidR="009C697F" w:rsidRPr="000E08E6" w:rsidRDefault="00EE365F" w:rsidP="00EE365F">
      <w:pPr>
        <w:ind w:left="720"/>
        <w:jc w:val="both"/>
      </w:pPr>
      <w:r w:rsidRPr="000E08E6">
        <w:t xml:space="preserve"> </w:t>
      </w:r>
    </w:p>
    <w:p w14:paraId="1A5AABB9" w14:textId="4CE258BF" w:rsidR="009C697F" w:rsidRPr="008A51A1" w:rsidRDefault="008A51A1" w:rsidP="00D53AEC"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Style w:val="hps"/>
        </w:rPr>
      </w:pPr>
      <w:r w:rsidRPr="000E08E6">
        <w:rPr>
          <w:rStyle w:val="hps"/>
        </w:rPr>
        <w:t>L</w:t>
      </w:r>
      <w:r w:rsidR="00D53AEC" w:rsidRPr="000E08E6">
        <w:rPr>
          <w:rStyle w:val="hps"/>
        </w:rPr>
        <w:t>a fonction</w:t>
      </w:r>
      <w:r w:rsidR="009C697F" w:rsidRPr="000E08E6">
        <w:t xml:space="preserve"> </w:t>
      </w:r>
      <w:r w:rsidR="00D53AEC" w:rsidRPr="000E08E6">
        <w:rPr>
          <w:rStyle w:val="hps"/>
          <w:i/>
        </w:rPr>
        <w:t>sobolmartinez</w:t>
      </w:r>
      <w:r w:rsidR="009C697F" w:rsidRPr="000E08E6">
        <w:rPr>
          <w:rStyle w:val="hps"/>
          <w:i/>
        </w:rPr>
        <w:t>()</w:t>
      </w:r>
      <w:r w:rsidR="009C697F" w:rsidRPr="000E08E6">
        <w:rPr>
          <w:rStyle w:val="hps"/>
        </w:rPr>
        <w:t xml:space="preserve"> </w:t>
      </w:r>
      <w:r w:rsidR="00D53AEC" w:rsidRPr="000E08E6">
        <w:rPr>
          <w:rStyle w:val="hps"/>
        </w:rPr>
        <w:t>utilise</w:t>
      </w:r>
      <w:r w:rsidR="008D4BB7" w:rsidRPr="000E08E6">
        <w:rPr>
          <w:rStyle w:val="hps"/>
        </w:rPr>
        <w:t xml:space="preserve"> </w:t>
      </w:r>
      <w:r w:rsidR="00D53AEC" w:rsidRPr="000E08E6">
        <w:rPr>
          <w:rStyle w:val="hps"/>
        </w:rPr>
        <w:t>une formule</w:t>
      </w:r>
      <w:r w:rsidR="008D4BB7" w:rsidRPr="000E08E6">
        <w:rPr>
          <w:rStyle w:val="hps"/>
        </w:rPr>
        <w:t xml:space="preserve"> mieux condition</w:t>
      </w:r>
      <w:r w:rsidR="00D53AEC" w:rsidRPr="000E08E6">
        <w:rPr>
          <w:rStyle w:val="hps"/>
        </w:rPr>
        <w:t>née</w:t>
      </w:r>
      <w:r w:rsidR="008D4BB7" w:rsidRPr="000E08E6">
        <w:rPr>
          <w:rStyle w:val="hps"/>
        </w:rPr>
        <w:t xml:space="preserve"> pour le calcul des indices de Sobol. </w:t>
      </w:r>
      <w:r w:rsidR="00D53AEC" w:rsidRPr="000E08E6">
        <w:rPr>
          <w:rStyle w:val="hps"/>
        </w:rPr>
        <w:t xml:space="preserve">En effet, elle </w:t>
      </w:r>
      <w:r w:rsidRPr="000E08E6">
        <w:rPr>
          <w:rStyle w:val="hps"/>
        </w:rPr>
        <w:t xml:space="preserve">est basée sur un calcul de </w:t>
      </w:r>
      <w:r w:rsidR="00D53AEC" w:rsidRPr="000E08E6">
        <w:rPr>
          <w:rStyle w:val="hps"/>
        </w:rPr>
        <w:t xml:space="preserve">coefficient de corrélation (fonction </w:t>
      </w:r>
      <w:r w:rsidR="00D53AEC" w:rsidRPr="000E08E6">
        <w:rPr>
          <w:rStyle w:val="hps"/>
          <w:i/>
        </w:rPr>
        <w:t>cor()</w:t>
      </w:r>
      <w:r w:rsidRPr="000E08E6">
        <w:rPr>
          <w:rStyle w:val="hps"/>
        </w:rPr>
        <w:t xml:space="preserve"> de R</w:t>
      </w:r>
      <w:r w:rsidR="00D53AEC" w:rsidRPr="000E08E6">
        <w:rPr>
          <w:rStyle w:val="hps"/>
        </w:rPr>
        <w:t>)</w:t>
      </w:r>
      <w:r w:rsidRPr="000E08E6">
        <w:rPr>
          <w:rStyle w:val="hps"/>
        </w:rPr>
        <w:t>,</w:t>
      </w:r>
      <w:r w:rsidR="00D53AEC" w:rsidRPr="000E08E6">
        <w:rPr>
          <w:rStyle w:val="hps"/>
        </w:rPr>
        <w:t xml:space="preserve"> l’</w:t>
      </w:r>
      <w:r w:rsidRPr="000E08E6">
        <w:rPr>
          <w:rStyle w:val="hps"/>
        </w:rPr>
        <w:t>indice de Sobol étant justement un coefficient de corrélation</w:t>
      </w:r>
      <w:r w:rsidR="00D53AEC" w:rsidRPr="000E08E6">
        <w:rPr>
          <w:rStyle w:val="hps"/>
        </w:rPr>
        <w:t>.</w:t>
      </w:r>
      <w:r w:rsidRPr="000E08E6">
        <w:rPr>
          <w:rStyle w:val="hps"/>
        </w:rPr>
        <w:t xml:space="preserve"> </w:t>
      </w:r>
      <w:r w:rsidRPr="00555BC7">
        <w:rPr>
          <w:rStyle w:val="hps"/>
        </w:rPr>
        <w:t xml:space="preserve">Utilisez cette fonction avec </w:t>
      </w:r>
      <w:r w:rsidRPr="00555BC7">
        <w:rPr>
          <w:i/>
        </w:rPr>
        <w:t>n</w:t>
      </w:r>
      <w:r w:rsidRPr="00555BC7">
        <w:t xml:space="preserve">=1000 puis </w:t>
      </w:r>
      <w:r w:rsidRPr="00555BC7">
        <w:rPr>
          <w:i/>
        </w:rPr>
        <w:t>n</w:t>
      </w:r>
      <w:r w:rsidRPr="00555BC7">
        <w:t>=10000.</w:t>
      </w:r>
    </w:p>
    <w:p w14:paraId="237A8A43" w14:textId="77777777" w:rsidR="00D53AEC" w:rsidRPr="008A51A1" w:rsidRDefault="00D53AEC" w:rsidP="00D53AEC">
      <w:pPr>
        <w:widowControl w:val="0"/>
        <w:autoSpaceDE w:val="0"/>
        <w:autoSpaceDN w:val="0"/>
        <w:adjustRightInd w:val="0"/>
        <w:ind w:left="720"/>
        <w:jc w:val="both"/>
      </w:pPr>
    </w:p>
    <w:p w14:paraId="2F16ECB4" w14:textId="733D74C1" w:rsidR="009C697F" w:rsidRPr="004D5628" w:rsidRDefault="008D4BB7" w:rsidP="00703B0F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708"/>
        <w:jc w:val="both"/>
        <w:rPr>
          <w:b/>
          <w:bCs/>
        </w:rPr>
      </w:pPr>
      <w:r w:rsidRPr="000E08E6">
        <w:t xml:space="preserve">Une autre technique pour </w:t>
      </w:r>
      <w:r w:rsidR="00A1607F" w:rsidRPr="000E08E6">
        <w:t>tenter d’</w:t>
      </w:r>
      <w:r w:rsidRPr="000E08E6">
        <w:t>améliorer la précision des estimateurs des indices de Sobol est de</w:t>
      </w:r>
      <w:r w:rsidR="00D53AEC" w:rsidRPr="000E08E6">
        <w:t xml:space="preserve"> prendre des échantillons quasi-</w:t>
      </w:r>
      <w:r w:rsidRPr="000E08E6">
        <w:t xml:space="preserve">Monte Carlo (par exemple une suite de Sobol, function </w:t>
      </w:r>
      <w:r w:rsidRPr="00826A1E">
        <w:rPr>
          <w:i/>
        </w:rPr>
        <w:t>sobol()</w:t>
      </w:r>
      <w:r w:rsidRPr="000E08E6">
        <w:t xml:space="preserve"> du package “randtoolbox”) plutôt que Monte Carlo. Effectuez ceci avec </w:t>
      </w:r>
      <w:r w:rsidR="00A1607F" w:rsidRPr="00826A1E">
        <w:rPr>
          <w:i/>
        </w:rPr>
        <w:t>n</w:t>
      </w:r>
      <w:r w:rsidR="00DC30DF">
        <w:t>=100</w:t>
      </w:r>
      <w:r w:rsidR="000563FF">
        <w:t>0</w:t>
      </w:r>
      <w:r w:rsidR="00A1607F" w:rsidRPr="000E08E6">
        <w:t xml:space="preserve">0 et </w:t>
      </w:r>
      <w:r w:rsidRPr="000E08E6">
        <w:t xml:space="preserve">la fonction </w:t>
      </w:r>
      <w:r w:rsidR="000563FF">
        <w:rPr>
          <w:i/>
        </w:rPr>
        <w:t>sobol2002</w:t>
      </w:r>
      <w:r w:rsidRPr="00826A1E">
        <w:rPr>
          <w:i/>
        </w:rPr>
        <w:t>()</w:t>
      </w:r>
      <w:r w:rsidR="00A1607F" w:rsidRPr="000E08E6">
        <w:t xml:space="preserve"> (</w:t>
      </w:r>
      <w:r w:rsidR="000563FF">
        <w:t>sans bootstrap car il</w:t>
      </w:r>
      <w:r w:rsidR="00A1607F" w:rsidRPr="000E08E6">
        <w:t xml:space="preserve"> n’est plus valide dans ce cas).</w:t>
      </w:r>
      <w:r w:rsidRPr="000E08E6">
        <w:t xml:space="preserve"> La seule contrainte est de réussir à générer deux échantillons indépendants</w:t>
      </w:r>
      <w:r w:rsidR="00426732" w:rsidRPr="000E08E6">
        <w:t xml:space="preserve"> avec la</w:t>
      </w:r>
      <w:r w:rsidR="00516EE2" w:rsidRPr="000E08E6">
        <w:t xml:space="preserve"> suite de Sobol.</w:t>
      </w:r>
      <w:r w:rsidR="00D461B3" w:rsidRPr="000E08E6">
        <w:t xml:space="preserve"> </w:t>
      </w:r>
      <w:r w:rsidR="00516EE2" w:rsidRPr="000E08E6">
        <w:t>I</w:t>
      </w:r>
      <w:r w:rsidR="00D461B3" w:rsidRPr="000E08E6">
        <w:t>l y a une astuce à trouver car les tirages d’une s</w:t>
      </w:r>
      <w:r w:rsidR="00AA4960" w:rsidRPr="000E08E6">
        <w:t>uite de Sobol ne sont pas i.i.d (par contre, on sait que ses colonnes sont orthogonales deux à deux).</w:t>
      </w:r>
    </w:p>
    <w:p w14:paraId="16E9B47D" w14:textId="77777777" w:rsidR="004D5628" w:rsidRDefault="004D5628" w:rsidP="004D5628">
      <w:pPr>
        <w:pStyle w:val="Paragraphedeliste"/>
        <w:rPr>
          <w:b/>
          <w:bCs/>
        </w:rPr>
      </w:pPr>
    </w:p>
    <w:p w14:paraId="17B50767" w14:textId="0D5327D6" w:rsidR="004D5628" w:rsidRDefault="004D5628" w:rsidP="00703B0F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708"/>
        <w:jc w:val="both"/>
      </w:pPr>
      <w:r w:rsidRPr="004D5628">
        <w:t>S</w:t>
      </w:r>
      <w:r>
        <w:t xml:space="preserve">’il n’était possible que de faire </w:t>
      </w:r>
      <w:r w:rsidR="003B3561">
        <w:t>que quelques</w:t>
      </w:r>
      <w:r>
        <w:t xml:space="preserve"> centaine</w:t>
      </w:r>
      <w:r w:rsidR="003B3561">
        <w:t>s</w:t>
      </w:r>
      <w:r>
        <w:t xml:space="preserve"> d’évaluations de la fonction « robot », le recours à un métamodèle serait nécessaire. On se place dans cette situation :</w:t>
      </w:r>
    </w:p>
    <w:p w14:paraId="2AB6FAC3" w14:textId="77777777" w:rsidR="004D5628" w:rsidRDefault="004D5628" w:rsidP="004D5628">
      <w:pPr>
        <w:pStyle w:val="Paragraphedeliste"/>
      </w:pPr>
    </w:p>
    <w:p w14:paraId="00D5F224" w14:textId="677B8198" w:rsidR="004D5628" w:rsidRDefault="004D5628" w:rsidP="004D5628">
      <w:pPr>
        <w:widowControl w:val="0"/>
        <w:numPr>
          <w:ilvl w:val="1"/>
          <w:numId w:val="28"/>
        </w:numPr>
        <w:autoSpaceDE w:val="0"/>
        <w:autoSpaceDN w:val="0"/>
        <w:adjustRightInd w:val="0"/>
        <w:jc w:val="both"/>
      </w:pPr>
      <w:r>
        <w:t xml:space="preserve">Générez un plan d’expériences space filling (cf cours et TD 3) de taille </w:t>
      </w:r>
      <w:r w:rsidR="003D7ECA">
        <w:t>4</w:t>
      </w:r>
      <w:r>
        <w:t>00 sur lequel vous évaluez la fonction « robot ».</w:t>
      </w:r>
    </w:p>
    <w:p w14:paraId="0038820B" w14:textId="7CE8278F" w:rsidR="004D5628" w:rsidRDefault="004D5628" w:rsidP="004D5628">
      <w:pPr>
        <w:widowControl w:val="0"/>
        <w:numPr>
          <w:ilvl w:val="1"/>
          <w:numId w:val="28"/>
        </w:numPr>
        <w:autoSpaceDE w:val="0"/>
        <w:autoSpaceDN w:val="0"/>
        <w:adjustRightInd w:val="0"/>
        <w:jc w:val="both"/>
      </w:pPr>
      <w:r>
        <w:t>Construi</w:t>
      </w:r>
      <w:r w:rsidR="003D7ECA">
        <w:t>sez</w:t>
      </w:r>
      <w:r>
        <w:t xml:space="preserve"> un métamodèle de type krigeage (aussi appelé processus gaussien) avec la fonction </w:t>
      </w:r>
      <w:r w:rsidRPr="004D5628">
        <w:rPr>
          <w:i/>
          <w:iCs/>
        </w:rPr>
        <w:t>km()</w:t>
      </w:r>
      <w:r>
        <w:t xml:space="preserve"> du package « DiceKriging ». Utilisez les paramétrages que vous voulez.</w:t>
      </w:r>
    </w:p>
    <w:p w14:paraId="14D1A51F" w14:textId="44B352AE" w:rsidR="003B3561" w:rsidRDefault="003B3561" w:rsidP="004D5628">
      <w:pPr>
        <w:widowControl w:val="0"/>
        <w:numPr>
          <w:ilvl w:val="1"/>
          <w:numId w:val="28"/>
        </w:numPr>
        <w:autoSpaceDE w:val="0"/>
        <w:autoSpaceDN w:val="0"/>
        <w:adjustRightInd w:val="0"/>
        <w:jc w:val="both"/>
      </w:pPr>
      <w:r>
        <w:t xml:space="preserve">Estimez les indices de Sobol’ en utilisant le prédicteur du métamodèle plutôt que la fonction « robot », en utilisant la fonction </w:t>
      </w:r>
      <w:r w:rsidRPr="003B3561">
        <w:rPr>
          <w:i/>
          <w:iCs/>
        </w:rPr>
        <w:t>sobolmartinez()</w:t>
      </w:r>
      <w:r>
        <w:t xml:space="preserve"> avec n=10000. Comparez avec les résultats précédents.</w:t>
      </w:r>
    </w:p>
    <w:p w14:paraId="5ED23F8A" w14:textId="52EF799A" w:rsidR="004D5628" w:rsidRPr="004D5628" w:rsidRDefault="003B3561" w:rsidP="004D5628">
      <w:pPr>
        <w:widowControl w:val="0"/>
        <w:numPr>
          <w:ilvl w:val="1"/>
          <w:numId w:val="28"/>
        </w:numPr>
        <w:autoSpaceDE w:val="0"/>
        <w:autoSpaceDN w:val="0"/>
        <w:adjustRightInd w:val="0"/>
        <w:jc w:val="both"/>
      </w:pPr>
      <w:r>
        <w:t xml:space="preserve">L’intérêt du métamodèle des processus gaussiens est de pouvoir utiliser sa structure d’erreur pour quantifier l’impact de l’approximation faite par le métamodèle sur l’estimation des indices de Sobol’. </w:t>
      </w:r>
      <w:r w:rsidR="004D5628">
        <w:t xml:space="preserve">Utilisez la fonction </w:t>
      </w:r>
      <w:r w:rsidR="004D5628" w:rsidRPr="004D5628">
        <w:rPr>
          <w:i/>
          <w:iCs/>
        </w:rPr>
        <w:t>sobolGP()</w:t>
      </w:r>
      <w:r w:rsidR="004D5628">
        <w:t xml:space="preserve"> du package « sensitivity » qui permet de calculer les indices de Sobol’ sur un métamodèle émanant de la fonction </w:t>
      </w:r>
      <w:r w:rsidR="004D5628" w:rsidRPr="004D5628">
        <w:rPr>
          <w:i/>
          <w:iCs/>
        </w:rPr>
        <w:t>km().</w:t>
      </w:r>
    </w:p>
    <w:sectPr w:rsidR="004D5628" w:rsidRPr="004D5628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2985" w14:textId="77777777" w:rsidR="00FD2819" w:rsidRDefault="00FD2819">
      <w:r>
        <w:separator/>
      </w:r>
    </w:p>
  </w:endnote>
  <w:endnote w:type="continuationSeparator" w:id="0">
    <w:p w14:paraId="62B31F94" w14:textId="77777777" w:rsidR="00FD2819" w:rsidRDefault="00FD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177F" w14:textId="77777777" w:rsidR="00B26549" w:rsidRDefault="00B2654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0560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510479F" w14:textId="77777777" w:rsidR="00B26549" w:rsidRDefault="00B2654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BBA3" w14:textId="77777777" w:rsidR="00B26549" w:rsidRDefault="00B2654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6298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D843946" w14:textId="77777777" w:rsidR="00B26549" w:rsidRDefault="00B2654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657C" w14:textId="77777777" w:rsidR="00FD2819" w:rsidRDefault="00FD2819">
      <w:r>
        <w:separator/>
      </w:r>
    </w:p>
  </w:footnote>
  <w:footnote w:type="continuationSeparator" w:id="0">
    <w:p w14:paraId="710B48C1" w14:textId="77777777" w:rsidR="00FD2819" w:rsidRDefault="00FD2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1A3"/>
    <w:multiLevelType w:val="hybridMultilevel"/>
    <w:tmpl w:val="07CC96D2"/>
    <w:lvl w:ilvl="0" w:tplc="4712EB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D10807"/>
    <w:multiLevelType w:val="hybridMultilevel"/>
    <w:tmpl w:val="12E061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35B89"/>
    <w:multiLevelType w:val="hybridMultilevel"/>
    <w:tmpl w:val="D320EC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BEE"/>
    <w:multiLevelType w:val="hybridMultilevel"/>
    <w:tmpl w:val="CB38AAAC"/>
    <w:lvl w:ilvl="0" w:tplc="C49894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35BC"/>
    <w:multiLevelType w:val="hybridMultilevel"/>
    <w:tmpl w:val="7F34707E"/>
    <w:lvl w:ilvl="0" w:tplc="BAE0D64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90ABF"/>
    <w:multiLevelType w:val="hybridMultilevel"/>
    <w:tmpl w:val="9B78B120"/>
    <w:lvl w:ilvl="0" w:tplc="CD4C9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6411C7"/>
    <w:multiLevelType w:val="hybridMultilevel"/>
    <w:tmpl w:val="AA423B38"/>
    <w:lvl w:ilvl="0" w:tplc="CD4C9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06114E"/>
    <w:multiLevelType w:val="hybridMultilevel"/>
    <w:tmpl w:val="7EDA0E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84805"/>
    <w:multiLevelType w:val="hybridMultilevel"/>
    <w:tmpl w:val="026A1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44166"/>
    <w:multiLevelType w:val="hybridMultilevel"/>
    <w:tmpl w:val="65B672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90"/>
    <w:multiLevelType w:val="hybridMultilevel"/>
    <w:tmpl w:val="D876C7D8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0C91C1C"/>
    <w:multiLevelType w:val="hybridMultilevel"/>
    <w:tmpl w:val="CD98B494"/>
    <w:lvl w:ilvl="0" w:tplc="0FCEB12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382D4F"/>
    <w:multiLevelType w:val="hybridMultilevel"/>
    <w:tmpl w:val="A5622A5C"/>
    <w:lvl w:ilvl="0" w:tplc="954AB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55108"/>
    <w:multiLevelType w:val="hybridMultilevel"/>
    <w:tmpl w:val="2B721152"/>
    <w:lvl w:ilvl="0" w:tplc="ADD42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5F4BC2"/>
    <w:multiLevelType w:val="hybridMultilevel"/>
    <w:tmpl w:val="4FF627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F6CF1"/>
    <w:multiLevelType w:val="multilevel"/>
    <w:tmpl w:val="000005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1."/>
      <w:lvlJc w:val="left"/>
      <w:pPr>
        <w:ind w:left="720" w:hanging="360"/>
      </w:pPr>
    </w:lvl>
    <w:lvl w:ilvl="4">
      <w:start w:val="1"/>
      <w:numFmt w:val="decimal"/>
      <w:lvlText w:val="%1."/>
      <w:lvlJc w:val="left"/>
      <w:pPr>
        <w:ind w:left="720" w:hanging="360"/>
      </w:pPr>
    </w:lvl>
    <w:lvl w:ilvl="5">
      <w:start w:val="1"/>
      <w:numFmt w:val="decimal"/>
      <w:lvlText w:val="%1."/>
      <w:lvlJc w:val="left"/>
      <w:pPr>
        <w:ind w:left="720" w:hanging="360"/>
      </w:pPr>
    </w:lvl>
    <w:lvl w:ilvl="6">
      <w:start w:val="1"/>
      <w:numFmt w:val="decimal"/>
      <w:lvlText w:val="%1."/>
      <w:lvlJc w:val="left"/>
      <w:pPr>
        <w:ind w:left="720" w:hanging="360"/>
      </w:pPr>
    </w:lvl>
    <w:lvl w:ilvl="7">
      <w:start w:val="1"/>
      <w:numFmt w:val="decimal"/>
      <w:lvlText w:val="%1."/>
      <w:lvlJc w:val="left"/>
      <w:pPr>
        <w:ind w:left="720" w:hanging="360"/>
      </w:pPr>
    </w:lvl>
    <w:lvl w:ilvl="8">
      <w:start w:val="1"/>
      <w:numFmt w:val="decimal"/>
      <w:lvlText w:val="%1."/>
      <w:lvlJc w:val="left"/>
      <w:pPr>
        <w:ind w:left="720" w:hanging="360"/>
      </w:pPr>
    </w:lvl>
  </w:abstractNum>
  <w:abstractNum w:abstractNumId="16" w15:restartNumberingAfterBreak="0">
    <w:nsid w:val="5B93569C"/>
    <w:multiLevelType w:val="hybridMultilevel"/>
    <w:tmpl w:val="BF802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44DFF"/>
    <w:multiLevelType w:val="hybridMultilevel"/>
    <w:tmpl w:val="E7CC2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C6D37"/>
    <w:multiLevelType w:val="hybridMultilevel"/>
    <w:tmpl w:val="7FD463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411C6"/>
    <w:multiLevelType w:val="hybridMultilevel"/>
    <w:tmpl w:val="CB38AAAC"/>
    <w:lvl w:ilvl="0" w:tplc="C49894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A5102"/>
    <w:multiLevelType w:val="hybridMultilevel"/>
    <w:tmpl w:val="026A1B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C3742"/>
    <w:multiLevelType w:val="hybridMultilevel"/>
    <w:tmpl w:val="286AD1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51338"/>
    <w:multiLevelType w:val="hybridMultilevel"/>
    <w:tmpl w:val="BA8C395C"/>
    <w:lvl w:ilvl="0" w:tplc="E3CA4B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35669"/>
    <w:multiLevelType w:val="hybridMultilevel"/>
    <w:tmpl w:val="54D4A55E"/>
    <w:lvl w:ilvl="0" w:tplc="A40C0D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C30D1"/>
    <w:multiLevelType w:val="hybridMultilevel"/>
    <w:tmpl w:val="CEBECC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61887">
    <w:abstractNumId w:val="10"/>
  </w:num>
  <w:num w:numId="2" w16cid:durableId="32582104">
    <w:abstractNumId w:val="9"/>
  </w:num>
  <w:num w:numId="3" w16cid:durableId="531847032">
    <w:abstractNumId w:val="14"/>
  </w:num>
  <w:num w:numId="4" w16cid:durableId="700008310">
    <w:abstractNumId w:val="21"/>
  </w:num>
  <w:num w:numId="5" w16cid:durableId="154886167">
    <w:abstractNumId w:val="2"/>
  </w:num>
  <w:num w:numId="6" w16cid:durableId="919868100">
    <w:abstractNumId w:val="17"/>
  </w:num>
  <w:num w:numId="7" w16cid:durableId="1432581244">
    <w:abstractNumId w:val="21"/>
  </w:num>
  <w:num w:numId="8" w16cid:durableId="810168800">
    <w:abstractNumId w:val="17"/>
  </w:num>
  <w:num w:numId="9" w16cid:durableId="715473643">
    <w:abstractNumId w:val="2"/>
  </w:num>
  <w:num w:numId="10" w16cid:durableId="421804895">
    <w:abstractNumId w:val="23"/>
  </w:num>
  <w:num w:numId="11" w16cid:durableId="1965959631">
    <w:abstractNumId w:val="15"/>
  </w:num>
  <w:num w:numId="12" w16cid:durableId="813134138">
    <w:abstractNumId w:val="6"/>
  </w:num>
  <w:num w:numId="13" w16cid:durableId="1721249271">
    <w:abstractNumId w:val="16"/>
  </w:num>
  <w:num w:numId="14" w16cid:durableId="446196661">
    <w:abstractNumId w:val="20"/>
  </w:num>
  <w:num w:numId="15" w16cid:durableId="1809585272">
    <w:abstractNumId w:val="11"/>
  </w:num>
  <w:num w:numId="16" w16cid:durableId="490947580">
    <w:abstractNumId w:val="0"/>
  </w:num>
  <w:num w:numId="17" w16cid:durableId="1928921387">
    <w:abstractNumId w:val="12"/>
  </w:num>
  <w:num w:numId="18" w16cid:durableId="1845393982">
    <w:abstractNumId w:val="7"/>
  </w:num>
  <w:num w:numId="19" w16cid:durableId="1582833856">
    <w:abstractNumId w:val="13"/>
  </w:num>
  <w:num w:numId="20" w16cid:durableId="524367681">
    <w:abstractNumId w:val="5"/>
  </w:num>
  <w:num w:numId="21" w16cid:durableId="1007363240">
    <w:abstractNumId w:val="8"/>
  </w:num>
  <w:num w:numId="22" w16cid:durableId="1939634468">
    <w:abstractNumId w:val="3"/>
  </w:num>
  <w:num w:numId="23" w16cid:durableId="449710664">
    <w:abstractNumId w:val="4"/>
  </w:num>
  <w:num w:numId="24" w16cid:durableId="395250742">
    <w:abstractNumId w:val="22"/>
  </w:num>
  <w:num w:numId="25" w16cid:durableId="1634099227">
    <w:abstractNumId w:val="19"/>
  </w:num>
  <w:num w:numId="26" w16cid:durableId="1190607106">
    <w:abstractNumId w:val="1"/>
  </w:num>
  <w:num w:numId="27" w16cid:durableId="365519737">
    <w:abstractNumId w:val="24"/>
  </w:num>
  <w:num w:numId="28" w16cid:durableId="5649931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oNotTrackMoves/>
  <w:defaultTabStop w:val="708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BC9"/>
    <w:rsid w:val="000471B8"/>
    <w:rsid w:val="0005630F"/>
    <w:rsid w:val="000563FF"/>
    <w:rsid w:val="000735B2"/>
    <w:rsid w:val="000A4B76"/>
    <w:rsid w:val="000A73F4"/>
    <w:rsid w:val="000C45BF"/>
    <w:rsid w:val="000E08E6"/>
    <w:rsid w:val="000E4407"/>
    <w:rsid w:val="001028A6"/>
    <w:rsid w:val="0010560C"/>
    <w:rsid w:val="00115A1A"/>
    <w:rsid w:val="0012040E"/>
    <w:rsid w:val="00132481"/>
    <w:rsid w:val="00153AD2"/>
    <w:rsid w:val="0015628C"/>
    <w:rsid w:val="001575A0"/>
    <w:rsid w:val="00166CA7"/>
    <w:rsid w:val="00174968"/>
    <w:rsid w:val="001A32FB"/>
    <w:rsid w:val="001A5AD8"/>
    <w:rsid w:val="001B1B3D"/>
    <w:rsid w:val="001D3708"/>
    <w:rsid w:val="001D3EC2"/>
    <w:rsid w:val="001F58CD"/>
    <w:rsid w:val="00200141"/>
    <w:rsid w:val="00204194"/>
    <w:rsid w:val="002058FC"/>
    <w:rsid w:val="00206FA8"/>
    <w:rsid w:val="00211673"/>
    <w:rsid w:val="00225AD9"/>
    <w:rsid w:val="002569A9"/>
    <w:rsid w:val="0026055F"/>
    <w:rsid w:val="00296788"/>
    <w:rsid w:val="002A36A1"/>
    <w:rsid w:val="002A3A3E"/>
    <w:rsid w:val="002A4F3C"/>
    <w:rsid w:val="002B4BC9"/>
    <w:rsid w:val="002B4F52"/>
    <w:rsid w:val="002C0561"/>
    <w:rsid w:val="002C2C57"/>
    <w:rsid w:val="002C58AF"/>
    <w:rsid w:val="002F6725"/>
    <w:rsid w:val="0031688B"/>
    <w:rsid w:val="00336F9F"/>
    <w:rsid w:val="00363087"/>
    <w:rsid w:val="003A350A"/>
    <w:rsid w:val="003A6792"/>
    <w:rsid w:val="003B3561"/>
    <w:rsid w:val="003B6A96"/>
    <w:rsid w:val="003D7ECA"/>
    <w:rsid w:val="003F37FD"/>
    <w:rsid w:val="00411588"/>
    <w:rsid w:val="004160C9"/>
    <w:rsid w:val="004235BA"/>
    <w:rsid w:val="00426732"/>
    <w:rsid w:val="0045583A"/>
    <w:rsid w:val="00457CAB"/>
    <w:rsid w:val="00462CF1"/>
    <w:rsid w:val="00481FD2"/>
    <w:rsid w:val="004B1F43"/>
    <w:rsid w:val="004B7EFC"/>
    <w:rsid w:val="004C1776"/>
    <w:rsid w:val="004C25B3"/>
    <w:rsid w:val="004D5628"/>
    <w:rsid w:val="004D79E3"/>
    <w:rsid w:val="004F7206"/>
    <w:rsid w:val="00512FF1"/>
    <w:rsid w:val="00516EE2"/>
    <w:rsid w:val="00546E00"/>
    <w:rsid w:val="00555BC7"/>
    <w:rsid w:val="00570D65"/>
    <w:rsid w:val="005754D6"/>
    <w:rsid w:val="005A40DF"/>
    <w:rsid w:val="005A7854"/>
    <w:rsid w:val="005B4D76"/>
    <w:rsid w:val="005C1457"/>
    <w:rsid w:val="005C2861"/>
    <w:rsid w:val="005D25CA"/>
    <w:rsid w:val="005D77AE"/>
    <w:rsid w:val="005F22E0"/>
    <w:rsid w:val="005F31FB"/>
    <w:rsid w:val="005F7400"/>
    <w:rsid w:val="00604E34"/>
    <w:rsid w:val="006239DD"/>
    <w:rsid w:val="00636373"/>
    <w:rsid w:val="006868A0"/>
    <w:rsid w:val="00686D84"/>
    <w:rsid w:val="006927B3"/>
    <w:rsid w:val="006C62E7"/>
    <w:rsid w:val="006D07AD"/>
    <w:rsid w:val="006E7FDE"/>
    <w:rsid w:val="00703B0F"/>
    <w:rsid w:val="00724B8C"/>
    <w:rsid w:val="00726540"/>
    <w:rsid w:val="007540A6"/>
    <w:rsid w:val="0077752B"/>
    <w:rsid w:val="007D565E"/>
    <w:rsid w:val="007E2233"/>
    <w:rsid w:val="007E38BB"/>
    <w:rsid w:val="007F7FD8"/>
    <w:rsid w:val="0081786B"/>
    <w:rsid w:val="00826A1E"/>
    <w:rsid w:val="00833953"/>
    <w:rsid w:val="00877C17"/>
    <w:rsid w:val="008A51A1"/>
    <w:rsid w:val="008C01D9"/>
    <w:rsid w:val="008C652B"/>
    <w:rsid w:val="008D4BB7"/>
    <w:rsid w:val="0090040F"/>
    <w:rsid w:val="009055B2"/>
    <w:rsid w:val="00910816"/>
    <w:rsid w:val="00910C21"/>
    <w:rsid w:val="00913465"/>
    <w:rsid w:val="00960F7B"/>
    <w:rsid w:val="009736AE"/>
    <w:rsid w:val="009A4074"/>
    <w:rsid w:val="009A49DF"/>
    <w:rsid w:val="009C687C"/>
    <w:rsid w:val="009C697F"/>
    <w:rsid w:val="009D2D62"/>
    <w:rsid w:val="00A1607F"/>
    <w:rsid w:val="00A16D9F"/>
    <w:rsid w:val="00A22259"/>
    <w:rsid w:val="00A3409C"/>
    <w:rsid w:val="00A556E6"/>
    <w:rsid w:val="00A80331"/>
    <w:rsid w:val="00AA4960"/>
    <w:rsid w:val="00AD555B"/>
    <w:rsid w:val="00B006AD"/>
    <w:rsid w:val="00B139FD"/>
    <w:rsid w:val="00B247CE"/>
    <w:rsid w:val="00B26549"/>
    <w:rsid w:val="00B32993"/>
    <w:rsid w:val="00B44C11"/>
    <w:rsid w:val="00B72957"/>
    <w:rsid w:val="00B75D5E"/>
    <w:rsid w:val="00B80FFA"/>
    <w:rsid w:val="00B871F0"/>
    <w:rsid w:val="00B94366"/>
    <w:rsid w:val="00B96298"/>
    <w:rsid w:val="00BB306B"/>
    <w:rsid w:val="00C013B4"/>
    <w:rsid w:val="00C0312A"/>
    <w:rsid w:val="00C03E93"/>
    <w:rsid w:val="00C07BE0"/>
    <w:rsid w:val="00C245E0"/>
    <w:rsid w:val="00C37A83"/>
    <w:rsid w:val="00C41C7F"/>
    <w:rsid w:val="00C42252"/>
    <w:rsid w:val="00C46A72"/>
    <w:rsid w:val="00C47927"/>
    <w:rsid w:val="00C61FF0"/>
    <w:rsid w:val="00C774BC"/>
    <w:rsid w:val="00CB4FCE"/>
    <w:rsid w:val="00CC5594"/>
    <w:rsid w:val="00D221A4"/>
    <w:rsid w:val="00D461B3"/>
    <w:rsid w:val="00D53AEC"/>
    <w:rsid w:val="00D65D22"/>
    <w:rsid w:val="00D7241F"/>
    <w:rsid w:val="00DA2B6B"/>
    <w:rsid w:val="00DC30DF"/>
    <w:rsid w:val="00DC5FB1"/>
    <w:rsid w:val="00DF21E0"/>
    <w:rsid w:val="00DF35F9"/>
    <w:rsid w:val="00E05B2D"/>
    <w:rsid w:val="00E1285A"/>
    <w:rsid w:val="00E37A99"/>
    <w:rsid w:val="00E40877"/>
    <w:rsid w:val="00E5585D"/>
    <w:rsid w:val="00E90621"/>
    <w:rsid w:val="00E9062E"/>
    <w:rsid w:val="00EA5ECD"/>
    <w:rsid w:val="00EB5BE9"/>
    <w:rsid w:val="00EE0506"/>
    <w:rsid w:val="00EE365F"/>
    <w:rsid w:val="00EF10BD"/>
    <w:rsid w:val="00F02FF6"/>
    <w:rsid w:val="00F113EF"/>
    <w:rsid w:val="00F126F6"/>
    <w:rsid w:val="00F47D1E"/>
    <w:rsid w:val="00F65387"/>
    <w:rsid w:val="00FB030C"/>
    <w:rsid w:val="00FB0AF9"/>
    <w:rsid w:val="00FD2819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5F0EA8E2"/>
  <w15:chartTrackingRefBased/>
  <w15:docId w15:val="{5D772DBA-6999-4D30-A8F5-88A83D8A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autoSpaceDE w:val="0"/>
      <w:autoSpaceDN w:val="0"/>
      <w:adjustRightInd w:val="0"/>
      <w:outlineLvl w:val="0"/>
    </w:pPr>
    <w:rPr>
      <w:b/>
      <w:bCs/>
      <w:szCs w:val="29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jc w:val="both"/>
      <w:outlineLvl w:val="1"/>
    </w:pPr>
    <w:rPr>
      <w:b/>
      <w:bCs/>
      <w:sz w:val="28"/>
      <w:szCs w:val="29"/>
    </w:rPr>
  </w:style>
  <w:style w:type="paragraph" w:styleId="Titre3">
    <w:name w:val="heading 3"/>
    <w:basedOn w:val="Normal"/>
    <w:next w:val="Normal"/>
    <w:qFormat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Cs w:val="3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36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styleId="Lienhypertexte">
    <w:name w:val="Hyperlink"/>
    <w:semiHidden/>
    <w:rPr>
      <w:color w:val="0000FF"/>
      <w:u w:val="single"/>
    </w:rPr>
  </w:style>
  <w:style w:type="paragraph" w:styleId="PrformatHTML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Corpsdetexte">
    <w:name w:val="Body Text"/>
    <w:basedOn w:val="Normal"/>
    <w:semiHidden/>
    <w:pPr>
      <w:autoSpaceDE w:val="0"/>
      <w:autoSpaceDN w:val="0"/>
      <w:adjustRightInd w:val="0"/>
      <w:jc w:val="both"/>
    </w:pPr>
    <w:rPr>
      <w:rFonts w:ascii="Courier New" w:hAnsi="Courier New" w:cs="Courier New"/>
      <w:sz w:val="22"/>
      <w:szCs w:val="29"/>
      <w:lang w:val="en-GB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Titre4Car">
    <w:name w:val="Titre 4 Car"/>
    <w:link w:val="Titre4"/>
    <w:uiPriority w:val="9"/>
    <w:semiHidden/>
    <w:rsid w:val="00FE136F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noindent">
    <w:name w:val="noindent"/>
    <w:basedOn w:val="Normal"/>
    <w:rsid w:val="00FE136F"/>
    <w:pPr>
      <w:spacing w:before="100" w:beforeAutospacing="1" w:after="100" w:afterAutospacing="1"/>
    </w:pPr>
  </w:style>
  <w:style w:type="character" w:customStyle="1" w:styleId="ectt-1000">
    <w:name w:val="ectt-1000"/>
    <w:basedOn w:val="Policepardfaut"/>
    <w:rsid w:val="00FE136F"/>
  </w:style>
  <w:style w:type="character" w:customStyle="1" w:styleId="ecti-1000">
    <w:name w:val="ecti-1000"/>
    <w:basedOn w:val="Policepardfaut"/>
    <w:rsid w:val="00FE136F"/>
  </w:style>
  <w:style w:type="character" w:customStyle="1" w:styleId="ecss-1000">
    <w:name w:val="ecss-1000"/>
    <w:basedOn w:val="Policepardfaut"/>
    <w:rsid w:val="00FE136F"/>
  </w:style>
  <w:style w:type="paragraph" w:customStyle="1" w:styleId="indent">
    <w:name w:val="indent"/>
    <w:basedOn w:val="Normal"/>
    <w:rsid w:val="00FE136F"/>
    <w:pPr>
      <w:spacing w:before="100" w:beforeAutospacing="1" w:after="100" w:afterAutospacing="1"/>
    </w:pPr>
  </w:style>
  <w:style w:type="character" w:customStyle="1" w:styleId="apple-style-span">
    <w:name w:val="apple-style-span"/>
    <w:rsid w:val="002058FC"/>
  </w:style>
  <w:style w:type="paragraph" w:styleId="Textedebulles">
    <w:name w:val="Balloon Text"/>
    <w:basedOn w:val="Normal"/>
    <w:link w:val="TextedebullesCar"/>
    <w:uiPriority w:val="99"/>
    <w:semiHidden/>
    <w:unhideWhenUsed/>
    <w:rsid w:val="00512FF1"/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512FF1"/>
    <w:rPr>
      <w:rFonts w:ascii="Arial" w:hAnsi="Arial" w:cs="Arial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F58CD"/>
    <w:pPr>
      <w:widowControl w:val="0"/>
      <w:autoSpaceDE w:val="0"/>
      <w:autoSpaceDN w:val="0"/>
      <w:adjustRightInd w:val="0"/>
      <w:ind w:left="708"/>
    </w:pPr>
  </w:style>
  <w:style w:type="character" w:customStyle="1" w:styleId="Titre1Car">
    <w:name w:val="Titre 1 Car"/>
    <w:link w:val="Titre1"/>
    <w:rsid w:val="006868A0"/>
    <w:rPr>
      <w:b/>
      <w:bCs/>
      <w:sz w:val="24"/>
      <w:szCs w:val="29"/>
    </w:rPr>
  </w:style>
  <w:style w:type="character" w:customStyle="1" w:styleId="hps">
    <w:name w:val="hps"/>
    <w:basedOn w:val="Policepardfaut"/>
    <w:rsid w:val="009C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7A399-C81A-4D3A-ACEA-EDF103E9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 « Incertitudes » de l’ImdR - Module 2</vt:lpstr>
    </vt:vector>
  </TitlesOfParts>
  <Company>CEA Cadarache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« Incertitudes » de l’ImdR - Module 2</dc:title>
  <dc:subject/>
  <dc:creator>bertrand iooss</dc:creator>
  <cp:keywords/>
  <cp:lastModifiedBy>IOOSS Bertrand</cp:lastModifiedBy>
  <cp:revision>12</cp:revision>
  <cp:lastPrinted>2023-01-06T23:07:00Z</cp:lastPrinted>
  <dcterms:created xsi:type="dcterms:W3CDTF">2021-12-12T22:47:00Z</dcterms:created>
  <dcterms:modified xsi:type="dcterms:W3CDTF">2024-01-21T09:10:00Z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2021-12-12T22:47:04Z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b180f522-5a30-4cf1-99ca-a12562697125</vt:lpwstr>
  </property>
  <property fmtid="{D5CDD505-2E9C-101B-9397-08002B2CF9AE}" pid="8" name="MSIP_Label_2d26f538-337a-4593-a7e6-123667b1a538_ContentBits">
    <vt:lpwstr>0</vt:lpwstr>
  </property>
</Properties>
</file>