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300"/>
        <w:jc w:val="center"/>
      </w:pPr>
      <w:r>
        <w:rPr>
          <w:b/>
          <w:bCs/>
          <w:caps/>
          <w:color w:val="5A6474"/>
          <w:sz w:val="22"/>
          <w:szCs w:val="22"/>
        </w:rPr>
        <w:t xml:space="preserve">IKK FOODS — VAN SALES MOBILE APP</w:t>
      </w:r>
    </w:p>
    <w:p>
      <w:pPr>
        <w:spacing w:after="110"/>
        <w:jc w:val="center"/>
      </w:pPr>
      <w:r>
        <w:rPr>
          <w:b/>
          <w:bCs/>
          <w:color w:val="005BEA"/>
          <w:sz w:val="48"/>
          <w:szCs w:val="48"/>
        </w:rPr>
        <w:t xml:space="preserve">D365 F&amp;O Direct API Specification</w:t>
      </w:r>
    </w:p>
    <w:p>
      <w:pPr>
        <w:spacing w:after="380"/>
        <w:jc w:val="center"/>
      </w:pPr>
      <w:r>
        <w:rPr>
          <w:color w:val="16233C"/>
          <w:sz w:val="23"/>
          <w:szCs w:val="23"/>
        </w:rPr>
        <w:t xml:space="preserve">Mobile App ⇄ Dynamics 365 Finance &amp; Operations  (no middleware — always online)</w:t>
      </w:r>
    </w:p>
    <w:p>
      <w:pPr>
        <w:spacing w:after="100"/>
        <w:jc w:val="center"/>
      </w:pPr>
      <w:r>
        <w:rPr>
          <w:color w:val="5A6474"/>
          <w:sz w:val="20"/>
          <w:szCs w:val="20"/>
        </w:rPr>
        <w:t xml:space="preserve">Every function mapped to its real system API name: OData entities &amp; X++ services, with endpoints, request &amp; response, and ZATCA e-invoicing</w:t>
      </w:r>
    </w:p>
    <w:p>
      <w:pPr>
        <w:spacing w:before="2000"/>
        <w:jc w:val="center"/>
      </w:pPr>
      <w:r>
        <w:rPr>
          <w:color w:val="5A6474"/>
          <w:sz w:val="20"/>
          <w:szCs w:val="20"/>
        </w:rPr>
        <w:t xml:space="preserve">Version 2.0  |  August 2026  |  Developer Reference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005BEA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005BEA"/>
        </w:rPr>
        <w:t xml:space="preserve">1. Direct Connection Model (No Middleware)</w:t>
      </w:r>
    </w:p>
    <w:p>
      <w:pPr>
        <w:spacing w:after="110" w:line="300"/>
      </w:pPr>
      <w:r>
        <w:rPr>
          <w:sz w:val="21"/>
          <w:szCs w:val="21"/>
        </w:rPr>
        <w:t xml:space="preserve">The mobile app connects directly to Dynamics 365 Finance &amp; Operations over the internet. There is no middleware layer: the app authenticates to Entra ID, receives a token for F&amp;O, and calls F&amp;O REST endpoints (OData data entities and custom X++ services) directly. The app is assumed to be always online at the point of transaction.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1.1 Two Kinds of System API in F&amp;O</w:t>
      </w:r>
    </w:p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OData data entities: </w:t>
      </w:r>
      <w:r>
        <w:rPr>
          <w:sz w:val="21"/>
          <w:szCs w:val="21"/>
        </w:rPr>
        <w:t xml:space="preserve">the entity's public name is the API name, called under /data. Used for reads (master data) and simple creates (e.g., SalesOrderHeadersV2).</w:t>
      </w:r>
    </w:p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Custom services (X++): </w:t>
      </w:r>
      <w:r>
        <w:rPr>
          <w:sz w:val="21"/>
          <w:szCs w:val="21"/>
        </w:rPr>
        <w:t xml:space="preserve">a Service Group / Service / Operation is exposed under /api/services. Used for atomic posting that OData cannot do in one call (invoice post + ZATCA, payment + settlement, return vs. original invoice).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1.2 Base URLs (the system endpoints)</w:t>
      </w:r>
    </w:p>
    <w:tbl>
      <w:tblPr>
        <w:tblW w:type="dxa" w:w="9360"/>
        <w:tblBorders>
          <w:top w:val="single" w:color="C7D2E8" w:sz="4"/>
          <w:left w:val="single" w:color="C7D2E8" w:sz="4"/>
          <w:bottom w:val="single" w:color="C7D2E8" w:sz="4"/>
          <w:right w:val="single" w:color="C7D2E8" w:sz="4"/>
          <w:insideH w:val="single" w:color="C7D2E8" w:sz="4"/>
          <w:insideV w:val="single" w:color="C7D2E8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676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(system API root)</w:t>
            </w:r>
          </w:p>
        </w:tc>
      </w:tr>
      <w:tr>
        <w:tc>
          <w:tcPr>
            <w:tcW w:type="dxa" w:w="26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OData data entities</w:t>
            </w:r>
          </w:p>
        </w:tc>
        <w:tc>
          <w:tcPr>
            <w:tcW w:type="dxa" w:w="67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https://ikk-prod.operations.dynamics.com/data</w:t>
            </w:r>
          </w:p>
        </w:tc>
      </w:tr>
      <w:tr>
        <w:tc>
          <w:tcPr>
            <w:tcW w:type="dxa" w:w="26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Entity metadata</w:t>
            </w:r>
          </w:p>
        </w:tc>
        <w:tc>
          <w:tcPr>
            <w:tcW w:type="dxa" w:w="67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https://ikk-prod.operations.dynamics.com/data/$metadata</w:t>
            </w:r>
          </w:p>
        </w:tc>
      </w:tr>
      <w:tr>
        <w:tc>
          <w:tcPr>
            <w:tcW w:type="dxa" w:w="26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OData batch</w:t>
            </w:r>
          </w:p>
        </w:tc>
        <w:tc>
          <w:tcPr>
            <w:tcW w:type="dxa" w:w="67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https://ikk-prod.operations.dynamics.com/data/$batch</w:t>
            </w:r>
          </w:p>
        </w:tc>
      </w:tr>
      <w:tr>
        <w:tc>
          <w:tcPr>
            <w:tcW w:type="dxa" w:w="26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Custom X++ services</w:t>
            </w:r>
          </w:p>
        </w:tc>
        <w:tc>
          <w:tcPr>
            <w:tcW w:type="dxa" w:w="67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https://ikk-prod.operations.dynamics.com/api/services</w:t>
            </w:r>
          </w:p>
        </w:tc>
      </w:tr>
      <w:tr>
        <w:tc>
          <w:tcPr>
            <w:tcW w:type="dxa" w:w="26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Entra ID token</w:t>
            </w:r>
          </w:p>
        </w:tc>
        <w:tc>
          <w:tcPr>
            <w:tcW w:type="dxa" w:w="67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https://login.microsoftonline.com/{tenantId}/oauth2/v2.0/token</w:t>
            </w:r>
          </w:p>
        </w:tc>
      </w:tr>
    </w:tbl>
    <w:p>
      <w:pPr>
        <w:spacing w:after="110" w:line="300"/>
      </w:pPr>
      <w:r>
        <w:rPr>
          <w:i/>
          <w:iCs/>
          <w:color w:val="5A6474"/>
          <w:sz w:val="21"/>
          <w:szCs w:val="21"/>
        </w:rPr>
        <w:t xml:space="preserve">Replace ikk-prod.operations.dynamics.com with your actual F&amp;O environment host. All calls require the Bearer token from section 2.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005BEA"/>
        </w:rPr>
        <w:t xml:space="preserve">2. Authentication — Direct to F&amp;O (Entra ID)</w:t>
      </w:r>
    </w:p>
    <w:p>
      <w:pPr>
        <w:spacing w:after="110" w:line="300"/>
      </w:pPr>
      <w:r>
        <w:rPr>
          <w:sz w:val="21"/>
          <w:szCs w:val="21"/>
        </w:rPr>
        <w:t xml:space="preserve">The app is registered in Entra ID as a public/mobile client and requests a token whose resource is the F&amp;O environment. The signed-in rep maps to a D365 user, so every document is stamped with the real user and honors D365 security roles.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2.1 Token request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27803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https://login.microsoftonline.com/{tenantId}/oauth2/v2.0/token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grant_type=authorization_code            // Auth-code + PKCE for per-user token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client_id={mobileAppRegistrationId}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code={authCode}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code_verifier={pkceVerifier}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redirect_uri=msauth://com.ikk.vansales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scope=https://ikk-prod.operations.dynamics.com/.default</w:t>
            </w:r>
          </w:p>
        </w:tc>
      </w:tr>
    </w:tbl>
    <w:p>
      <w:pPr>
        <w:spacing w:after="110" w:line="300"/>
      </w:pPr>
      <w:r>
        <w:rPr>
          <w:i/>
          <w:iCs/>
          <w:color w:val="5A6474"/>
          <w:sz w:val="21"/>
          <w:szCs w:val="21"/>
        </w:rPr>
        <w:t xml:space="preserve">Result: access_token (Bearer) + refresh_token. The token is sent on every F&amp;O call. For service/background jobs a client-credentials token can be used instead.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2.2 Standard headers on every F&amp;O call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Authorization: Bearer {access_token}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OData-MaxVersion: 4.0        // OData calls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OData-Version: 4.0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If-Match: *                  // required for PATCH/DELETE</w:t>
            </w:r>
          </w:p>
        </w:tc>
      </w:tr>
    </w:tbl>
    <w:p>
      <w:pPr>
        <w:spacing w:after="110" w:line="300"/>
      </w:pPr>
      <w:r>
        <w:rPr>
          <w:i/>
          <w:iCs/>
          <w:color w:val="5A6474"/>
          <w:sz w:val="21"/>
          <w:szCs w:val="21"/>
        </w:rPr>
        <w:t xml:space="preserve">D365 security: the token's user must hold the Van Sales duty/privileges (customer create request, sales order &amp; invoice, payment journal, return order, inventory transfer). No pricing or discount logic is placed on the device — F&amp;O evaluates trade agreements and promotions.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005BEA"/>
        </w:rPr>
        <w:t xml:space="preserve">3. Master API Index (Function → D365 F&amp;O System Name)</w:t>
      </w:r>
    </w:p>
    <w:p>
      <w:pPr>
        <w:spacing w:after="110" w:line="300"/>
      </w:pPr>
      <w:r>
        <w:rPr>
          <w:sz w:val="21"/>
          <w:szCs w:val="21"/>
        </w:rPr>
        <w:t xml:space="preserve">For each function: the exact system API name in F&amp;O and the endpoint the app calls directly.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3.1 Reads — Master Data (OData data entities)</w:t>
      </w:r>
    </w:p>
    <w:tbl>
      <w:tblPr>
        <w:tblW w:type="dxa" w:w="9360"/>
        <w:tblBorders>
          <w:top w:val="single" w:color="C7D2E8" w:sz="4"/>
          <w:left w:val="single" w:color="C7D2E8" w:sz="4"/>
          <w:bottom w:val="single" w:color="C7D2E8" w:sz="4"/>
          <w:right w:val="single" w:color="C7D2E8" w:sz="4"/>
          <w:insideH w:val="single" w:color="C7D2E8" w:sz="4"/>
          <w:insideV w:val="single" w:color="C7D2E8" w:sz="4"/>
        </w:tblBorders>
      </w:tblPr>
      <w:tblGrid>
        <w:gridCol w:w="2400"/>
        <w:gridCol w:w="3200"/>
        <w:gridCol w:w="900"/>
        <w:gridCol w:w="2860"/>
      </w:tblGrid>
      <w:tr>
        <w:trPr>
          <w:tblHeader/>
        </w:trPr>
        <w:tc>
          <w:tcPr>
            <w:tcW w:type="dxa" w:w="240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20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D365 F&amp;O System API Name</w:t>
            </w:r>
          </w:p>
        </w:tc>
        <w:tc>
          <w:tcPr>
            <w:tcW w:type="dxa" w:w="90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6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(/data)</w:t>
            </w:r>
          </w:p>
        </w:tc>
      </w:tr>
      <w:tr>
        <w:tc>
          <w:tcPr>
            <w:tcW w:type="dxa" w:w="24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تحميل العملاء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CustCustomersV3</w:t>
            </w:r>
          </w:p>
        </w:tc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/data/CustCustomersV3</w:t>
            </w:r>
          </w:p>
        </w:tc>
      </w:tr>
      <w:tr>
        <w:tc>
          <w:tcPr>
            <w:tcW w:type="dxa" w:w="24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ربط العميل بخط السير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GPRouteCustomerEntity</w:t>
            </w:r>
          </w:p>
        </w:tc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/data/GPRouteCustomerEntity</w:t>
            </w:r>
          </w:p>
        </w:tc>
      </w:tr>
      <w:tr>
        <w:tc>
          <w:tcPr>
            <w:tcW w:type="dxa" w:w="24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الأصناف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ReleasedProductsV2</w:t>
            </w:r>
          </w:p>
        </w:tc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/data/ReleasedProductsV2</w:t>
            </w:r>
          </w:p>
        </w:tc>
      </w:tr>
      <w:tr>
        <w:tc>
          <w:tcPr>
            <w:tcW w:type="dxa" w:w="24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الباركود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BarcodeEntity</w:t>
            </w:r>
          </w:p>
        </w:tc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/data/BarcodeEntity</w:t>
            </w:r>
          </w:p>
        </w:tc>
      </w:tr>
      <w:tr>
        <w:tc>
          <w:tcPr>
            <w:tcW w:type="dxa" w:w="24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الأسعار والخصومات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GPCustomerPriceEntity</w:t>
            </w:r>
          </w:p>
        </w:tc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/data/GPCustomerPriceEntity</w:t>
            </w:r>
          </w:p>
        </w:tc>
      </w:tr>
      <w:tr>
        <w:tc>
          <w:tcPr>
            <w:tcW w:type="dxa" w:w="24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العروض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GPPromotionPolicyEntity</w:t>
            </w:r>
          </w:p>
        </w:tc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/data/GPPromotionPolicyEntity</w:t>
            </w:r>
          </w:p>
        </w:tc>
      </w:tr>
      <w:tr>
        <w:tc>
          <w:tcPr>
            <w:tcW w:type="dxa" w:w="24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مخزون العربية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GPVanOnHandEntity</w:t>
            </w:r>
          </w:p>
        </w:tc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/data/GPVanOnHandEntity</w:t>
            </w:r>
          </w:p>
        </w:tc>
      </w:tr>
      <w:tr>
        <w:tc>
          <w:tcPr>
            <w:tcW w:type="dxa" w:w="24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خطة السير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GPJourneyPlanEntity</w:t>
            </w:r>
          </w:p>
        </w:tc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/data/GPJourneyPlanEntity</w:t>
            </w:r>
          </w:p>
        </w:tc>
      </w:tr>
    </w:tbl>
    <w:p>
      <w:pPr>
        <w:spacing w:after="80"/>
      </w:pP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3.2 Writes — Transactions</w:t>
      </w:r>
    </w:p>
    <w:tbl>
      <w:tblPr>
        <w:tblW w:type="dxa" w:w="9360"/>
        <w:tblBorders>
          <w:top w:val="single" w:color="C7D2E8" w:sz="4"/>
          <w:left w:val="single" w:color="C7D2E8" w:sz="4"/>
          <w:bottom w:val="single" w:color="C7D2E8" w:sz="4"/>
          <w:right w:val="single" w:color="C7D2E8" w:sz="4"/>
          <w:insideH w:val="single" w:color="C7D2E8" w:sz="4"/>
          <w:insideV w:val="single" w:color="C7D2E8" w:sz="4"/>
        </w:tblBorders>
      </w:tblPr>
      <w:tblGrid>
        <w:gridCol w:w="2200"/>
        <w:gridCol w:w="3300"/>
        <w:gridCol w:w="850"/>
        <w:gridCol w:w="3010"/>
      </w:tblGrid>
      <w:tr>
        <w:trPr>
          <w:tblHeader/>
        </w:trPr>
        <w:tc>
          <w:tcPr>
            <w:tcW w:type="dxa" w:w="220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30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D365 F&amp;O System API Name</w:t>
            </w:r>
          </w:p>
        </w:tc>
        <w:tc>
          <w:tcPr>
            <w:tcW w:type="dxa" w:w="85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Kind</w:t>
            </w:r>
          </w:p>
        </w:tc>
        <w:tc>
          <w:tcPr>
            <w:tcW w:type="dxa" w:w="301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2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انشاء أمر بيع</w:t>
            </w:r>
          </w:p>
        </w:tc>
        <w:tc>
          <w:tcPr>
            <w:tcW w:type="dxa" w:w="33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SalesOrderHeadersV2 / SalesOrderLinesV2</w:t>
            </w:r>
          </w:p>
        </w:tc>
        <w:tc>
          <w:tcPr>
            <w:tcW w:type="dxa" w:w="85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OData</w:t>
            </w:r>
          </w:p>
        </w:tc>
        <w:tc>
          <w:tcPr>
            <w:tcW w:type="dxa" w:w="301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/data/SalesOrderHeadersV2</w:t>
            </w:r>
          </w:p>
        </w:tc>
      </w:tr>
      <w:tr>
        <w:tc>
          <w:tcPr>
            <w:tcW w:type="dxa" w:w="2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ترحيل الفاتورة + ZATCA</w:t>
            </w:r>
          </w:p>
        </w:tc>
        <w:tc>
          <w:tcPr>
            <w:tcW w:type="dxa" w:w="33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GPVanSalesService/postInvoice</w:t>
            </w:r>
          </w:p>
        </w:tc>
        <w:tc>
          <w:tcPr>
            <w:tcW w:type="dxa" w:w="85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Service</w:t>
            </w:r>
          </w:p>
        </w:tc>
        <w:tc>
          <w:tcPr>
            <w:tcW w:type="dxa" w:w="301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/api/services/GPVanSalesGroup/GPVanSalesService/postInvoice</w:t>
            </w:r>
          </w:p>
        </w:tc>
      </w:tr>
      <w:tr>
        <w:tc>
          <w:tcPr>
            <w:tcW w:type="dxa" w:w="2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استرجاع QR الفاتورة</w:t>
            </w:r>
          </w:p>
        </w:tc>
        <w:tc>
          <w:tcPr>
            <w:tcW w:type="dxa" w:w="33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GPVanSalesService/getEInvoiceQr</w:t>
            </w:r>
          </w:p>
        </w:tc>
        <w:tc>
          <w:tcPr>
            <w:tcW w:type="dxa" w:w="85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Service</w:t>
            </w:r>
          </w:p>
        </w:tc>
        <w:tc>
          <w:tcPr>
            <w:tcW w:type="dxa" w:w="301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/api/services/GPVanSalesGroup/GPVanSalesService/getEInvoiceQr</w:t>
            </w:r>
          </w:p>
        </w:tc>
      </w:tr>
      <w:tr>
        <w:tc>
          <w:tcPr>
            <w:tcW w:type="dxa" w:w="2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التحصيل + التسوية</w:t>
            </w:r>
          </w:p>
        </w:tc>
        <w:tc>
          <w:tcPr>
            <w:tcW w:type="dxa" w:w="33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GPCollectionService/postPayment</w:t>
            </w:r>
          </w:p>
        </w:tc>
        <w:tc>
          <w:tcPr>
            <w:tcW w:type="dxa" w:w="85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Service</w:t>
            </w:r>
          </w:p>
        </w:tc>
        <w:tc>
          <w:tcPr>
            <w:tcW w:type="dxa" w:w="301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/api/services/GPVanSalesGroup/GPCollectionService/postPayment</w:t>
            </w:r>
          </w:p>
        </w:tc>
      </w:tr>
      <w:tr>
        <w:tc>
          <w:tcPr>
            <w:tcW w:type="dxa" w:w="2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المرتجع</w:t>
            </w:r>
          </w:p>
        </w:tc>
        <w:tc>
          <w:tcPr>
            <w:tcW w:type="dxa" w:w="33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GPReturnService/postReturn</w:t>
            </w:r>
          </w:p>
        </w:tc>
        <w:tc>
          <w:tcPr>
            <w:tcW w:type="dxa" w:w="85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Service</w:t>
            </w:r>
          </w:p>
        </w:tc>
        <w:tc>
          <w:tcPr>
            <w:tcW w:type="dxa" w:w="301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/api/services/GPVanSalesGroup/GPReturnService/postReturn</w:t>
            </w:r>
          </w:p>
        </w:tc>
      </w:tr>
      <w:tr>
        <w:tc>
          <w:tcPr>
            <w:tcW w:type="dxa" w:w="2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طلب عميل جديد</w:t>
            </w:r>
          </w:p>
        </w:tc>
        <w:tc>
          <w:tcPr>
            <w:tcW w:type="dxa" w:w="33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GPCustomerRequestService/submit</w:t>
            </w:r>
          </w:p>
        </w:tc>
        <w:tc>
          <w:tcPr>
            <w:tcW w:type="dxa" w:w="85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Service</w:t>
            </w:r>
          </w:p>
        </w:tc>
        <w:tc>
          <w:tcPr>
            <w:tcW w:type="dxa" w:w="301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/api/services/GPVanSalesGroup/GPCustomerRequestService/submit</w:t>
            </w:r>
          </w:p>
        </w:tc>
      </w:tr>
      <w:tr>
        <w:tc>
          <w:tcPr>
            <w:tcW w:type="dxa" w:w="2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المرفقات</w:t>
            </w:r>
          </w:p>
        </w:tc>
        <w:tc>
          <w:tcPr>
            <w:tcW w:type="dxa" w:w="33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DocuAttachmentEntity</w:t>
            </w:r>
          </w:p>
        </w:tc>
        <w:tc>
          <w:tcPr>
            <w:tcW w:type="dxa" w:w="85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OData</w:t>
            </w:r>
          </w:p>
        </w:tc>
        <w:tc>
          <w:tcPr>
            <w:tcW w:type="dxa" w:w="301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/data/DocuAttachmentEntity</w:t>
            </w:r>
          </w:p>
        </w:tc>
      </w:tr>
      <w:tr>
        <w:tc>
          <w:tcPr>
            <w:tcW w:type="dxa" w:w="2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نتيجة الزيارة + GPS</w:t>
            </w:r>
          </w:p>
        </w:tc>
        <w:tc>
          <w:tcPr>
            <w:tcW w:type="dxa" w:w="33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GPVisitLogEntity</w:t>
            </w:r>
          </w:p>
        </w:tc>
        <w:tc>
          <w:tcPr>
            <w:tcW w:type="dxa" w:w="85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OData</w:t>
            </w:r>
          </w:p>
        </w:tc>
        <w:tc>
          <w:tcPr>
            <w:tcW w:type="dxa" w:w="301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/data/GPVisitLogEntity</w:t>
            </w:r>
          </w:p>
        </w:tc>
      </w:tr>
      <w:tr>
        <w:tc>
          <w:tcPr>
            <w:tcW w:type="dxa" w:w="2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إقفال اليوم</w:t>
            </w:r>
          </w:p>
        </w:tc>
        <w:tc>
          <w:tcPr>
            <w:tcW w:type="dxa" w:w="33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GPDayCloseService/close</w:t>
            </w:r>
          </w:p>
        </w:tc>
        <w:tc>
          <w:tcPr>
            <w:tcW w:type="dxa" w:w="85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Service</w:t>
            </w:r>
          </w:p>
        </w:tc>
        <w:tc>
          <w:tcPr>
            <w:tcW w:type="dxa" w:w="301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33C"/>
                <w:sz w:val="18"/>
                <w:szCs w:val="18"/>
              </w:rPr>
              <w:t xml:space="preserve">/api/services/GPVanSalesGroup/GPDayCloseService/close</w:t>
            </w:r>
          </w:p>
        </w:tc>
      </w:tr>
    </w:tbl>
    <w:p>
      <w:pPr>
        <w:spacing w:after="110" w:line="300"/>
      </w:pPr>
      <w:r>
        <w:rPr>
          <w:i/>
          <w:iCs/>
          <w:color w:val="5A6474"/>
          <w:sz w:val="21"/>
          <w:szCs w:val="21"/>
        </w:rPr>
        <w:t xml:space="preserve">Note: entity names ending V2/V3 are standard Microsoft entities; names starting with GP are custom entities/services to be built in the ISV model. Route optimization runs client-side or as an F&amp;O batch — it is not an online API call.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005BEA"/>
        </w:rPr>
        <w:t xml:space="preserve">4. Master Data Reads (OData)</w:t>
      </w:r>
    </w:p>
    <w:p>
      <w:pPr>
        <w:spacing w:after="110" w:line="300"/>
      </w:pPr>
      <w:r>
        <w:rPr>
          <w:sz w:val="21"/>
          <w:szCs w:val="21"/>
        </w:rPr>
        <w:t xml:space="preserve">Reads use OData query options directly. Delta sync uses F&amp;O change tracking with delta links, or a ModifiedDateTime filter.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4.1 CustCustomersV3 — العملاء (per route)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0E9F6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/data/CustCustomersV3?$filter=... &amp;cross-company=true</w:t>
      </w:r>
    </w:p>
    <w:p>
      <w:pPr>
        <w:spacing w:after="110" w:line="300"/>
      </w:pPr>
      <w:r>
        <w:rPr>
          <w:sz w:val="21"/>
          <w:szCs w:val="21"/>
        </w:rPr>
        <w:t xml:space="preserve">Route filtering joins the custom GPRouteCustomerEntity. Typical call for the rep's route: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GET /data/GPRouteCustomerEntity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?$filter=RouteId eq 'RT-CAI-04'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&amp;$expand=Customer($select=CustomerAccount,OrganizationName,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         CreditLimit,CustomerPaymentMethodName,SalesTaxGroup)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&amp;cross-company=true</w:t>
            </w:r>
          </w:p>
        </w:tc>
      </w:tr>
    </w:tbl>
    <w:p>
      <w:pPr>
        <w:pStyle w:val="Heading3"/>
        <w:spacing w:after="90" w:before="190"/>
      </w:pPr>
      <w:r>
        <w:rPr>
          <w:b/>
          <w:bCs/>
          <w:color w:val="5A6474"/>
        </w:rPr>
        <w:t xml:space="preserve">Response (per record)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"RouteId": "RT-CAI-04",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"CustomerAccount": "CU-004512",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"VisitFrequency": "Sat;Tue", "Priority": 2, "ServiceMinutes": 15,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"Latitude": 30.0131, "Longitude": 31.2089,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"Customer":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"OrganizationName": "ماركت الفتح — فيصل",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"CreditLimit": 30000.0, "PaymentMode": "Credit",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"SalesTaxGroup": "VAT15", "CustomerHold": "No"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System delta: </w:t>
      </w:r>
      <w:r>
        <w:rPr>
          <w:sz w:val="21"/>
          <w:szCs w:val="21"/>
        </w:rPr>
        <w:t xml:space="preserve">add header Prefer: odata.track-changes on first call, then GET the returned @odata.deltaLink to receive only changes.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4.2 ReleasedProductsV2 + BarcodeEntity — الأصناف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0E9F6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/data/ReleasedProductsV2?$select=ItemNumber,ProductName,SalesUnitSymbol,SalesSalesTaxItemGroupCode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0E9F6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/data/BarcodeEntity?$filter=Barcode ne ''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4.3 GPCustomerPriceEntity — الأسعار والخصومات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0E9F6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/data/GPCustomerPriceEntity?$filter=CustomerAccount eq 'CU-004512'</w:t>
      </w:r>
    </w:p>
    <w:p>
      <w:pPr>
        <w:spacing w:after="110" w:line="300"/>
      </w:pPr>
      <w:r>
        <w:rPr>
          <w:sz w:val="21"/>
          <w:szCs w:val="21"/>
        </w:rPr>
        <w:t xml:space="preserve">Custom entity backed by an X++ view that evaluates trade agreements (PriceDiscTable) per customer/date, so the app receives resolved price + line discount %.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"ItemNumber":"P-1001","CustomerAccount":"CU-004512",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"SalesUnit":"CTN","Price":142.00,"LineDiscountPct":5.0,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"FromDate":"2026-08-01","ToDate":"2026-08-31"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6233C"/>
        </w:rPr>
        <w:t xml:space="preserve">4.4 GPPromotionPolicyEntity — العروض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0E9F6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/data/GPPromotionPolicyEntity?$filter=IsActive eq true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"PromotionId":"PROMO-OIL-6","Type":"BuyXGetY",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"ConditionItem":"P-1001","MinQty":6,"ConditionUnit":"CTN",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"RewardItem":"P-1003","RewardQty":2,"RewardFree":true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6233C"/>
        </w:rPr>
        <w:t xml:space="preserve">4.5 GPVanOnHandEntity — مخزون العربية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0E9F6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/data/GPVanOnHandEntity?$filter=InventLocationId eq 'VAN-07'</w:t>
      </w:r>
    </w:p>
    <w:p>
      <w:pPr>
        <w:spacing w:after="110" w:line="300"/>
      </w:pPr>
      <w:r>
        <w:rPr>
          <w:sz w:val="21"/>
          <w:szCs w:val="21"/>
        </w:rPr>
        <w:t xml:space="preserve">Van = dedicated warehouse. Morning load = InventTransferJournal into VAN-07 (posted from Back Office).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4.6 GPJourneyPlanEntity — خطة السير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0E9F6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/data/GPJourneyPlanEntity?$filter=SalespersonId eq 'SP-014' and PlanDate eq 2026-08-02T00:00:00Z&amp;$expand=Stops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005BEA"/>
        </w:rPr>
        <w:t xml:space="preserve">5. Sales Order, Invoice &amp; ZATCA E-Invoicing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5.1 SalesOrderHeadersV2 — انشاء أمر بيع (OData)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27803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/data/SalesOrderHeadersV2</w:t>
      </w:r>
    </w:p>
    <w:p>
      <w:pPr>
        <w:spacing w:after="110" w:line="300"/>
      </w:pPr>
      <w:r>
        <w:rPr>
          <w:sz w:val="21"/>
          <w:szCs w:val="21"/>
        </w:rPr>
        <w:t xml:space="preserve">Direct OData create for pre-sales/delivery routes. Lines carry resolved price/discount and any promotion reference. Header holds an idempotency key in a custom field.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POST /data/SalesOrderHeadersV2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"dataAreaId": "ikk",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"OrderingCustomerAccountNumber": "CU-004512",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"DefaultShippingWarehouseId": "VAN-07",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"DeviceTransactionId": "b1f2-...-9ac"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// then POST lines: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POST /data/SalesOrderLinesV2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"dataAreaId":"ikk","SalesOrderNumber":"{returned}",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"ItemNumber":"P-1001","SalesUnitSymbol":"CTN",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"OrderedSalesQuantity":6,"SalesPrice":142.00,"LineDiscountPercentage":5.0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6233C"/>
        </w:rPr>
        <w:t xml:space="preserve">5.2 GPVanSalesService/postInvoice — ترحيل الفاتورة (Service)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27803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/api/services/GPVanSalesGroup/GPVanSalesService/postInvoice</w:t>
      </w:r>
    </w:p>
    <w:p>
      <w:pPr>
        <w:spacing w:after="110" w:line="300"/>
      </w:pPr>
      <w:r>
        <w:rPr>
          <w:sz w:val="21"/>
          <w:szCs w:val="21"/>
        </w:rPr>
        <w:t xml:space="preserve">The core call. Since the app is online, this single X++ operation runs the whole cycle inside F&amp;O in one transaction: create order → confirm → post packing slip against VAN-07 → post invoice → compute VAT → invoke the Electronic Invoicing (ZATCA) service → return the fiscal number and QR. Idempotent by DeviceTransactionId.</w:t>
      </w:r>
    </w:p>
    <w:p>
      <w:pPr>
        <w:pStyle w:val="Heading3"/>
        <w:spacing w:after="90" w:before="190"/>
      </w:pPr>
      <w:r>
        <w:rPr>
          <w:b/>
          <w:bCs/>
          <w:color w:val="5A6474"/>
        </w:rPr>
        <w:t xml:space="preserve">Request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"_request":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"DataAreaId": "ikk",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"DeviceTransactionId": "b1f2-...-9ac",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"CustomerAccount": "CU-004512",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"Warehouse": "VAN-07",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"DeviceInvoiceNo": "VAN07-000319",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"PaymentMode": "Credit",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"Latitude": 30.0131, "Longitude": 31.2089,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"Lines": 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  {"ItemNumber":"P-1001","Unit":"CTN","Qty":6,"Price":142.00,"LineDiscountPct":5.0},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  {"ItemNumber":"P-1002","Unit":"CTN","Qty":4,"Price":96.00},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  {"ItemNumber":"P-1003","Unit":"PCS","Qty":2,"Price":0,"PromotionId":"PROMO-OIL-6"}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after="90" w:before="190"/>
      </w:pPr>
      <w:r>
        <w:rPr>
          <w:b/>
          <w:bCs/>
          <w:color w:val="5A6474"/>
        </w:rPr>
        <w:t xml:space="preserve">Response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"Status": "Posted",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"SalesId": "SO-091233",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"InvoiceId": "INV-091233",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"ZatcaInvoiceHash": "NWZlY2ViNjZmZ...",   // SHA-256, base64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"ZatcaQrBase64": "ARvYtNix2YPYqSBJS0s...", // TLV, base64 (goes on the print)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"FiscalInvoiceNo": "SA-2026-556677",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"ClearanceStatus": "Reported",              // Reported (simplified) | Cleared (standard)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"Totals": {"Gross":1236.00,"Discount":42.60,"Vat":183.80,"Net":1409.14}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System mapping: </w:t>
      </w:r>
      <w:r>
        <w:rPr>
          <w:sz w:val="21"/>
          <w:szCs w:val="21"/>
        </w:rPr>
        <w:t xml:space="preserve">GPVanSalesService wraps SalesTableType + SalesFormLetter (Confirm → PackingSlip → Invoice) and calls the standard Electronic invoicing feature (RCS-configured, ZATCA format). The app prints directly from ZatcaQrBase64 + FiscalInvoiceNo.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5.3 GPVanSalesService/getEInvoiceQr — استرجاع الـ QR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27803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/api/services/GPVanSalesGroup/GPVanSalesService/getEInvoiceQr</w:t>
      </w:r>
    </w:p>
    <w:p>
      <w:pPr>
        <w:spacing w:after="110" w:line="300"/>
      </w:pPr>
      <w:r>
        <w:rPr>
          <w:sz w:val="21"/>
          <w:szCs w:val="21"/>
        </w:rPr>
        <w:t xml:space="preserve">Optional re-fetch of the QR/fiscal number for reprint, keyed by DeviceTransactionId or InvoiceId.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"InvoiceId":"INV-091233",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"ZatcaQrBase64":"ARvYtNix2YPYqSBJS0s...",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"FiscalInvoiceNo":"SA-2026-556677"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6233C"/>
        </w:rPr>
        <w:t xml:space="preserve">5.4 ZATCA QR content (what F&amp;O returns)</w:t>
      </w:r>
    </w:p>
    <w:p>
      <w:pPr>
        <w:spacing w:after="110" w:line="300"/>
      </w:pPr>
      <w:r>
        <w:rPr>
          <w:sz w:val="21"/>
          <w:szCs w:val="21"/>
        </w:rPr>
        <w:t xml:space="preserve">The QR is a Base64-encoded TLV (Tag-Length-Value) string built by the Electronic Invoicing feature. Tags, in order:</w:t>
      </w:r>
    </w:p>
    <w:tbl>
      <w:tblPr>
        <w:tblW w:type="dxa" w:w="9360"/>
        <w:tblBorders>
          <w:top w:val="single" w:color="C7D2E8" w:sz="4"/>
          <w:left w:val="single" w:color="C7D2E8" w:sz="4"/>
          <w:bottom w:val="single" w:color="C7D2E8" w:sz="4"/>
          <w:right w:val="single" w:color="C7D2E8" w:sz="4"/>
          <w:insideH w:val="single" w:color="C7D2E8" w:sz="4"/>
          <w:insideV w:val="single" w:color="C7D2E8" w:sz="4"/>
        </w:tblBorders>
      </w:tblPr>
      <w:tblGrid>
        <w:gridCol w:w="900"/>
        <w:gridCol w:w="4900"/>
        <w:gridCol w:w="3560"/>
      </w:tblGrid>
      <w:tr>
        <w:trPr>
          <w:tblHeader/>
        </w:trPr>
        <w:tc>
          <w:tcPr>
            <w:tcW w:type="dxa" w:w="90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490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56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1</w:t>
            </w:r>
          </w:p>
        </w:tc>
        <w:tc>
          <w:tcPr>
            <w:tcW w:type="dxa" w:w="4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اسم البائع / Seller name</w:t>
            </w:r>
          </w:p>
        </w:tc>
        <w:tc>
          <w:tcPr>
            <w:tcW w:type="dxa" w:w="35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شركة IKK للأغذية</w:t>
            </w:r>
          </w:p>
        </w:tc>
      </w:tr>
      <w:tr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2</w:t>
            </w:r>
          </w:p>
        </w:tc>
        <w:tc>
          <w:tcPr>
            <w:tcW w:type="dxa" w:w="4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الرقم الضريبي / VAT number</w:t>
            </w:r>
          </w:p>
        </w:tc>
        <w:tc>
          <w:tcPr>
            <w:tcW w:type="dxa" w:w="35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300012345600003</w:t>
            </w:r>
          </w:p>
        </w:tc>
      </w:tr>
      <w:tr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3</w:t>
            </w:r>
          </w:p>
        </w:tc>
        <w:tc>
          <w:tcPr>
            <w:tcW w:type="dxa" w:w="4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التاريخ والوقت / Timestamp (ISO 8601)</w:t>
            </w:r>
          </w:p>
        </w:tc>
        <w:tc>
          <w:tcPr>
            <w:tcW w:type="dxa" w:w="35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2026-08-02T10:07:00Z</w:t>
            </w:r>
          </w:p>
        </w:tc>
      </w:tr>
      <w:tr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4</w:t>
            </w:r>
          </w:p>
        </w:tc>
        <w:tc>
          <w:tcPr>
            <w:tcW w:type="dxa" w:w="4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الإجمالي شامل الضريبة / Invoice total</w:t>
            </w:r>
          </w:p>
        </w:tc>
        <w:tc>
          <w:tcPr>
            <w:tcW w:type="dxa" w:w="35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1409.14</w:t>
            </w:r>
          </w:p>
        </w:tc>
      </w:tr>
      <w:tr>
        <w:tc>
          <w:tcPr>
            <w:tcW w:type="dxa" w:w="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5</w:t>
            </w:r>
          </w:p>
        </w:tc>
        <w:tc>
          <w:tcPr>
            <w:tcW w:type="dxa" w:w="49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قيمة الضريبة / VAT total</w:t>
            </w:r>
          </w:p>
        </w:tc>
        <w:tc>
          <w:tcPr>
            <w:tcW w:type="dxa" w:w="35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183.80</w:t>
            </w:r>
          </w:p>
        </w:tc>
      </w:tr>
    </w:tbl>
    <w:p>
      <w:pPr>
        <w:spacing w:after="110" w:line="300"/>
      </w:pPr>
      <w:r>
        <w:rPr>
          <w:i/>
          <w:iCs/>
          <w:color w:val="5A6474"/>
          <w:sz w:val="21"/>
          <w:szCs w:val="21"/>
        </w:rPr>
        <w:t xml:space="preserve">Phase-2 simplified invoices additionally embed the invoice hash, ECDSA signature, and public key (tags 6–8) — all produced by F&amp;O's Electronic Invoicing (the app never signs). The app only renders ZatcaQrBase64 into a QR image and prints it.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005BEA"/>
        </w:rPr>
        <w:t xml:space="preserve">6. Collection &amp; Return Services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6.1 GPCollectionService/postPayment — التحصيل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27803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/api/services/GPVanSalesGroup/GPCollectionService/postPayment</w:t>
      </w:r>
    </w:p>
    <w:p>
      <w:pPr>
        <w:spacing w:after="110" w:line="300"/>
      </w:pPr>
      <w:r>
        <w:rPr>
          <w:sz w:val="21"/>
          <w:szCs w:val="21"/>
        </w:rPr>
        <w:t xml:space="preserve">Posts a customer payment journal and settles against selected open invoices in one transaction.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"_request":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"DataAreaId":"ikk","DeviceTransactionId":"c7a3-...-11e",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"CustomerAccount":"CU-004512","Method":"Cash",   // Cash | Cheque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"Amount":5000.00,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"Cheque": null,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"Settle":[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  {"InvoiceId":"INV-87651","Amount":3760.00},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  {"InvoiceId":"INV-88103","Amount":1240.00}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// response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"Status":"Posted","Voucher":"PAYV-004521","NewBalance":8660.48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System mapping: </w:t>
      </w:r>
      <w:r>
        <w:rPr>
          <w:sz w:val="21"/>
          <w:szCs w:val="21"/>
        </w:rPr>
        <w:t xml:space="preserve">CustVendPaymJournal (journal name per rep) + SpecTransSettlement. Cheque posts to a bridging account until clearance.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6.2 GPReturnService/postReturn — المرتجع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27803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/api/services/GPVanSalesGroup/GPReturnService/postReturn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"_request":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"DataAreaId":"ikk","DeviceTransactionId":"d2b9-...-5fa",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"CustomerAccount":"CU-004512",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"OriginalInvoiceId":"INV-88103",   // mandatory — validated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"ReturnType":"Partial",            // Full | Partial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"ReasonCode":"RTN-DMG",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"Disposition":"Damaged",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"Lines":[{"ItemNumber":"P-1002","Unit":"CTN","Qty":3}]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// response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"Status":"Posted","CreditNoteId":"RCN-004120","ReversedAmount":328.32,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"ZatcaQrBase64":"...", "FiscalInvoiceNo":"SA-2026-CN-0041"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System mapping: </w:t>
      </w:r>
      <w:r>
        <w:rPr>
          <w:sz w:val="21"/>
          <w:szCs w:val="21"/>
        </w:rPr>
        <w:t xml:space="preserve">Return Order (SalesType=ReturnItem) / credit note vs the original invoice; sellable → VAN-07, damaged → quarantine location. Credit note also carries its own ZATCA QR.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005BEA"/>
        </w:rPr>
        <w:t xml:space="preserve">7. Customer, Visit &amp; Day Close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7.1 GPCustomerRequestService/submit — طلب عميل جديد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27803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/api/services/GPVanSalesGroup/GPCustomerRequestService/submit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"_request":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"NameAr":"ماركت البركة — الهرم","Phone":"01002345678",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"TaxRegistrationNumber":"412583970",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"PaymentMode":"Credit","CustomerGroup":"RETAIL",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"Latitude":29.9870,"Longitude":31.1580,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"AttachmentRefs":["att_ci_01","att_tax_01","att_addr_01"]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// response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"RequestId":"CR-20260802-031","WorkflowStatus":"Submitted","CustomerAccount":null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System mapping: </w:t>
      </w:r>
      <w:r>
        <w:rPr>
          <w:sz w:val="21"/>
          <w:szCs w:val="21"/>
        </w:rPr>
        <w:t xml:space="preserve">Creates CustCustomerV3 with CustomerHold=Invoice + submits the F&amp;O workflow to Finance. Attachments via DocuAttachmentEntity (DocuRef). On approval: CreditLimit set, hold released.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7.2 DocuAttachmentEntity — المرفقات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27803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/data/DocuAttachmentEntity</w:t>
      </w:r>
    </w:p>
    <w:p>
      <w:pPr>
        <w:spacing w:after="110" w:line="300"/>
      </w:pPr>
      <w:r>
        <w:rPr>
          <w:sz w:val="21"/>
          <w:szCs w:val="21"/>
        </w:rPr>
        <w:t xml:space="preserve">Standard entity for file attachments against any record (RefTableId=CustTable). Upload the file part, then link the DocuRef.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7.3 GPVisitLogEntity — نتيجة الزيارة + GPS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27803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/data/GPVisitLogEntity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"dataAreaId":"ikk","JourneyId":"JP-20260802-014",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"CustomerAccount":"CU-004512","Sequence":3,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"CheckInTime":"2026-08-02T09:51:00Z","CheckInLat":30.01,"CheckInLng":31.21,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"CheckOutTime":"2026-08-02T10:18:00Z","Outcome":"Sale","GeofenceOk":true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System mapping: </w:t>
      </w:r>
      <w:r>
        <w:rPr>
          <w:sz w:val="21"/>
          <w:szCs w:val="21"/>
        </w:rPr>
        <w:t xml:space="preserve">Feeds route-adherence &amp; strike-rate KPIs and the Power BI supervisor dashboard.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7.4 GPDayCloseService/close — إقفال اليوم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27803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16233C"/>
          <w:sz w:val="18"/>
          <w:szCs w:val="18"/>
        </w:rPr>
        <w:t xml:space="preserve">/api/services/GPVanSalesGroup/GPDayCloseService/close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// request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"_request":{"SalespersonId":"SP-014","JourneyId":"JP-20260802-014","CashCounted":21450.00}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// response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"Status":"Closed","CashVariance":0.00,"StockTransfer":"TRF-VAN07-0802",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"Kpis":{"Planned":12,"Visited":11,"StrikeRate":82,"Adherence":91,"Sales":46720.00}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System mapping: </w:t>
      </w:r>
      <w:r>
        <w:rPr>
          <w:sz w:val="21"/>
          <w:szCs w:val="21"/>
        </w:rPr>
        <w:t xml:space="preserve">Cash reconciliation journal + InventTransferJournal (VAN-07 → main WH) + KPI write to GPRouteKpiEntity.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005BEA"/>
        </w:rPr>
        <w:t xml:space="preserve">8. Errors, Idempotency &amp; Print Flow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8.1 Idempotency (always-online safety)</w:t>
      </w:r>
    </w:p>
    <w:p>
      <w:pPr>
        <w:pStyle w:val="ListParagraph"/>
        <w:numPr>
          <w:ilvl w:val="0"/>
          <w:numId w:val="2"/>
        </w:numPr>
        <w:spacing w:after="55" w:line="288"/>
      </w:pPr>
      <w:r>
        <w:rPr>
          <w:sz w:val="21"/>
          <w:szCs w:val="21"/>
        </w:rPr>
        <w:t xml:space="preserve">Every write carries DeviceTransactionId (a client GUID).</w:t>
      </w:r>
    </w:p>
    <w:p>
      <w:pPr>
        <w:pStyle w:val="ListParagraph"/>
        <w:numPr>
          <w:ilvl w:val="0"/>
          <w:numId w:val="2"/>
        </w:numPr>
        <w:spacing w:after="55" w:line="288"/>
      </w:pPr>
      <w:r>
        <w:rPr>
          <w:sz w:val="21"/>
          <w:szCs w:val="21"/>
        </w:rPr>
        <w:t xml:space="preserve">F&amp;O stores it (GPIntegrationLog); a repeated call returns the original result rather than re-posting — protects against double-tap and network timeouts even without a middleware queue.</w:t>
      </w: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8.2 Standard F&amp;O error shape</w:t>
      </w:r>
    </w:p>
    <w:tbl>
      <w:tblPr>
        <w:tblW w:type="dxa" w:w="9360"/>
        <w:tblBorders>
          <w:top w:val="single" w:color="0D1B33" w:sz="2"/>
          <w:left w:val="single" w:color="0D1B33" w:sz="2"/>
          <w:bottom w:val="single" w:color="0D1B33" w:sz="2"/>
          <w:right w:val="single" w:color="0D1B33" w:sz="2"/>
          <w:insideH w:val="none"/>
          <w:insideV w:val="none"/>
        </w:tblBorders>
      </w:tblPr>
      <w:tblGrid>
        <w:gridCol w:w="9360"/>
      </w:tblGrid>
      <w:tr>
        <w:tc>
          <w:tcPr>
            <w:shd w:fill="0D1B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"error":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"code": "CREDIT_LIMIT_EXCEEDED",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  "message": "تجاوز حد الائتمان — المتاح 16,339"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7E3F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6233C"/>
        </w:rPr>
        <w:t xml:space="preserve">8.3 Key error codes</w:t>
      </w:r>
    </w:p>
    <w:tbl>
      <w:tblPr>
        <w:tblW w:type="dxa" w:w="9360"/>
        <w:tblBorders>
          <w:top w:val="single" w:color="C7D2E8" w:sz="4"/>
          <w:left w:val="single" w:color="C7D2E8" w:sz="4"/>
          <w:bottom w:val="single" w:color="C7D2E8" w:sz="4"/>
          <w:right w:val="single" w:color="C7D2E8" w:sz="4"/>
          <w:insideH w:val="single" w:color="C7D2E8" w:sz="4"/>
          <w:insideV w:val="single" w:color="C7D2E8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16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 behavior</w:t>
            </w:r>
          </w:p>
        </w:tc>
      </w:tr>
      <w:tr>
        <w:tc>
          <w:tcPr>
            <w:tcW w:type="dxa" w:w="30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CREDIT_LIMIT_EXCEEDED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Invoice &gt; available credit</w:t>
            </w:r>
          </w:p>
        </w:tc>
        <w:tc>
          <w:tcPr>
            <w:tcW w:type="dxa" w:w="31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Block; show available amount</w:t>
            </w:r>
          </w:p>
        </w:tc>
      </w:tr>
      <w:tr>
        <w:tc>
          <w:tcPr>
            <w:tcW w:type="dxa" w:w="30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CUSTOMER_ON_HOLD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Customer not activated</w:t>
            </w:r>
          </w:p>
        </w:tc>
        <w:tc>
          <w:tcPr>
            <w:tcW w:type="dxa" w:w="31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Cash only; block credit invoice</w:t>
            </w:r>
          </w:p>
        </w:tc>
      </w:tr>
      <w:tr>
        <w:tc>
          <w:tcPr>
            <w:tcW w:type="dxa" w:w="30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INVALID_ORIGINAL_INVOICE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Bad return reference</w:t>
            </w:r>
          </w:p>
        </w:tc>
        <w:tc>
          <w:tcPr>
            <w:tcW w:type="dxa" w:w="31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Require a valid invoice</w:t>
            </w:r>
          </w:p>
        </w:tc>
      </w:tr>
      <w:tr>
        <w:tc>
          <w:tcPr>
            <w:tcW w:type="dxa" w:w="30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ZATCA_SUBMISSION_FAILED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E-invoice rejected by ZATCA</w:t>
            </w:r>
          </w:p>
        </w:tc>
        <w:tc>
          <w:tcPr>
            <w:tcW w:type="dxa" w:w="31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Retry post; keep invoice unissued</w:t>
            </w:r>
          </w:p>
        </w:tc>
      </w:tr>
      <w:tr>
        <w:tc>
          <w:tcPr>
            <w:tcW w:type="dxa" w:w="30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PERIOD_CLOSED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Fiscal period closed</w:t>
            </w:r>
          </w:p>
        </w:tc>
        <w:tc>
          <w:tcPr>
            <w:tcW w:type="dxa" w:w="31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Alert supervisor</w:t>
            </w:r>
          </w:p>
        </w:tc>
      </w:tr>
      <w:tr>
        <w:tc>
          <w:tcPr>
            <w:tcW w:type="dxa" w:w="30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TXN_DUPLICATE</w:t>
            </w:r>
          </w:p>
        </w:tc>
        <w:tc>
          <w:tcPr>
            <w:tcW w:type="dxa" w:w="320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DeviceTransactionId seen</w:t>
            </w:r>
          </w:p>
        </w:tc>
        <w:tc>
          <w:tcPr>
            <w:tcW w:type="dxa" w:w="316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Treat as success; reprint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6233C"/>
        </w:rPr>
        <w:t xml:space="preserve">8.4 In-app print flow (ZATCA)</w:t>
      </w:r>
    </w:p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App calls GPVanSalesService/postInvoice.</w:t>
      </w:r>
    </w:p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F&amp;O posts the invoice and runs Electronic Invoicing (ZATCA), returning FiscalInvoiceNo + ZatcaQrBase64 + hash.</w:t>
      </w:r>
    </w:p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The app renders ZatcaQrBase64 into a QR image and lays out the bilingual simplified tax invoice (80mm).</w:t>
      </w:r>
    </w:p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The app prints to the Bluetooth thermal printer (or the OS print dialog / PDF).</w:t>
      </w:r>
    </w:p>
    <w:p>
      <w:pPr>
        <w:pStyle w:val="ListParagraph"/>
        <w:numPr>
          <w:ilvl w:val="0"/>
          <w:numId w:val="2"/>
        </w:numPr>
        <w:spacing w:after="55" w:line="288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For reprints, the app re-fetches via getEInvoiceQr or prints from its local copy — the QR/fiscal number never change for a posted invoice.</w:t>
      </w:r>
    </w:p>
    <w:p>
      <w:pPr>
        <w:spacing w:after="80"/>
      </w:pPr>
    </w:p>
    <w:p>
      <w:pPr>
        <w:pStyle w:val="Heading2"/>
        <w:spacing w:after="110" w:before="260"/>
      </w:pPr>
      <w:r>
        <w:rPr>
          <w:b/>
          <w:bCs/>
          <w:color w:val="16233C"/>
        </w:rPr>
        <w:t xml:space="preserve">Appendix — GP Custom Service Group</w:t>
      </w:r>
    </w:p>
    <w:tbl>
      <w:tblPr>
        <w:tblW w:type="dxa" w:w="9360"/>
        <w:tblBorders>
          <w:top w:val="single" w:color="C7D2E8" w:sz="4"/>
          <w:left w:val="single" w:color="C7D2E8" w:sz="4"/>
          <w:bottom w:val="single" w:color="C7D2E8" w:sz="4"/>
          <w:right w:val="single" w:color="C7D2E8" w:sz="4"/>
          <w:insideH w:val="single" w:color="C7D2E8" w:sz="4"/>
          <w:insideV w:val="single" w:color="C7D2E8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 (GPVanSalesGroup)</w:t>
            </w:r>
          </w:p>
        </w:tc>
        <w:tc>
          <w:tcPr>
            <w:tcW w:type="dxa" w:w="4680"/>
            <w:shd w:fill="005BEA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Operations</w:t>
            </w:r>
          </w:p>
        </w:tc>
      </w:tr>
      <w:tr>
        <w:tc>
          <w:tcPr>
            <w:tcW w:type="dxa" w:w="468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GPVanSalesService</w:t>
            </w:r>
          </w:p>
        </w:tc>
        <w:tc>
          <w:tcPr>
            <w:tcW w:type="dxa" w:w="468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postInvoice, getEInvoiceQr</w:t>
            </w:r>
          </w:p>
        </w:tc>
      </w:tr>
      <w:tr>
        <w:tc>
          <w:tcPr>
            <w:tcW w:type="dxa" w:w="468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GPCollectionService</w:t>
            </w:r>
          </w:p>
        </w:tc>
        <w:tc>
          <w:tcPr>
            <w:tcW w:type="dxa" w:w="468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postPayment</w:t>
            </w:r>
          </w:p>
        </w:tc>
      </w:tr>
      <w:tr>
        <w:tc>
          <w:tcPr>
            <w:tcW w:type="dxa" w:w="468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GPReturnService</w:t>
            </w:r>
          </w:p>
        </w:tc>
        <w:tc>
          <w:tcPr>
            <w:tcW w:type="dxa" w:w="468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postReturn</w:t>
            </w:r>
          </w:p>
        </w:tc>
      </w:tr>
      <w:tr>
        <w:tc>
          <w:tcPr>
            <w:tcW w:type="dxa" w:w="468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GPCustomerRequestService</w:t>
            </w:r>
          </w:p>
        </w:tc>
        <w:tc>
          <w:tcPr>
            <w:tcW w:type="dxa" w:w="468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submit, getStatus</w:t>
            </w:r>
          </w:p>
        </w:tc>
      </w:tr>
      <w:tr>
        <w:tc>
          <w:tcPr>
            <w:tcW w:type="dxa" w:w="468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GPDayCloseService</w:t>
            </w:r>
          </w:p>
        </w:tc>
        <w:tc>
          <w:tcPr>
            <w:tcW w:type="dxa" w:w="4680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233C"/>
                <w:sz w:val="18"/>
                <w:szCs w:val="18"/>
              </w:rPr>
              <w:t xml:space="preserve">close</w:t>
            </w:r>
          </w:p>
        </w:tc>
      </w:tr>
    </w:tbl>
    <w:p>
      <w:pPr>
        <w:spacing w:after="110" w:line="300"/>
      </w:pPr>
      <w:r>
        <w:rPr>
          <w:i/>
          <w:iCs/>
          <w:color w:val="5A6474"/>
          <w:sz w:val="21"/>
          <w:szCs w:val="21"/>
        </w:rPr>
        <w:t xml:space="preserve">Custom OData entities: GPRouteCustomerEntity, GPCustomerPriceEntity, GPPromotionPolicyEntity, GPVanOnHandEntity, GPJourneyPlanEntity, GPVisitLogEntity, GPRouteKpiEntity.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4"/>
        <w:sz w:val="16"/>
        <w:szCs w:val="16"/>
      </w:rPr>
      <w:t xml:space="preserve">Page </w:t>
    </w:r>
    <w:r>
      <w:rPr>
        <w:color w:val="5A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E8" w:sz="4"/>
      </w:pBdr>
      <w:jc w:val="right"/>
    </w:pPr>
    <w:r>
      <w:rPr>
        <w:color w:val="5A6474"/>
        <w:sz w:val="16"/>
        <w:szCs w:val="16"/>
      </w:rPr>
      <w:t xml:space="preserve">Van Sales — D365 F&amp;O Direct API Spec  |  IKK Foods  |  ZATCA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6233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" w:cs="Segoe UI" w:eastAsia="Segoe UI" w:hAnsi="Segoe UI"/>
      <w:b/>
      <w:bCs/>
      <w:color w:val="005BE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Segoe UI" w:cs="Segoe UI" w:eastAsia="Segoe UI" w:hAnsi="Segoe UI"/>
      <w:b/>
      <w:bCs/>
      <w:color w:val="16233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Segoe UI" w:cs="Segoe UI" w:eastAsia="Segoe UI" w:hAnsi="Segoe UI"/>
      <w:b/>
      <w:bCs/>
      <w:color w:val="5A6474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2026-08-02T17:52:16.829Z</dcterms:created>
  <dcterms:modified xsi:type="dcterms:W3CDTF">2026-08-02T17:52:16.829Z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