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BE1314">
      <w:pPr>
        <w:pStyle w:val="2"/>
      </w:pPr>
      <w:r>
        <w:rPr>
          <w:rFonts w:ascii="Calibri" w:hAnsi="Calibri"/>
          <w:sz w:val="22"/>
        </w:rPr>
        <w:t xml:space="preserve">End-to-End Olist </w:t>
      </w:r>
      <w:r>
        <w:rPr>
          <w:rFonts w:hint="cs" w:ascii="Calibri" w:hAnsi="Calibri"/>
          <w:sz w:val="22"/>
          <w:rtl/>
        </w:rPr>
        <w:t xml:space="preserve"> </w:t>
      </w:r>
      <w:r>
        <w:rPr>
          <w:rFonts w:ascii="Calibri" w:hAnsi="Calibri"/>
          <w:sz w:val="22"/>
        </w:rPr>
        <w:t>E-Commerce Analytics Project</w:t>
      </w:r>
    </w:p>
    <w:p w14:paraId="22999A7F">
      <w:pPr>
        <w:pStyle w:val="2"/>
      </w:pPr>
      <w:r>
        <w:rPr>
          <w:rFonts w:ascii="Calibri" w:hAnsi="Calibri"/>
          <w:sz w:val="22"/>
        </w:rPr>
        <w:t>1. Project Title</w:t>
      </w:r>
    </w:p>
    <w:p w14:paraId="79C8C3F0">
      <w:pPr>
        <w:pStyle w:val="34"/>
      </w:pPr>
      <w:r>
        <w:rPr>
          <w:rFonts w:ascii="Calibri" w:hAnsi="Calibri"/>
          <w:sz w:val="22"/>
        </w:rPr>
        <w:t>Improving Revenue Growth and Customer Satisfaction in a Multi-Seller</w:t>
      </w:r>
      <w:r>
        <w:rPr>
          <w:rFonts w:hint="cs" w:ascii="Calibri" w:hAnsi="Calibri"/>
          <w:sz w:val="22"/>
          <w:rtl/>
        </w:rPr>
        <w:t xml:space="preserve">  </w:t>
      </w:r>
      <w:r>
        <w:rPr>
          <w:rFonts w:ascii="Calibri" w:hAnsi="Calibri"/>
          <w:sz w:val="22"/>
        </w:rPr>
        <w:t>E-Commerce Marketplace</w:t>
      </w:r>
    </w:p>
    <w:p w14:paraId="2611CB2B">
      <w:pPr>
        <w:pStyle w:val="2"/>
      </w:pPr>
      <w:r>
        <w:rPr>
          <w:rFonts w:ascii="Calibri" w:hAnsi="Calibri"/>
          <w:sz w:val="22"/>
        </w:rPr>
        <w:t>2. Executive Summary</w:t>
      </w:r>
    </w:p>
    <w:p w14:paraId="13AC0990">
      <w:pPr>
        <w:pStyle w:val="34"/>
      </w:pPr>
      <w:r>
        <w:rPr>
          <w:rFonts w:ascii="Calibri" w:hAnsi="Calibri"/>
          <w:sz w:val="22"/>
        </w:rPr>
        <w:t>Data inconsistencies were resolved to uncover two critical insights: late deliveries lead to a 40% drop in customer ratings, and 89% of repeat customers come from orders delivered on time.</w:t>
      </w:r>
    </w:p>
    <w:p w14:paraId="49F7A417">
      <w:pPr>
        <w:pStyle w:val="2"/>
      </w:pPr>
      <w:r>
        <w:rPr>
          <w:rFonts w:ascii="Calibri" w:hAnsi="Calibri"/>
          <w:sz w:val="22"/>
        </w:rPr>
        <w:t>3. Business Context</w:t>
      </w:r>
    </w:p>
    <w:p w14:paraId="3C5EEAD6">
      <w:pPr>
        <w:pStyle w:val="34"/>
      </w:pPr>
      <w:r>
        <w:rPr>
          <w:rFonts w:ascii="Calibri" w:hAnsi="Calibri"/>
          <w:sz w:val="22"/>
        </w:rPr>
        <w:t>Olist operates as a multi-seller e-commerce marketplace in Brazil, where independent sellers fulfill customer orders through logistics partners. This decentralized model generates transactional, delivery, and customer feedback data that captures the customer journey from purchase to post-delivery evaluation.</w:t>
      </w:r>
    </w:p>
    <w:p w14:paraId="2063DD79">
      <w:pPr>
        <w:pStyle w:val="2"/>
      </w:pPr>
      <w:r>
        <w:rPr>
          <w:rFonts w:ascii="Calibri" w:hAnsi="Calibri"/>
          <w:sz w:val="22"/>
        </w:rPr>
        <w:t>4. Problem Framing &amp; Analytical Questions</w:t>
      </w:r>
    </w:p>
    <w:p w14:paraId="32343A9B">
      <w:pPr>
        <w:pStyle w:val="34"/>
      </w:pPr>
      <w:r>
        <w:rPr>
          <w:rFonts w:ascii="Calibri" w:hAnsi="Calibri"/>
          <w:sz w:val="22"/>
        </w:rPr>
        <w:t>As the marketplace scales, there is limited visibility into how delivery performance, seller behavior, and customer purchasing patterns relate to revenue trends and customer satisfaction. This analysis explores these relationships using historical transaction data to better understand overall marketplace performance.</w:t>
      </w:r>
    </w:p>
    <w:p w14:paraId="18B9295F">
      <w:pPr>
        <w:pStyle w:val="34"/>
      </w:pPr>
      <w:r>
        <w:rPr>
          <w:rFonts w:ascii="Calibri" w:hAnsi="Calibri"/>
          <w:b/>
          <w:bCs/>
          <w:sz w:val="22"/>
        </w:rPr>
        <w:t>Analytical Questions:</w:t>
      </w:r>
    </w:p>
    <w:p w14:paraId="1274EBEB">
      <w:pPr>
        <w:pStyle w:val="34"/>
        <w:numPr>
          <w:ilvl w:val="0"/>
          <w:numId w:val="7"/>
        </w:numPr>
      </w:pPr>
      <w:r>
        <w:rPr>
          <w:rFonts w:ascii="Calibri" w:hAnsi="Calibri"/>
          <w:sz w:val="22"/>
        </w:rPr>
        <w:t>How many orders and how much revenue are generated each month?</w:t>
      </w:r>
    </w:p>
    <w:p w14:paraId="2A8B5803">
      <w:pPr>
        <w:pStyle w:val="34"/>
        <w:numPr>
          <w:ilvl w:val="0"/>
          <w:numId w:val="7"/>
        </w:numPr>
      </w:pPr>
      <w:r>
        <w:rPr>
          <w:rFonts w:ascii="Calibri" w:hAnsi="Calibri"/>
          <w:sz w:val="22"/>
        </w:rPr>
        <w:t>Are late deliveries associated with lower customer review scores?</w:t>
      </w:r>
    </w:p>
    <w:p w14:paraId="3EBC2310">
      <w:pPr>
        <w:pStyle w:val="34"/>
        <w:numPr>
          <w:ilvl w:val="0"/>
          <w:numId w:val="7"/>
        </w:numPr>
      </w:pPr>
      <w:r>
        <w:rPr>
          <w:rFonts w:ascii="Calibri" w:hAnsi="Calibri"/>
          <w:sz w:val="22"/>
        </w:rPr>
        <w:t>What percentage of completed orders are delivered late?</w:t>
      </w:r>
    </w:p>
    <w:p w14:paraId="5299EA96">
      <w:pPr>
        <w:pStyle w:val="34"/>
        <w:numPr>
          <w:ilvl w:val="0"/>
          <w:numId w:val="7"/>
        </w:numPr>
      </w:pPr>
      <w:r>
        <w:rPr>
          <w:rFonts w:ascii="Calibri" w:hAnsi="Calibri"/>
          <w:sz w:val="22"/>
        </w:rPr>
        <w:t>Which product categories have the highest delivery delay rates?</w:t>
      </w:r>
    </w:p>
    <w:p w14:paraId="75C96B29">
      <w:pPr>
        <w:pStyle w:val="34"/>
        <w:numPr>
          <w:ilvl w:val="0"/>
          <w:numId w:val="7"/>
        </w:numPr>
      </w:pPr>
      <w:r>
        <w:rPr>
          <w:rFonts w:ascii="Calibri" w:hAnsi="Calibri"/>
          <w:sz w:val="22"/>
        </w:rPr>
        <w:t>Which sellers contribute the most to delivery delays?</w:t>
      </w:r>
    </w:p>
    <w:p w14:paraId="4B20E899">
      <w:pPr>
        <w:pStyle w:val="34"/>
        <w:numPr>
          <w:ilvl w:val="0"/>
          <w:numId w:val="7"/>
        </w:numPr>
      </w:pPr>
      <w:r>
        <w:rPr>
          <w:rFonts w:ascii="Calibri" w:hAnsi="Calibri"/>
          <w:sz w:val="22"/>
        </w:rPr>
        <w:t>What percentage of customers make repeat purchases?</w:t>
      </w:r>
    </w:p>
    <w:p w14:paraId="48881437">
      <w:pPr>
        <w:pStyle w:val="34"/>
        <w:numPr>
          <w:ilvl w:val="0"/>
          <w:numId w:val="7"/>
        </w:numPr>
      </w:pPr>
      <w:r>
        <w:rPr>
          <w:rFonts w:ascii="Calibri" w:hAnsi="Calibri"/>
          <w:sz w:val="22"/>
        </w:rPr>
        <w:t>Do customers who experience late deliveries return to purchase less often?</w:t>
      </w:r>
    </w:p>
    <w:p w14:paraId="277C6BA2">
      <w:pPr>
        <w:pStyle w:val="34"/>
        <w:numPr>
          <w:ilvl w:val="0"/>
          <w:numId w:val="7"/>
        </w:numPr>
      </w:pPr>
      <w:r>
        <w:rPr>
          <w:rFonts w:ascii="Calibri" w:hAnsi="Calibri"/>
          <w:sz w:val="22"/>
        </w:rPr>
        <w:t>Which months show the highest delivery delay rates?</w:t>
      </w:r>
    </w:p>
    <w:p w14:paraId="6B39DDAC">
      <w:pPr>
        <w:pStyle w:val="34"/>
        <w:numPr>
          <w:ilvl w:val="0"/>
          <w:numId w:val="7"/>
        </w:numPr>
      </w:pPr>
      <w:r>
        <w:rPr>
          <w:rFonts w:ascii="Calibri" w:hAnsi="Calibri"/>
          <w:sz w:val="22"/>
        </w:rPr>
        <w:t>Are non-completion or cancellation rates associated with payment method?</w:t>
      </w:r>
    </w:p>
    <w:p w14:paraId="25F9F5B0">
      <w:pPr>
        <w:pStyle w:val="34"/>
        <w:numPr>
          <w:ilvl w:val="0"/>
          <w:numId w:val="7"/>
        </w:numPr>
      </w:pPr>
      <w:r>
        <w:rPr>
          <w:rFonts w:ascii="Calibri" w:hAnsi="Calibri"/>
          <w:sz w:val="22"/>
        </w:rPr>
        <w:t>Are delivery delays concentrated in specific customer cities?</w:t>
      </w:r>
    </w:p>
    <w:p w14:paraId="48E1856D">
      <w:pPr>
        <w:pStyle w:val="2"/>
      </w:pPr>
      <w:r>
        <w:rPr>
          <w:rFonts w:ascii="Calibri" w:hAnsi="Calibri"/>
          <w:sz w:val="22"/>
        </w:rPr>
        <w:t>5. Objectives &amp; Scope</w:t>
      </w:r>
    </w:p>
    <w:p w14:paraId="0EC8865C">
      <w:pPr>
        <w:pStyle w:val="34"/>
        <w:numPr>
          <w:ilvl w:val="0"/>
          <w:numId w:val="8"/>
        </w:numPr>
      </w:pPr>
      <w:r>
        <w:rPr>
          <w:rFonts w:ascii="Calibri" w:hAnsi="Calibri"/>
          <w:b/>
          <w:bCs/>
          <w:sz w:val="22"/>
        </w:rPr>
        <w:t>Objective (SMART):</w:t>
      </w:r>
      <w:r>
        <w:rPr>
          <w:rFonts w:ascii="Calibri" w:hAnsi="Calibri"/>
          <w:sz w:val="22"/>
        </w:rPr>
        <w:t xml:space="preserve"> Identify and quantify key operational and customer behavior factors associated with revenue growth and customer satisfaction using historical transactional data from 2016–2018.</w:t>
      </w:r>
    </w:p>
    <w:p w14:paraId="3DBA0A8D">
      <w:pPr>
        <w:pStyle w:val="34"/>
        <w:ind w:left="720"/>
      </w:pPr>
    </w:p>
    <w:p w14:paraId="3DD73025">
      <w:pPr>
        <w:pStyle w:val="34"/>
        <w:numPr>
          <w:ilvl w:val="0"/>
          <w:numId w:val="8"/>
        </w:numPr>
      </w:pPr>
      <w:r>
        <w:rPr>
          <w:rFonts w:ascii="Calibri" w:hAnsi="Calibri"/>
          <w:b/>
          <w:bCs/>
          <w:sz w:val="22"/>
        </w:rPr>
        <w:t>Scope:</w:t>
      </w:r>
      <w:r>
        <w:rPr>
          <w:rFonts w:ascii="Calibri" w:hAnsi="Calibri"/>
          <w:sz w:val="22"/>
        </w:rPr>
        <w:t xml:space="preserve"> The analysis focuses on core transactional and operational data, including orders, customers, sellers, products, payments, delivery performance, and customer reviews, using historical data from 2016 to 2018.</w:t>
      </w:r>
    </w:p>
    <w:p w14:paraId="6FA76839">
      <w:pPr>
        <w:pStyle w:val="2"/>
      </w:pPr>
      <w:r>
        <w:rPr>
          <w:rFonts w:ascii="Calibri" w:hAnsi="Calibri"/>
          <w:sz w:val="22"/>
        </w:rPr>
        <w:t>6. Data Overview &amp; Schema</w:t>
      </w:r>
    </w:p>
    <w:p w14:paraId="045646ED">
      <w:pPr>
        <w:pStyle w:val="34"/>
      </w:pPr>
      <w:r>
        <w:rPr>
          <w:rFonts w:ascii="Calibri" w:hAnsi="Calibri"/>
          <w:sz w:val="22"/>
        </w:rPr>
        <w:t>The analysis uses the Brazilian E-Commerce Public Dataset by Olist, covering approximately 100,000 orders from 2016 to 2018. The dataset follows a marketplace structure where orders are linked to customers, order items, sellers, products, payments, reviews, and geographic data, enabling end-to-end analysis of the customer journey from purchase to post-delivery feedback.</w:t>
      </w:r>
    </w:p>
    <w:p w14:paraId="4F2FDD3E">
      <w:pPr>
        <w:rPr>
          <w:rtl/>
        </w:rPr>
      </w:pPr>
      <w:r>
        <w:rPr>
          <w:rFonts w:ascii="Calibri" w:hAnsi="Calibri"/>
          <w:sz w:val="22"/>
        </w:rPr>
        <w:drawing>
          <wp:inline distT="0" distB="0" distL="0" distR="0">
            <wp:extent cx="5486400" cy="23298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486400" cy="2329815"/>
                    </a:xfrm>
                    <a:prstGeom prst="rect">
                      <a:avLst/>
                    </a:prstGeom>
                    <a:noFill/>
                    <a:ln>
                      <a:noFill/>
                    </a:ln>
                  </pic:spPr>
                </pic:pic>
              </a:graphicData>
            </a:graphic>
          </wp:inline>
        </w:drawing>
      </w:r>
    </w:p>
    <w:p w14:paraId="0913FF13">
      <w:pPr>
        <w:pStyle w:val="2"/>
      </w:pPr>
      <w:r>
        <w:rPr>
          <w:rFonts w:ascii="Calibri" w:hAnsi="Calibri"/>
          <w:sz w:val="22"/>
        </w:rPr>
        <w:t>7. Tools &amp; Analytical Methodology</w:t>
      </w:r>
    </w:p>
    <w:p w14:paraId="5F2D391E">
      <w:pPr>
        <w:pStyle w:val="4"/>
      </w:pPr>
      <w:r>
        <w:rPr>
          <w:rFonts w:ascii="Calibri" w:hAnsi="Calibri"/>
          <w:sz w:val="22"/>
        </w:rPr>
        <w:t>Python (Data Quality Assessment &amp; Preparation)</w:t>
      </w:r>
    </w:p>
    <w:p w14:paraId="64F51D19">
      <w:pPr>
        <w:pStyle w:val="34"/>
      </w:pPr>
      <w:r>
        <w:rPr>
          <w:rFonts w:ascii="Calibri" w:hAnsi="Calibri"/>
          <w:sz w:val="22"/>
        </w:rPr>
        <w:t>Python was used as the primary tool to review and improve data quality before conducting the analysis.</w:t>
      </w:r>
    </w:p>
    <w:p w14:paraId="1CF87D03">
      <w:pPr>
        <w:pStyle w:val="34"/>
      </w:pPr>
      <w:r>
        <w:rPr>
          <w:rStyle w:val="179"/>
          <w:rFonts w:ascii="Calibri" w:hAnsi="Calibri"/>
          <w:b/>
          <w:bCs/>
          <w:sz w:val="22"/>
        </w:rPr>
        <w:t>Action Taken:</w:t>
      </w:r>
      <w:r>
        <w:rPr>
          <w:rStyle w:val="179"/>
          <w:rFonts w:ascii="Calibri" w:hAnsi="Calibri"/>
          <w:sz w:val="22"/>
        </w:rPr>
        <w:t xml:space="preserve"> Missing review texts were preserved using clear placeholders to maintain dataset integrity. Additionally, new analytical columns were engineered, including </w:t>
      </w:r>
      <w:r>
        <w:rPr>
          <w:rStyle w:val="179"/>
          <w:rFonts w:ascii="Courier New" w:hAnsi="Courier New" w:cs="Courier New"/>
          <w:b/>
          <w:bCs/>
          <w:sz w:val="20"/>
          <w:szCs w:val="20"/>
        </w:rPr>
        <w:t>approved_date</w:t>
      </w:r>
      <w:r>
        <w:rPr>
          <w:rStyle w:val="179"/>
          <w:rFonts w:ascii="Calibri" w:hAnsi="Calibri"/>
          <w:sz w:val="22"/>
        </w:rPr>
        <w:t xml:space="preserve"> for daily trend analysis, </w:t>
      </w:r>
      <w:r>
        <w:rPr>
          <w:rStyle w:val="179"/>
          <w:rFonts w:ascii="Courier New" w:hAnsi="Courier New" w:cs="Courier New"/>
          <w:b/>
          <w:bCs/>
          <w:sz w:val="20"/>
          <w:szCs w:val="20"/>
        </w:rPr>
        <w:t>delivery_delay_days</w:t>
      </w:r>
      <w:r>
        <w:rPr>
          <w:rStyle w:val="179"/>
          <w:rFonts w:ascii="Calibri" w:hAnsi="Calibri"/>
          <w:sz w:val="22"/>
        </w:rPr>
        <w:t xml:space="preserve"> to quantify shipping performance, and </w:t>
      </w:r>
      <w:r>
        <w:rPr>
          <w:rStyle w:val="179"/>
          <w:rFonts w:ascii="Courier New" w:hAnsi="Courier New" w:cs="Courier New"/>
          <w:b/>
          <w:bCs/>
          <w:sz w:val="20"/>
          <w:szCs w:val="20"/>
        </w:rPr>
        <w:t>order_stage</w:t>
      </w:r>
      <w:r>
        <w:rPr>
          <w:rStyle w:val="179"/>
          <w:rFonts w:ascii="Calibri" w:hAnsi="Calibri"/>
          <w:sz w:val="22"/>
        </w:rPr>
        <w:t xml:space="preserve"> to segment transaction completion</w:t>
      </w:r>
      <w:r>
        <w:rPr>
          <w:rFonts w:ascii="Calibri" w:hAnsi="Calibri"/>
          <w:sz w:val="22"/>
        </w:rPr>
        <w:t xml:space="preserve">. </w:t>
      </w:r>
      <w:r>
        <w:rPr>
          <w:rStyle w:val="180"/>
          <w:rFonts w:ascii="Calibri" w:hAnsi="Calibri"/>
          <w:sz w:val="22"/>
        </w:rPr>
        <w:t xml:space="preserve">Explicit indicator and flag columns, such as </w:t>
      </w:r>
      <w:r>
        <w:rPr>
          <w:rStyle w:val="180"/>
          <w:rFonts w:ascii="Courier New" w:hAnsi="Courier New" w:cs="Courier New"/>
          <w:b/>
          <w:bCs/>
          <w:sz w:val="20"/>
          <w:szCs w:val="20"/>
        </w:rPr>
        <w:t>timeline_issue_flag</w:t>
      </w:r>
      <w:r>
        <w:rPr>
          <w:rStyle w:val="180"/>
          <w:rFonts w:ascii="Calibri" w:hAnsi="Calibri"/>
          <w:sz w:val="22"/>
        </w:rPr>
        <w:t xml:space="preserve"> and </w:t>
      </w:r>
      <w:r>
        <w:rPr>
          <w:rStyle w:val="180"/>
          <w:rFonts w:ascii="Courier New" w:hAnsi="Courier New" w:cs="Courier New"/>
          <w:b/>
          <w:bCs/>
          <w:sz w:val="20"/>
          <w:szCs w:val="20"/>
        </w:rPr>
        <w:t>On-Time vs Late</w:t>
      </w:r>
      <w:r>
        <w:rPr>
          <w:rStyle w:val="180"/>
          <w:rFonts w:ascii="Calibri" w:hAnsi="Calibri"/>
          <w:sz w:val="22"/>
        </w:rPr>
        <w:t>, were also created to highlight delivery performance and timeline inconsistencies, ensuring insights are derived from reliable and transparent data</w:t>
      </w:r>
    </w:p>
    <w:p w14:paraId="44C6AADB">
      <w:pPr>
        <w:pStyle w:val="4"/>
      </w:pPr>
      <w:r>
        <w:rPr>
          <w:rFonts w:ascii="Calibri" w:hAnsi="Calibri"/>
          <w:sz w:val="22"/>
        </w:rPr>
        <w:t>SQL (Data Analysis)</w:t>
      </w:r>
    </w:p>
    <w:p w14:paraId="149561DD">
      <w:pPr>
        <w:pStyle w:val="34"/>
      </w:pPr>
      <w:r>
        <w:rPr>
          <w:rFonts w:ascii="Calibri" w:hAnsi="Calibri"/>
          <w:sz w:val="22"/>
        </w:rPr>
        <w:t>SQL was used to write clear and structured queries that directly answer the core business questions.</w:t>
      </w:r>
    </w:p>
    <w:p w14:paraId="41D807A5">
      <w:pPr>
        <w:pStyle w:val="4"/>
      </w:pPr>
      <w:r>
        <w:rPr>
          <w:rFonts w:ascii="Calibri" w:hAnsi="Calibri"/>
          <w:sz w:val="22"/>
        </w:rPr>
        <w:t>Power BI (Visualization &amp; Storytelling)</w:t>
      </w:r>
    </w:p>
    <w:p w14:paraId="17AA0CCD">
      <w:pPr>
        <w:pStyle w:val="34"/>
      </w:pPr>
      <w:r>
        <w:rPr>
          <w:rFonts w:ascii="Calibri" w:hAnsi="Calibri"/>
          <w:sz w:val="22"/>
        </w:rPr>
        <w:t>Power BI was the final layer used to build an interactive dashboard featuring three dedicated pages:</w:t>
      </w:r>
    </w:p>
    <w:p w14:paraId="3110916E">
      <w:pPr>
        <w:numPr>
          <w:ilvl w:val="0"/>
          <w:numId w:val="9"/>
        </w:numPr>
        <w:spacing w:before="100" w:beforeAutospacing="1" w:after="100" w:afterAutospacing="1"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Overview Page:</w:t>
      </w:r>
      <w:r>
        <w:rPr>
          <w:rFonts w:ascii="Times New Roman" w:hAnsi="Times New Roman" w:eastAsia="Times New Roman" w:cs="Times New Roman"/>
          <w:sz w:val="22"/>
          <w:szCs w:val="22"/>
        </w:rPr>
        <w:t xml:space="preserve"> For high-level executive KPIs, providing a holistic view of sales and order volume.</w:t>
      </w:r>
    </w:p>
    <w:p w14:paraId="63A808B8">
      <w:pPr>
        <w:numPr>
          <w:ilvl w:val="0"/>
          <w:numId w:val="9"/>
        </w:numPr>
        <w:spacing w:before="100" w:beforeAutospacing="1" w:after="100" w:afterAutospacing="1"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Payment &amp; Completion Behavior:</w:t>
      </w:r>
      <w:r>
        <w:rPr>
          <w:rFonts w:ascii="Times New Roman" w:hAnsi="Times New Roman" w:eastAsia="Times New Roman" w:cs="Times New Roman"/>
          <w:sz w:val="22"/>
          <w:szCs w:val="22"/>
        </w:rPr>
        <w:t xml:space="preserve"> To analyze the relationship between payment methods and order success rates, ensuring system stability.</w:t>
      </w:r>
    </w:p>
    <w:p w14:paraId="406359EE">
      <w:pPr>
        <w:numPr>
          <w:ilvl w:val="0"/>
          <w:numId w:val="9"/>
        </w:numPr>
        <w:spacing w:before="100" w:beforeAutospacing="1" w:after="100" w:afterAutospacing="1" w:line="240"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Delivery Performance &amp; Customer Experience:</w:t>
      </w:r>
      <w:r>
        <w:rPr>
          <w:rFonts w:ascii="Times New Roman" w:hAnsi="Times New Roman" w:eastAsia="Times New Roman" w:cs="Times New Roman"/>
          <w:sz w:val="22"/>
          <w:szCs w:val="22"/>
        </w:rPr>
        <w:t xml:space="preserve"> To drill down into shipping efficiency </w:t>
      </w:r>
    </w:p>
    <w:p w14:paraId="2AD82A2F">
      <w:pPr>
        <w:pStyle w:val="2"/>
      </w:pPr>
      <w:r>
        <w:rPr>
          <w:rFonts w:ascii="Calibri" w:hAnsi="Calibri"/>
          <w:sz w:val="22"/>
        </w:rPr>
        <w:t>8. Dashboard Gallery</w:t>
      </w:r>
    </w:p>
    <w:p w14:paraId="41D71322">
      <w:pPr>
        <w:pStyle w:val="34"/>
      </w:pPr>
      <w:r>
        <w:rPr>
          <w:rFonts w:ascii="Calibri" w:hAnsi="Calibri"/>
          <w:sz w:val="22"/>
        </w:rPr>
        <w:t>Power BI was the final layer used to build an interactive dashboard. It transformed the raw SQL outputs into a navigatable visual story, featuring three dedicated pages:</w:t>
      </w:r>
    </w:p>
    <w:p w14:paraId="7305D2D2">
      <w:pPr>
        <w:pStyle w:val="34"/>
        <w:numPr>
          <w:ilvl w:val="0"/>
          <w:numId w:val="10"/>
        </w:numPr>
      </w:pPr>
      <w:r>
        <w:rPr>
          <w:rFonts w:ascii="Calibri" w:hAnsi="Calibri"/>
          <w:b/>
          <w:bCs/>
          <w:sz w:val="22"/>
        </w:rPr>
        <w:t>Overview Page:</w:t>
      </w:r>
      <w:r>
        <w:rPr>
          <w:rFonts w:ascii="Calibri" w:hAnsi="Calibri"/>
          <w:sz w:val="22"/>
        </w:rPr>
        <w:t xml:space="preserve"> Provides a holistic view of total sales trends, monthly order volume, and high-level KPIs to track the marketplace's growth trajectory.</w:t>
      </w:r>
    </w:p>
    <w:p w14:paraId="45F8EE56">
      <w:pPr>
        <w:pStyle w:val="34"/>
        <w:ind w:left="720"/>
        <w:rPr>
          <w:rFonts w:hint="default" w:cs="Times New Roman"/>
          <w:lang w:val="en-US" w:bidi="ar-EG"/>
        </w:rPr>
      </w:pPr>
      <w:r>
        <w:rPr>
          <w:rFonts w:hint="default" w:ascii="Calibri" w:hAnsi="Calibri" w:cs="Times New Roman"/>
          <w:sz w:val="22"/>
          <w:lang w:val="en-US" w:bidi="ar-EG"/>
        </w:rPr>
        <w:drawing>
          <wp:inline distT="0" distB="0" distL="114300" distR="114300">
            <wp:extent cx="5483225" cy="3278505"/>
            <wp:effectExtent l="0" t="0" r="3175" b="13335"/>
            <wp:docPr id="54" name="Picture 54" descr="Screenshot 2026-02-09 14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Screenshot 2026-02-09 141618"/>
                    <pic:cNvPicPr>
                      <a:picLocks noChangeAspect="1"/>
                    </pic:cNvPicPr>
                  </pic:nvPicPr>
                  <pic:blipFill>
                    <a:blip r:embed="rId7"/>
                    <a:stretch>
                      <a:fillRect/>
                    </a:stretch>
                  </pic:blipFill>
                  <pic:spPr>
                    <a:xfrm>
                      <a:off x="0" y="0"/>
                      <a:ext cx="5483225" cy="3278505"/>
                    </a:xfrm>
                    <a:prstGeom prst="rect">
                      <a:avLst/>
                    </a:prstGeom>
                  </pic:spPr>
                </pic:pic>
              </a:graphicData>
            </a:graphic>
          </wp:inline>
        </w:drawing>
      </w:r>
    </w:p>
    <w:p w14:paraId="4175A977">
      <w:pPr>
        <w:pStyle w:val="34"/>
        <w:numPr>
          <w:ilvl w:val="0"/>
          <w:numId w:val="10"/>
        </w:numPr>
      </w:pPr>
      <w:r>
        <w:rPr>
          <w:rFonts w:ascii="Calibri" w:hAnsi="Calibri"/>
          <w:b/>
          <w:bCs/>
          <w:sz w:val="22"/>
        </w:rPr>
        <w:t>Payment &amp; Completion Behavior:</w:t>
      </w:r>
      <w:r>
        <w:rPr>
          <w:rFonts w:ascii="Calibri" w:hAnsi="Calibri"/>
          <w:sz w:val="22"/>
        </w:rPr>
        <w:t xml:space="preserve"> Analyzes the relationship between payment methods and order success rates, ensuring system stability and identifying any payment-related bottlenecks.</w:t>
      </w:r>
    </w:p>
    <w:p w14:paraId="1A9166AF">
      <w:pPr>
        <w:pStyle w:val="34"/>
        <w:ind w:left="720"/>
        <w:rPr>
          <w:rFonts w:hint="default" w:cs="Times New Roman"/>
          <w:lang w:val="en-US" w:bidi="ar-EG"/>
        </w:rPr>
      </w:pPr>
      <w:r>
        <w:rPr>
          <w:rFonts w:hint="default" w:ascii="Calibri" w:hAnsi="Calibri" w:cs="Times New Roman"/>
          <w:sz w:val="22"/>
          <w:lang w:val="en-US" w:bidi="ar-EG"/>
        </w:rPr>
        <w:drawing>
          <wp:inline distT="0" distB="0" distL="114300" distR="114300">
            <wp:extent cx="5484495" cy="3122930"/>
            <wp:effectExtent l="0" t="0" r="1905" b="1270"/>
            <wp:docPr id="55" name="Picture 55" descr="Screenshot 2026-02-09 14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Screenshot 2026-02-09 141642"/>
                    <pic:cNvPicPr>
                      <a:picLocks noChangeAspect="1"/>
                    </pic:cNvPicPr>
                  </pic:nvPicPr>
                  <pic:blipFill>
                    <a:blip r:embed="rId8"/>
                    <a:stretch>
                      <a:fillRect/>
                    </a:stretch>
                  </pic:blipFill>
                  <pic:spPr>
                    <a:xfrm>
                      <a:off x="0" y="0"/>
                      <a:ext cx="5484495" cy="3122930"/>
                    </a:xfrm>
                    <a:prstGeom prst="rect">
                      <a:avLst/>
                    </a:prstGeom>
                  </pic:spPr>
                </pic:pic>
              </a:graphicData>
            </a:graphic>
          </wp:inline>
        </w:drawing>
      </w:r>
    </w:p>
    <w:p w14:paraId="59F318B7">
      <w:pPr>
        <w:pStyle w:val="34"/>
        <w:numPr>
          <w:ilvl w:val="0"/>
          <w:numId w:val="10"/>
        </w:numPr>
      </w:pPr>
      <w:r>
        <w:rPr>
          <w:rFonts w:ascii="Calibri" w:hAnsi="Calibri"/>
          <w:b/>
          <w:bCs/>
          <w:sz w:val="22"/>
        </w:rPr>
        <w:t>Delivery Performance &amp; Customer Experience:</w:t>
      </w:r>
      <w:r>
        <w:rPr>
          <w:rFonts w:ascii="Calibri" w:hAnsi="Calibri"/>
          <w:sz w:val="22"/>
        </w:rPr>
        <w:t xml:space="preserve"> Focuses on shipping efficiency and its direct impact on review scores, highlighting geographic delay hotspots and satisfaction gaps.</w:t>
      </w:r>
    </w:p>
    <w:p w14:paraId="15BB77BC">
      <w:pPr>
        <w:pStyle w:val="34"/>
        <w:ind w:left="720"/>
        <w:rPr>
          <w:rFonts w:hint="default" w:cs="Times New Roman"/>
          <w:lang w:val="en-US" w:bidi="ar-EG"/>
        </w:rPr>
      </w:pPr>
      <w:r>
        <w:rPr>
          <w:rFonts w:hint="default" w:ascii="Calibri" w:hAnsi="Calibri" w:cs="Times New Roman"/>
          <w:sz w:val="22"/>
          <w:lang w:val="en-US" w:bidi="ar-EG"/>
        </w:rPr>
        <w:drawing>
          <wp:inline distT="0" distB="0" distL="114300" distR="114300">
            <wp:extent cx="5481955" cy="3111500"/>
            <wp:effectExtent l="0" t="0" r="4445" b="12700"/>
            <wp:docPr id="56" name="Picture 56" descr="Screenshot 2026-02-09 141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Screenshot 2026-02-09 141709"/>
                    <pic:cNvPicPr>
                      <a:picLocks noChangeAspect="1"/>
                    </pic:cNvPicPr>
                  </pic:nvPicPr>
                  <pic:blipFill>
                    <a:blip r:embed="rId9"/>
                    <a:stretch>
                      <a:fillRect/>
                    </a:stretch>
                  </pic:blipFill>
                  <pic:spPr>
                    <a:xfrm>
                      <a:off x="0" y="0"/>
                      <a:ext cx="5481955" cy="3111500"/>
                    </a:xfrm>
                    <a:prstGeom prst="rect">
                      <a:avLst/>
                    </a:prstGeom>
                  </pic:spPr>
                </pic:pic>
              </a:graphicData>
            </a:graphic>
          </wp:inline>
        </w:drawing>
      </w:r>
    </w:p>
    <w:p w14:paraId="0C57A5FD">
      <w:pPr>
        <w:pStyle w:val="2"/>
        <w:rPr>
          <w:rStyle w:val="35"/>
          <w:b/>
          <w:bCs/>
          <w:sz w:val="20"/>
          <w:szCs w:val="20"/>
          <w:rtl/>
        </w:rPr>
      </w:pPr>
      <w:r>
        <w:rPr>
          <w:rFonts w:hint="cs" w:ascii="Calibri" w:hAnsi="Calibri"/>
          <w:sz w:val="22"/>
          <w:rtl/>
        </w:rPr>
        <w:t>9</w:t>
      </w:r>
      <w:r>
        <w:rPr>
          <w:rFonts w:ascii="Calibri" w:hAnsi="Calibri"/>
          <w:sz w:val="22"/>
        </w:rPr>
        <w:t>. Key Metrics &amp; Insights</w:t>
      </w:r>
    </w:p>
    <w:p w14:paraId="405C4E81">
      <w:pPr>
        <w:pStyle w:val="4"/>
        <w:numPr>
          <w:ilvl w:val="0"/>
          <w:numId w:val="11"/>
        </w:numPr>
        <w:rPr>
          <w:rStyle w:val="35"/>
          <w:b/>
          <w:bCs/>
          <w:sz w:val="20"/>
          <w:szCs w:val="20"/>
          <w:rtl/>
        </w:rPr>
      </w:pPr>
      <w:r>
        <w:rPr>
          <w:rStyle w:val="35"/>
          <w:rFonts w:ascii="Calibri" w:hAnsi="Calibri"/>
          <w:b/>
          <w:bCs/>
          <w:sz w:val="20"/>
          <w:szCs w:val="20"/>
        </w:rPr>
        <w:t>How many orders and how much revenue are generated each month?</w:t>
      </w:r>
    </w:p>
    <w:p w14:paraId="3EE17648">
      <w:pPr>
        <w:rPr>
          <w:rtl/>
        </w:rPr>
      </w:pPr>
      <w:r>
        <w:rPr>
          <w:rFonts w:ascii="Calibri" w:hAnsi="Calibri"/>
          <w:sz w:val="22"/>
          <w:rtl/>
        </w:rPr>
        <w:tab/>
      </w:r>
      <w:r>
        <w:rPr>
          <w:rFonts w:ascii="Calibri" w:hAnsi="Calibri"/>
          <w:sz w:val="22"/>
        </w:rPr>
        <w:drawing>
          <wp:inline distT="0" distB="0" distL="114300" distR="114300">
            <wp:extent cx="4033520" cy="1818005"/>
            <wp:effectExtent l="0" t="0" r="5080" b="10795"/>
            <wp:docPr id="29" name="Picture 29" descr="Screenshot 2026-02-08 141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6-02-08 141747"/>
                    <pic:cNvPicPr>
                      <a:picLocks noChangeAspect="1"/>
                    </pic:cNvPicPr>
                  </pic:nvPicPr>
                  <pic:blipFill>
                    <a:blip r:embed="rId10"/>
                    <a:stretch>
                      <a:fillRect/>
                    </a:stretch>
                  </pic:blipFill>
                  <pic:spPr>
                    <a:xfrm>
                      <a:off x="0" y="0"/>
                      <a:ext cx="4033520" cy="1818005"/>
                    </a:xfrm>
                    <a:prstGeom prst="rect">
                      <a:avLst/>
                    </a:prstGeom>
                  </pic:spPr>
                </pic:pic>
              </a:graphicData>
            </a:graphic>
          </wp:inline>
        </w:drawing>
      </w:r>
    </w:p>
    <w:p w14:paraId="6FE6962B">
      <w:pPr>
        <w:rPr>
          <w:rFonts w:hint="cs" w:cstheme="minorBidi"/>
          <w:rtl/>
          <w:lang w:bidi="ar-EG"/>
        </w:rPr>
      </w:pPr>
      <w:r>
        <w:rPr>
          <w:rFonts w:ascii="Calibri" w:hAnsi="Calibri"/>
          <w:sz w:val="22"/>
        </w:rPr>
        <w:drawing>
          <wp:inline distT="0" distB="0" distL="114300" distR="114300">
            <wp:extent cx="4121150" cy="1971040"/>
            <wp:effectExtent l="0" t="0" r="8890" b="10160"/>
            <wp:docPr id="30" name="Picture 30" descr="Screenshot 2026-02-08 14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02-08 141802"/>
                    <pic:cNvPicPr>
                      <a:picLocks noChangeAspect="1"/>
                    </pic:cNvPicPr>
                  </pic:nvPicPr>
                  <pic:blipFill>
                    <a:blip r:embed="rId11"/>
                    <a:stretch>
                      <a:fillRect/>
                    </a:stretch>
                  </pic:blipFill>
                  <pic:spPr>
                    <a:xfrm>
                      <a:off x="0" y="0"/>
                      <a:ext cx="4121150" cy="1971040"/>
                    </a:xfrm>
                    <a:prstGeom prst="rect">
                      <a:avLst/>
                    </a:prstGeom>
                  </pic:spPr>
                </pic:pic>
              </a:graphicData>
            </a:graphic>
          </wp:inline>
        </w:drawing>
      </w:r>
      <w:r>
        <w:rPr>
          <w:rFonts w:hint="cs" w:ascii="Calibri" w:hAnsi="Calibri" w:cstheme="minorBidi"/>
          <w:sz w:val="22"/>
          <w:rtl/>
          <w:lang w:bidi="ar-EG"/>
        </w:rPr>
        <w:drawing>
          <wp:inline distT="0" distB="0" distL="114300" distR="114300">
            <wp:extent cx="2752090" cy="3171190"/>
            <wp:effectExtent l="0" t="0" r="6350" b="13970"/>
            <wp:docPr id="31" name="Picture 31" descr="Screenshot 2026-02-08 141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6-02-08 141902"/>
                    <pic:cNvPicPr>
                      <a:picLocks noChangeAspect="1"/>
                    </pic:cNvPicPr>
                  </pic:nvPicPr>
                  <pic:blipFill>
                    <a:blip r:embed="rId12"/>
                    <a:stretch>
                      <a:fillRect/>
                    </a:stretch>
                  </pic:blipFill>
                  <pic:spPr>
                    <a:xfrm>
                      <a:off x="0" y="0"/>
                      <a:ext cx="2752090" cy="3171190"/>
                    </a:xfrm>
                    <a:prstGeom prst="rect">
                      <a:avLst/>
                    </a:prstGeom>
                  </pic:spPr>
                </pic:pic>
              </a:graphicData>
            </a:graphic>
          </wp:inline>
        </w:drawing>
      </w:r>
    </w:p>
    <w:p w14:paraId="6EE054DC">
      <w:pPr>
        <w:rPr>
          <w:sz w:val="24"/>
          <w:szCs w:val="24"/>
          <w:rtl/>
        </w:rPr>
      </w:pPr>
      <w:r>
        <w:rPr>
          <w:rFonts w:ascii="Calibri" w:hAnsi="Calibri"/>
          <w:sz w:val="24"/>
          <w:szCs w:val="24"/>
        </w:rPr>
        <w:t>Key Insights:</w:t>
      </w:r>
    </w:p>
    <w:p w14:paraId="54920E3F">
      <w:pPr>
        <w:pStyle w:val="34"/>
        <w:numPr>
          <w:ilvl w:val="0"/>
          <w:numId w:val="12"/>
        </w:numPr>
      </w:pPr>
      <w:r>
        <w:rPr>
          <w:rFonts w:ascii="Calibri" w:hAnsi="Calibri"/>
          <w:b/>
          <w:bCs/>
          <w:sz w:val="22"/>
          <w:szCs w:val="22"/>
        </w:rPr>
        <w:t>Exponential Revenue &amp; Order Growth:</w:t>
      </w:r>
      <w:r>
        <w:rPr>
          <w:rFonts w:ascii="Calibri" w:hAnsi="Calibri"/>
          <w:sz w:val="22"/>
          <w:szCs w:val="22"/>
        </w:rPr>
        <w:t xml:space="preserve"> Sales surged from near-zero in 2016 to over </w:t>
      </w:r>
      <w:r>
        <w:rPr>
          <w:rFonts w:ascii="Calibri" w:hAnsi="Calibri"/>
          <w:b/>
          <w:bCs/>
          <w:sz w:val="22"/>
          <w:szCs w:val="22"/>
        </w:rPr>
        <w:t xml:space="preserve">16M </w:t>
      </w:r>
      <w:r>
        <w:rPr>
          <w:rFonts w:ascii="Calibri" w:hAnsi="Calibri"/>
          <w:sz w:val="22"/>
          <w:szCs w:val="22"/>
        </w:rPr>
        <w:t xml:space="preserve">by 2018 , driven by a massive leap in total order volume reaching approximately </w:t>
      </w:r>
      <w:r>
        <w:rPr>
          <w:rFonts w:ascii="Calibri" w:hAnsi="Calibri"/>
          <w:b/>
          <w:bCs/>
          <w:sz w:val="22"/>
          <w:szCs w:val="22"/>
        </w:rPr>
        <w:t>99K</w:t>
      </w:r>
      <w:r>
        <w:rPr>
          <w:rFonts w:ascii="Calibri" w:hAnsi="Calibri"/>
          <w:sz w:val="22"/>
          <w:szCs w:val="22"/>
        </w:rPr>
        <w:t xml:space="preserve"> orders.</w:t>
      </w:r>
    </w:p>
    <w:p w14:paraId="3E611285">
      <w:pPr>
        <w:pStyle w:val="34"/>
        <w:numPr>
          <w:ilvl w:val="0"/>
          <w:numId w:val="13"/>
        </w:numPr>
        <w:ind w:left="1680" w:leftChars="0" w:hanging="420" w:firstLineChars="0"/>
      </w:pPr>
      <w:r>
        <w:rPr>
          <w:rFonts w:hint="default"/>
          <w:b/>
          <w:bCs/>
        </w:rPr>
        <w:t>Market scalability:</w:t>
      </w:r>
      <w:r>
        <w:rPr>
          <w:rFonts w:hint="default"/>
        </w:rPr>
        <w:t xml:space="preserve"> The continued upward trend reflects high operational scalability a</w:t>
      </w:r>
      <w:bookmarkStart w:id="0" w:name="_GoBack"/>
      <w:bookmarkEnd w:id="0"/>
      <w:r>
        <w:rPr>
          <w:rFonts w:hint="default"/>
        </w:rPr>
        <w:t>nd sustainable market expansion throughout the analyzed period.</w:t>
      </w:r>
    </w:p>
    <w:p w14:paraId="39F0C81A">
      <w:pPr>
        <w:pStyle w:val="4"/>
        <w:numPr>
          <w:ilvl w:val="0"/>
          <w:numId w:val="11"/>
        </w:numPr>
        <w:rPr>
          <w:rStyle w:val="35"/>
          <w:b w:val="0"/>
          <w:bCs w:val="0"/>
        </w:rPr>
      </w:pPr>
      <w:r>
        <w:rPr>
          <w:rStyle w:val="35"/>
          <w:rFonts w:ascii="Calibri" w:hAnsi="Calibri"/>
          <w:b w:val="0"/>
          <w:bCs w:val="0"/>
          <w:sz w:val="22"/>
        </w:rPr>
        <w:t>Are late deliveries associated with lower customer review scores?</w:t>
      </w:r>
    </w:p>
    <w:p w14:paraId="447177EB">
      <w:pPr>
        <w:pStyle w:val="34"/>
        <w:ind w:left="720"/>
        <w:rPr>
          <w:rFonts w:hint="cs" w:cs="Times New Roman"/>
          <w:b/>
          <w:bCs/>
          <w:sz w:val="18"/>
          <w:szCs w:val="18"/>
          <w:rtl/>
          <w:lang w:bidi="ar-EG"/>
        </w:rPr>
      </w:pPr>
      <w:r>
        <w:rPr>
          <w:rFonts w:ascii="Calibri" w:hAnsi="Calibri"/>
          <w:sz w:val="22"/>
        </w:rPr>
        <w:drawing>
          <wp:inline distT="0" distB="0" distL="114300" distR="114300">
            <wp:extent cx="3416300" cy="3075305"/>
            <wp:effectExtent l="0" t="0" r="12700" b="3175"/>
            <wp:docPr id="32" name="Picture 32" descr="Screenshot 2026-02-08 14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6-02-08 142022"/>
                    <pic:cNvPicPr>
                      <a:picLocks noChangeAspect="1"/>
                    </pic:cNvPicPr>
                  </pic:nvPicPr>
                  <pic:blipFill>
                    <a:blip r:embed="rId13"/>
                    <a:stretch>
                      <a:fillRect/>
                    </a:stretch>
                  </pic:blipFill>
                  <pic:spPr>
                    <a:xfrm>
                      <a:off x="0" y="0"/>
                      <a:ext cx="3416300" cy="3075305"/>
                    </a:xfrm>
                    <a:prstGeom prst="rect">
                      <a:avLst/>
                    </a:prstGeom>
                  </pic:spPr>
                </pic:pic>
              </a:graphicData>
            </a:graphic>
          </wp:inline>
        </w:drawing>
      </w:r>
      <w:r>
        <w:rPr>
          <w:rFonts w:hint="cs" w:ascii="Calibri" w:hAnsi="Calibri" w:cs="Times New Roman"/>
          <w:b/>
          <w:bCs/>
          <w:sz w:val="18"/>
          <w:szCs w:val="18"/>
          <w:rtl/>
          <w:lang w:bidi="ar-EG"/>
        </w:rPr>
        <w:drawing>
          <wp:inline distT="0" distB="0" distL="114300" distR="114300">
            <wp:extent cx="4194810" cy="803275"/>
            <wp:effectExtent l="0" t="0" r="11430" b="4445"/>
            <wp:docPr id="33" name="Picture 33" descr="Screenshot 2026-02-08 14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6-02-08 142049"/>
                    <pic:cNvPicPr>
                      <a:picLocks noChangeAspect="1"/>
                    </pic:cNvPicPr>
                  </pic:nvPicPr>
                  <pic:blipFill>
                    <a:blip r:embed="rId14"/>
                    <a:stretch>
                      <a:fillRect/>
                    </a:stretch>
                  </pic:blipFill>
                  <pic:spPr>
                    <a:xfrm>
                      <a:off x="0" y="0"/>
                      <a:ext cx="4194810" cy="803275"/>
                    </a:xfrm>
                    <a:prstGeom prst="rect">
                      <a:avLst/>
                    </a:prstGeom>
                  </pic:spPr>
                </pic:pic>
              </a:graphicData>
            </a:graphic>
          </wp:inline>
        </w:drawing>
      </w:r>
    </w:p>
    <w:p w14:paraId="27F62C64">
      <w:pPr>
        <w:rPr>
          <w:sz w:val="24"/>
          <w:szCs w:val="24"/>
          <w:rtl/>
        </w:rPr>
      </w:pPr>
      <w:r>
        <w:rPr>
          <w:rFonts w:ascii="Calibri" w:hAnsi="Calibri"/>
          <w:sz w:val="24"/>
          <w:szCs w:val="24"/>
          <w:rtl/>
        </w:rPr>
        <w:tab/>
      </w:r>
      <w:r>
        <w:rPr>
          <w:rFonts w:ascii="Calibri" w:hAnsi="Calibri"/>
          <w:sz w:val="24"/>
          <w:szCs w:val="24"/>
          <w:rtl/>
        </w:rPr>
        <w:tab/>
      </w:r>
      <w:r>
        <w:rPr>
          <w:rFonts w:ascii="Calibri" w:hAnsi="Calibri"/>
          <w:sz w:val="24"/>
          <w:szCs w:val="24"/>
        </w:rPr>
        <w:t>Key Insights:</w:t>
      </w:r>
    </w:p>
    <w:p w14:paraId="5886A160">
      <w:pPr>
        <w:pStyle w:val="34"/>
        <w:rPr>
          <w:rtl/>
        </w:rPr>
      </w:pPr>
      <w:r>
        <w:rPr>
          <w:rFonts w:ascii="Calibri" w:hAnsi="Calibri"/>
          <w:sz w:val="22"/>
        </w:rPr>
        <w:t>Delays Hurt Customer Satisfaction: Ratings drop sharply from 4.29</w:t>
      </w:r>
    </w:p>
    <w:p w14:paraId="6790BCBE">
      <w:pPr>
        <w:pStyle w:val="34"/>
      </w:pPr>
    </w:p>
    <w:p w14:paraId="1ADDC5B8">
      <w:pPr>
        <w:pStyle w:val="4"/>
        <w:numPr>
          <w:ilvl w:val="0"/>
          <w:numId w:val="11"/>
        </w:numPr>
        <w:rPr>
          <w:rStyle w:val="35"/>
          <w:b w:val="0"/>
          <w:bCs w:val="0"/>
          <w:sz w:val="24"/>
          <w:szCs w:val="24"/>
        </w:rPr>
      </w:pPr>
      <w:r>
        <w:rPr>
          <w:rStyle w:val="35"/>
          <w:rFonts w:ascii="Calibri" w:hAnsi="Calibri"/>
          <w:b w:val="0"/>
          <w:bCs w:val="0"/>
          <w:sz w:val="24"/>
          <w:szCs w:val="24"/>
        </w:rPr>
        <w:t>What percentage of completed orders are delivered late?</w:t>
      </w:r>
    </w:p>
    <w:p w14:paraId="5F5BC518">
      <w:pPr>
        <w:pStyle w:val="34"/>
        <w:ind w:left="720"/>
        <w:rPr>
          <w:rFonts w:hint="default"/>
          <w:b/>
          <w:bCs/>
          <w:sz w:val="22"/>
          <w:szCs w:val="22"/>
          <w:lang w:val="en-US"/>
        </w:rPr>
      </w:pPr>
      <w:r>
        <w:rPr>
          <w:rFonts w:ascii="Calibri" w:hAnsi="Calibri"/>
          <w:sz w:val="22"/>
        </w:rPr>
        <w:drawing>
          <wp:inline distT="0" distB="0" distL="114300" distR="114300">
            <wp:extent cx="2980690" cy="949960"/>
            <wp:effectExtent l="0" t="0" r="6350" b="10160"/>
            <wp:docPr id="34" name="Picture 34" descr="Screenshot 2026-02-08 14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6-02-08 142128"/>
                    <pic:cNvPicPr>
                      <a:picLocks noChangeAspect="1"/>
                    </pic:cNvPicPr>
                  </pic:nvPicPr>
                  <pic:blipFill>
                    <a:blip r:embed="rId15"/>
                    <a:stretch>
                      <a:fillRect/>
                    </a:stretch>
                  </pic:blipFill>
                  <pic:spPr>
                    <a:xfrm>
                      <a:off x="0" y="0"/>
                      <a:ext cx="2980690" cy="949960"/>
                    </a:xfrm>
                    <a:prstGeom prst="rect">
                      <a:avLst/>
                    </a:prstGeom>
                  </pic:spPr>
                </pic:pic>
              </a:graphicData>
            </a:graphic>
          </wp:inline>
        </w:drawing>
      </w:r>
      <w:r>
        <w:rPr>
          <w:rFonts w:hint="default" w:ascii="Calibri" w:hAnsi="Calibri"/>
          <w:b/>
          <w:bCs/>
          <w:sz w:val="22"/>
          <w:szCs w:val="22"/>
          <w:lang w:val="en-US"/>
        </w:rPr>
        <w:drawing>
          <wp:inline distT="0" distB="0" distL="114300" distR="114300">
            <wp:extent cx="1769110" cy="1052830"/>
            <wp:effectExtent l="0" t="0" r="13970" b="13970"/>
            <wp:docPr id="36" name="Picture 36" descr="Screenshot 2026-02-08 14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6-02-08 143458"/>
                    <pic:cNvPicPr>
                      <a:picLocks noChangeAspect="1"/>
                    </pic:cNvPicPr>
                  </pic:nvPicPr>
                  <pic:blipFill>
                    <a:blip r:embed="rId16"/>
                    <a:stretch>
                      <a:fillRect/>
                    </a:stretch>
                  </pic:blipFill>
                  <pic:spPr>
                    <a:xfrm>
                      <a:off x="0" y="0"/>
                      <a:ext cx="1769110" cy="1052830"/>
                    </a:xfrm>
                    <a:prstGeom prst="rect">
                      <a:avLst/>
                    </a:prstGeom>
                  </pic:spPr>
                </pic:pic>
              </a:graphicData>
            </a:graphic>
          </wp:inline>
        </w:drawing>
      </w:r>
    </w:p>
    <w:p w14:paraId="5E9052CF">
      <w:pPr>
        <w:pStyle w:val="34"/>
      </w:pPr>
      <w:r>
        <w:rPr>
          <w:rFonts w:ascii="Calibri" w:hAnsi="Calibri"/>
          <w:b/>
          <w:bCs/>
          <w:sz w:val="22"/>
          <w:rtl/>
        </w:rPr>
        <w:tab/>
      </w:r>
      <w:r>
        <w:rPr>
          <w:rFonts w:ascii="Calibri" w:hAnsi="Calibri"/>
          <w:b/>
          <w:bCs/>
          <w:sz w:val="22"/>
        </w:rPr>
        <w:t>Key Insights:</w:t>
      </w:r>
    </w:p>
    <w:p w14:paraId="13C1059D">
      <w:pPr>
        <w:pStyle w:val="34"/>
        <w:numPr>
          <w:ilvl w:val="0"/>
          <w:numId w:val="14"/>
        </w:numPr>
      </w:pPr>
      <w:r>
        <w:rPr>
          <w:rFonts w:ascii="Calibri" w:hAnsi="Calibri"/>
          <w:b/>
          <w:bCs/>
          <w:sz w:val="22"/>
        </w:rPr>
        <w:t>8% Late Rate:</w:t>
      </w:r>
      <w:r>
        <w:rPr>
          <w:rFonts w:ascii="Calibri" w:hAnsi="Calibri"/>
          <w:sz w:val="22"/>
        </w:rPr>
        <w:t xml:space="preserve"> Approximately </w:t>
      </w:r>
      <w:r>
        <w:rPr>
          <w:rFonts w:ascii="Calibri" w:hAnsi="Calibri"/>
          <w:b/>
          <w:bCs/>
          <w:sz w:val="22"/>
        </w:rPr>
        <w:t>8.2%</w:t>
      </w:r>
      <w:r>
        <w:rPr>
          <w:rFonts w:ascii="Calibri" w:hAnsi="Calibri"/>
          <w:sz w:val="22"/>
        </w:rPr>
        <w:t xml:space="preserve"> of all completed orders miss their </w:t>
      </w:r>
      <w:r>
        <w:rPr>
          <w:rFonts w:ascii="Calibri" w:hAnsi="Calibri"/>
          <w:sz w:val="22"/>
        </w:rPr>
        <w:tab/>
      </w:r>
      <w:r>
        <w:rPr>
          <w:rFonts w:ascii="Calibri" w:hAnsi="Calibri"/>
          <w:sz w:val="22"/>
        </w:rPr>
        <w:t>delivery deadline.</w:t>
      </w:r>
    </w:p>
    <w:p w14:paraId="38A47597">
      <w:pPr>
        <w:pStyle w:val="34"/>
        <w:numPr>
          <w:ilvl w:val="0"/>
          <w:numId w:val="14"/>
        </w:numPr>
      </w:pPr>
      <w:r>
        <w:rPr>
          <w:rFonts w:ascii="Calibri" w:hAnsi="Calibri"/>
          <w:b/>
          <w:bCs/>
          <w:sz w:val="22"/>
        </w:rPr>
        <w:t>Room for Improvement:</w:t>
      </w:r>
      <w:r>
        <w:rPr>
          <w:rFonts w:ascii="Calibri" w:hAnsi="Calibri"/>
          <w:sz w:val="22"/>
        </w:rPr>
        <w:t xml:space="preserve"> While the majority arrive on time, this </w:t>
      </w:r>
      <w:r>
        <w:rPr>
          <w:rFonts w:ascii="Calibri" w:hAnsi="Calibri"/>
          <w:b/>
          <w:bCs/>
          <w:sz w:val="22"/>
        </w:rPr>
        <w:t>8.2%</w:t>
      </w:r>
      <w:r>
        <w:rPr>
          <w:rFonts w:ascii="Calibri" w:hAnsi="Calibri"/>
          <w:sz w:val="22"/>
        </w:rPr>
        <w:t xml:space="preserve"> represents thousands of orders, pointing to a specific bottleneck in the shipping process that needs fixing.</w:t>
      </w:r>
    </w:p>
    <w:p w14:paraId="2DC7A334">
      <w:pPr>
        <w:pStyle w:val="4"/>
        <w:numPr>
          <w:ilvl w:val="0"/>
          <w:numId w:val="11"/>
        </w:numPr>
        <w:rPr>
          <w:sz w:val="28"/>
          <w:szCs w:val="28"/>
        </w:rPr>
      </w:pPr>
      <w:r>
        <w:rPr>
          <w:rStyle w:val="35"/>
          <w:rFonts w:ascii="Calibri" w:hAnsi="Calibri"/>
          <w:b w:val="0"/>
          <w:bCs w:val="0"/>
          <w:sz w:val="22"/>
        </w:rPr>
        <w:t>Which product categories have the highest delivery delay rates?</w:t>
      </w:r>
    </w:p>
    <w:p w14:paraId="4C2A4759">
      <w:pPr>
        <w:pStyle w:val="34"/>
        <w:ind w:left="720"/>
        <w:rPr>
          <w:rFonts w:hint="cs" w:cs="Times New Roman"/>
          <w:rtl/>
          <w:lang w:bidi="ar-EG"/>
        </w:rPr>
      </w:pPr>
      <w:r>
        <w:rPr>
          <w:rFonts w:hint="cs" w:ascii="Calibri" w:hAnsi="Calibri" w:cs="Times New Roman"/>
          <w:sz w:val="22"/>
          <w:rtl/>
          <w:lang w:bidi="ar-EG"/>
        </w:rPr>
        <w:drawing>
          <wp:inline distT="0" distB="0" distL="114300" distR="114300">
            <wp:extent cx="3057525" cy="2381250"/>
            <wp:effectExtent l="0" t="0" r="5715" b="11430"/>
            <wp:docPr id="40" name="Picture 40" descr="Screenshot 2026-02-09 00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2026-02-09 005249"/>
                    <pic:cNvPicPr>
                      <a:picLocks noChangeAspect="1"/>
                    </pic:cNvPicPr>
                  </pic:nvPicPr>
                  <pic:blipFill>
                    <a:blip r:embed="rId17"/>
                    <a:stretch>
                      <a:fillRect/>
                    </a:stretch>
                  </pic:blipFill>
                  <pic:spPr>
                    <a:xfrm>
                      <a:off x="0" y="0"/>
                      <a:ext cx="3057525" cy="2381250"/>
                    </a:xfrm>
                    <a:prstGeom prst="rect">
                      <a:avLst/>
                    </a:prstGeom>
                  </pic:spPr>
                </pic:pic>
              </a:graphicData>
            </a:graphic>
          </wp:inline>
        </w:drawing>
      </w:r>
      <w:r>
        <w:rPr>
          <w:rFonts w:hint="cs" w:ascii="Calibri" w:hAnsi="Calibri" w:cs="Times New Roman"/>
          <w:sz w:val="22"/>
          <w:rtl/>
          <w:lang w:bidi="ar-EG"/>
        </w:rPr>
        <w:drawing>
          <wp:inline distT="0" distB="0" distL="114300" distR="114300">
            <wp:extent cx="5481320" cy="1046480"/>
            <wp:effectExtent l="0" t="0" r="5080" b="5080"/>
            <wp:docPr id="39" name="Picture 39" descr="Screenshot 2026-02-09 00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2026-02-09 005231"/>
                    <pic:cNvPicPr>
                      <a:picLocks noChangeAspect="1"/>
                    </pic:cNvPicPr>
                  </pic:nvPicPr>
                  <pic:blipFill>
                    <a:blip r:embed="rId18"/>
                    <a:stretch>
                      <a:fillRect/>
                    </a:stretch>
                  </pic:blipFill>
                  <pic:spPr>
                    <a:xfrm>
                      <a:off x="0" y="0"/>
                      <a:ext cx="5481320" cy="1046480"/>
                    </a:xfrm>
                    <a:prstGeom prst="rect">
                      <a:avLst/>
                    </a:prstGeom>
                  </pic:spPr>
                </pic:pic>
              </a:graphicData>
            </a:graphic>
          </wp:inline>
        </w:drawing>
      </w:r>
    </w:p>
    <w:p w14:paraId="6F7BBAC7">
      <w:pPr>
        <w:pStyle w:val="34"/>
      </w:pPr>
      <w:r>
        <w:rPr>
          <w:rFonts w:ascii="Calibri" w:hAnsi="Calibri"/>
          <w:b/>
          <w:bCs/>
          <w:sz w:val="22"/>
        </w:rPr>
        <w:t>Key Insights:</w:t>
      </w:r>
    </w:p>
    <w:p w14:paraId="2D3E9E8D">
      <w:pPr>
        <w:pStyle w:val="34"/>
        <w:keepNext w:val="0"/>
        <w:keepLines w:val="0"/>
        <w:widowControl/>
        <w:numPr>
          <w:ilvl w:val="0"/>
          <w:numId w:val="15"/>
        </w:numPr>
        <w:suppressLineNumbers w:val="0"/>
        <w:ind w:left="420" w:leftChars="0" w:hanging="420" w:firstLineChars="0"/>
      </w:pPr>
      <w:r>
        <w:rPr>
          <w:rStyle w:val="35"/>
          <w:rFonts w:hint="default" w:ascii="Times New Roman" w:hAnsi="Times New Roman" w:eastAsia="SimSun" w:cs="Times New Roman"/>
          <w:sz w:val="24"/>
          <w:szCs w:val="24"/>
        </w:rPr>
        <w:t>Most Delayed Categories:</w:t>
      </w:r>
      <w:r>
        <w:rPr>
          <w:rFonts w:hint="default" w:ascii="Times New Roman" w:hAnsi="Times New Roman" w:eastAsia="SimSun" w:cs="Times New Roman"/>
          <w:sz w:val="24"/>
          <w:szCs w:val="24"/>
        </w:rPr>
        <w:br w:type="textWrapping"/>
      </w:r>
      <w:r>
        <w:rPr>
          <w:rStyle w:val="17"/>
          <w:rFonts w:hint="default" w:ascii="Times New Roman" w:hAnsi="Times New Roman" w:eastAsia="SimSun" w:cs="Times New Roman"/>
          <w:sz w:val="24"/>
          <w:szCs w:val="24"/>
        </w:rPr>
        <w:t>Bed_Bath_Table</w:t>
      </w:r>
      <w:r>
        <w:rPr>
          <w:rFonts w:hint="default" w:ascii="Times New Roman" w:hAnsi="Times New Roman" w:eastAsia="SimSun" w:cs="Times New Roman"/>
          <w:sz w:val="24"/>
          <w:szCs w:val="24"/>
        </w:rPr>
        <w:t xml:space="preserve"> and </w:t>
      </w:r>
      <w:r>
        <w:rPr>
          <w:rStyle w:val="17"/>
          <w:rFonts w:hint="default" w:ascii="Times New Roman" w:hAnsi="Times New Roman" w:eastAsia="SimSun" w:cs="Times New Roman"/>
          <w:sz w:val="24"/>
          <w:szCs w:val="24"/>
        </w:rPr>
        <w:t>Health_Beauty</w:t>
      </w:r>
      <w:r>
        <w:rPr>
          <w:rFonts w:hint="default" w:ascii="Times New Roman" w:hAnsi="Times New Roman" w:eastAsia="SimSun" w:cs="Times New Roman"/>
          <w:sz w:val="24"/>
          <w:szCs w:val="24"/>
        </w:rPr>
        <w:t xml:space="preserve"> have the highest number of late deliveries (</w:t>
      </w:r>
      <w:r>
        <w:rPr>
          <w:rStyle w:val="35"/>
          <w:rFonts w:hint="default" w:ascii="Times New Roman" w:hAnsi="Times New Roman" w:eastAsia="SimSun" w:cs="Times New Roman"/>
          <w:sz w:val="24"/>
          <w:szCs w:val="24"/>
        </w:rPr>
        <w:t>916</w:t>
      </w:r>
      <w:r>
        <w:rPr>
          <w:rFonts w:hint="default" w:ascii="Times New Roman" w:hAnsi="Times New Roman" w:eastAsia="SimSun" w:cs="Times New Roman"/>
          <w:sz w:val="24"/>
          <w:szCs w:val="24"/>
        </w:rPr>
        <w:t xml:space="preserve"> and </w:t>
      </w:r>
      <w:r>
        <w:rPr>
          <w:rStyle w:val="35"/>
          <w:rFonts w:hint="default" w:ascii="Times New Roman" w:hAnsi="Times New Roman" w:eastAsia="SimSun" w:cs="Times New Roman"/>
          <w:sz w:val="24"/>
          <w:szCs w:val="24"/>
        </w:rPr>
        <w:t>854 orders</w:t>
      </w:r>
      <w:r>
        <w:rPr>
          <w:rFonts w:hint="default" w:ascii="Times New Roman" w:hAnsi="Times New Roman" w:eastAsia="SimSun" w:cs="Times New Roman"/>
          <w:sz w:val="24"/>
          <w:szCs w:val="24"/>
        </w:rPr>
        <w:t>), making them the main sources of delivery delays.</w:t>
      </w:r>
    </w:p>
    <w:p w14:paraId="61316176">
      <w:pPr>
        <w:pStyle w:val="34"/>
        <w:keepNext w:val="0"/>
        <w:keepLines w:val="0"/>
        <w:widowControl/>
        <w:numPr>
          <w:ilvl w:val="0"/>
          <w:numId w:val="0"/>
        </w:numPr>
        <w:suppressLineNumbers w:val="0"/>
        <w:ind w:leftChars="0"/>
      </w:pPr>
    </w:p>
    <w:p w14:paraId="40785120">
      <w:pPr>
        <w:pStyle w:val="34"/>
        <w:keepNext w:val="0"/>
        <w:keepLines w:val="0"/>
        <w:widowControl/>
        <w:numPr>
          <w:ilvl w:val="0"/>
          <w:numId w:val="15"/>
        </w:numPr>
        <w:suppressLineNumbers w:val="0"/>
        <w:ind w:left="420" w:leftChars="0" w:hanging="420" w:firstLineChars="0"/>
      </w:pPr>
      <w:r>
        <w:rPr>
          <w:rStyle w:val="35"/>
          <w:rFonts w:ascii="Calibri" w:hAnsi="Calibri"/>
          <w:sz w:val="22"/>
        </w:rPr>
        <w:t>Highest Business Impact:</w:t>
      </w:r>
      <w:r>
        <w:rPr>
          <w:rFonts w:ascii="Calibri" w:hAnsi="Calibri"/>
          <w:sz w:val="22"/>
        </w:rPr>
        <w:br w:type="textWrapping"/>
      </w:r>
      <w:r>
        <w:rPr>
          <w:rFonts w:ascii="Calibri" w:hAnsi="Calibri"/>
          <w:sz w:val="22"/>
        </w:rPr>
        <w:t xml:space="preserve">These two categories alone represent </w:t>
      </w:r>
      <w:r>
        <w:rPr>
          <w:rStyle w:val="35"/>
          <w:rFonts w:ascii="Calibri" w:hAnsi="Calibri"/>
          <w:sz w:val="22"/>
        </w:rPr>
        <w:t>over 20% of all delayed orders</w:t>
      </w:r>
      <w:r>
        <w:rPr>
          <w:rFonts w:ascii="Calibri" w:hAnsi="Calibri"/>
          <w:sz w:val="22"/>
        </w:rPr>
        <w:t>. Improving delivery performance in just these areas would significantly reduce overall delays and customer complaints.</w:t>
      </w:r>
    </w:p>
    <w:p w14:paraId="04B2A26C">
      <w:pPr>
        <w:pStyle w:val="34"/>
        <w:keepNext w:val="0"/>
        <w:keepLines w:val="0"/>
        <w:widowControl/>
        <w:suppressLineNumbers w:val="0"/>
        <w:rPr>
          <w:rtl/>
        </w:rPr>
      </w:pPr>
    </w:p>
    <w:p w14:paraId="67B4EF0C">
      <w:pPr>
        <w:pStyle w:val="4"/>
        <w:numPr>
          <w:ilvl w:val="0"/>
          <w:numId w:val="11"/>
        </w:numPr>
        <w:rPr>
          <w:rStyle w:val="35"/>
          <w:b w:val="0"/>
          <w:bCs w:val="0"/>
          <w:sz w:val="24"/>
          <w:szCs w:val="24"/>
        </w:rPr>
      </w:pPr>
      <w:r>
        <w:rPr>
          <w:rStyle w:val="35"/>
          <w:rFonts w:ascii="Calibri" w:hAnsi="Calibri"/>
          <w:b w:val="0"/>
          <w:bCs w:val="0"/>
          <w:sz w:val="24"/>
          <w:szCs w:val="24"/>
        </w:rPr>
        <w:t>Which sellers contribute the most to delivery delays?</w:t>
      </w:r>
    </w:p>
    <w:p w14:paraId="58800E00">
      <w:pPr>
        <w:pStyle w:val="34"/>
        <w:ind w:left="720"/>
        <w:rPr>
          <w:rFonts w:hint="default" w:cs="Times New Roman"/>
          <w:b/>
          <w:bCs/>
          <w:sz w:val="18"/>
          <w:szCs w:val="18"/>
          <w:rtl/>
          <w:lang w:val="en-US" w:bidi="ar-EG"/>
        </w:rPr>
      </w:pPr>
      <w:r>
        <w:rPr>
          <w:rFonts w:hint="default" w:ascii="Calibri" w:hAnsi="Calibri" w:cs="Times New Roman"/>
          <w:b/>
          <w:bCs/>
          <w:sz w:val="18"/>
          <w:szCs w:val="18"/>
          <w:rtl/>
          <w:lang w:val="en-US" w:bidi="ar-EG"/>
        </w:rPr>
        <w:drawing>
          <wp:inline distT="0" distB="0" distL="114300" distR="114300">
            <wp:extent cx="5286375" cy="2171700"/>
            <wp:effectExtent l="0" t="0" r="1905" b="7620"/>
            <wp:docPr id="43" name="Picture 43" descr="Screenshot 2026-02-09 13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shot 2026-02-09 133734"/>
                    <pic:cNvPicPr>
                      <a:picLocks noChangeAspect="1"/>
                    </pic:cNvPicPr>
                  </pic:nvPicPr>
                  <pic:blipFill>
                    <a:blip r:embed="rId19"/>
                    <a:stretch>
                      <a:fillRect/>
                    </a:stretch>
                  </pic:blipFill>
                  <pic:spPr>
                    <a:xfrm>
                      <a:off x="0" y="0"/>
                      <a:ext cx="5286375" cy="2171700"/>
                    </a:xfrm>
                    <a:prstGeom prst="rect">
                      <a:avLst/>
                    </a:prstGeom>
                  </pic:spPr>
                </pic:pic>
              </a:graphicData>
            </a:graphic>
          </wp:inline>
        </w:drawing>
      </w:r>
    </w:p>
    <w:p w14:paraId="5C45736C">
      <w:pPr>
        <w:pStyle w:val="34"/>
        <w:ind w:left="720"/>
        <w:rPr>
          <w:b/>
          <w:bCs/>
          <w:sz w:val="18"/>
          <w:szCs w:val="18"/>
        </w:rPr>
      </w:pPr>
    </w:p>
    <w:p w14:paraId="283296DF">
      <w:pPr>
        <w:pStyle w:val="34"/>
      </w:pPr>
      <w:r>
        <w:rPr>
          <w:rFonts w:ascii="Calibri" w:hAnsi="Calibri"/>
          <w:b/>
          <w:bCs/>
          <w:sz w:val="22"/>
        </w:rPr>
        <w:t>Key Insights:</w:t>
      </w:r>
    </w:p>
    <w:p w14:paraId="577CBEEA">
      <w:pPr>
        <w:spacing w:before="100" w:beforeAutospacing="1" w:after="100" w:afterAutospacing="1" w:line="240" w:lineRule="auto"/>
        <w:rPr>
          <w:rFonts w:ascii="Times New Roman" w:hAnsi="Times New Roman" w:eastAsia="Times New Roman" w:cs="Times New Roman"/>
          <w:sz w:val="20"/>
          <w:szCs w:val="20"/>
          <w:rtl/>
        </w:rPr>
      </w:pPr>
      <w:r>
        <w:rPr>
          <w:rFonts w:ascii="Times New Roman" w:hAnsi="Times New Roman" w:eastAsia="Times New Roman" w:cs="Times New Roman"/>
          <w:sz w:val="20"/>
          <w:szCs w:val="20"/>
          <w:rtl/>
        </w:rPr>
        <w:tab/>
      </w:r>
      <w:r>
        <w:rPr>
          <w:rFonts w:ascii="Times New Roman" w:hAnsi="Times New Roman" w:eastAsia="Times New Roman" w:cs="Times New Roman"/>
          <w:sz w:val="20"/>
          <w:szCs w:val="20"/>
        </w:rPr>
        <w:t xml:space="preserve">Seller Performance Gap: A clear outlier exists, with the top underperforming seller delaying nearly </w:t>
      </w:r>
      <w:r>
        <w:rPr>
          <w:rFonts w:ascii="Times New Roman" w:hAnsi="Times New Roman" w:eastAsia="Times New Roman" w:cs="Times New Roman"/>
          <w:sz w:val="20"/>
          <w:szCs w:val="20"/>
          <w:rtl/>
        </w:rPr>
        <w:tab/>
      </w:r>
      <w:r>
        <w:rPr>
          <w:rFonts w:ascii="Times New Roman" w:hAnsi="Times New Roman" w:eastAsia="Times New Roman" w:cs="Times New Roman"/>
          <w:sz w:val="20"/>
          <w:szCs w:val="20"/>
        </w:rPr>
        <w:t>1 in 4 orders (24.3%), identifying a critical target for immediate intervention or suspension.</w:t>
      </w:r>
    </w:p>
    <w:p w14:paraId="6A1B9614">
      <w:pPr>
        <w:pStyle w:val="4"/>
        <w:numPr>
          <w:ilvl w:val="0"/>
          <w:numId w:val="11"/>
        </w:numPr>
        <w:rPr>
          <w:rStyle w:val="35"/>
          <w:b w:val="0"/>
          <w:bCs w:val="0"/>
          <w:sz w:val="24"/>
          <w:szCs w:val="24"/>
        </w:rPr>
      </w:pPr>
      <w:r>
        <w:rPr>
          <w:rStyle w:val="35"/>
          <w:rFonts w:ascii="Calibri" w:hAnsi="Calibri"/>
          <w:b w:val="0"/>
          <w:bCs w:val="0"/>
          <w:sz w:val="24"/>
          <w:szCs w:val="24"/>
        </w:rPr>
        <w:t>What percentage of customers make repeat purchases?</w:t>
      </w:r>
    </w:p>
    <w:p w14:paraId="73DBFE4C">
      <w:pPr>
        <w:pStyle w:val="34"/>
        <w:ind w:left="720"/>
        <w:rPr>
          <w:rStyle w:val="35"/>
          <w:rFonts w:hint="cs" w:cs="Times New Roman"/>
          <w:b w:val="0"/>
          <w:bCs w:val="0"/>
          <w:sz w:val="20"/>
          <w:szCs w:val="20"/>
          <w:rtl/>
          <w:lang w:val="en-US" w:bidi="ar-EG"/>
        </w:rPr>
      </w:pPr>
      <w:r>
        <w:rPr>
          <w:rStyle w:val="35"/>
          <w:rFonts w:ascii="Calibri" w:hAnsi="Calibri"/>
          <w:b w:val="0"/>
          <w:bCs w:val="0"/>
          <w:sz w:val="20"/>
          <w:szCs w:val="20"/>
          <w:rtl/>
        </w:rPr>
        <w:tab/>
      </w:r>
      <w:r>
        <w:rPr>
          <w:rStyle w:val="35"/>
          <w:rFonts w:hint="default" w:ascii="Calibri" w:hAnsi="Calibri"/>
          <w:b w:val="0"/>
          <w:bCs w:val="0"/>
          <w:sz w:val="20"/>
          <w:szCs w:val="20"/>
          <w:rtl/>
          <w:lang w:val="en-US"/>
        </w:rPr>
        <w:drawing>
          <wp:inline distT="0" distB="0" distL="114300" distR="114300">
            <wp:extent cx="2209800" cy="514350"/>
            <wp:effectExtent l="0" t="0" r="0" b="3810"/>
            <wp:docPr id="44" name="Picture 44" descr="Screenshot 2026-02-09 13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creenshot 2026-02-09 133850"/>
                    <pic:cNvPicPr>
                      <a:picLocks noChangeAspect="1"/>
                    </pic:cNvPicPr>
                  </pic:nvPicPr>
                  <pic:blipFill>
                    <a:blip r:embed="rId20"/>
                    <a:stretch>
                      <a:fillRect/>
                    </a:stretch>
                  </pic:blipFill>
                  <pic:spPr>
                    <a:xfrm>
                      <a:off x="0" y="0"/>
                      <a:ext cx="2209800" cy="514350"/>
                    </a:xfrm>
                    <a:prstGeom prst="rect">
                      <a:avLst/>
                    </a:prstGeom>
                  </pic:spPr>
                </pic:pic>
              </a:graphicData>
            </a:graphic>
          </wp:inline>
        </w:drawing>
      </w:r>
      <w:r>
        <w:rPr>
          <w:rStyle w:val="35"/>
          <w:rFonts w:hint="cs" w:ascii="Calibri" w:hAnsi="Calibri" w:cs="Times New Roman"/>
          <w:b w:val="0"/>
          <w:bCs w:val="0"/>
          <w:sz w:val="20"/>
          <w:szCs w:val="20"/>
          <w:rtl/>
          <w:lang w:val="en-US" w:bidi="ar-EG"/>
        </w:rPr>
        <w:drawing>
          <wp:inline distT="0" distB="0" distL="114300" distR="114300">
            <wp:extent cx="1783715" cy="973455"/>
            <wp:effectExtent l="0" t="0" r="14605" b="1905"/>
            <wp:docPr id="45" name="Picture 45" descr="Screenshot 2026-02-09 134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creenshot 2026-02-09 134130"/>
                    <pic:cNvPicPr>
                      <a:picLocks noChangeAspect="1"/>
                    </pic:cNvPicPr>
                  </pic:nvPicPr>
                  <pic:blipFill>
                    <a:blip r:embed="rId21"/>
                    <a:stretch>
                      <a:fillRect/>
                    </a:stretch>
                  </pic:blipFill>
                  <pic:spPr>
                    <a:xfrm>
                      <a:off x="0" y="0"/>
                      <a:ext cx="1783715" cy="973455"/>
                    </a:xfrm>
                    <a:prstGeom prst="rect">
                      <a:avLst/>
                    </a:prstGeom>
                  </pic:spPr>
                </pic:pic>
              </a:graphicData>
            </a:graphic>
          </wp:inline>
        </w:drawing>
      </w:r>
    </w:p>
    <w:p w14:paraId="686A126E">
      <w:pPr>
        <w:pStyle w:val="34"/>
        <w:rPr>
          <w:b/>
          <w:bCs/>
          <w:rtl/>
        </w:rPr>
      </w:pPr>
      <w:r>
        <w:rPr>
          <w:rFonts w:ascii="Calibri" w:hAnsi="Calibri"/>
          <w:b/>
          <w:bCs/>
          <w:sz w:val="22"/>
        </w:rPr>
        <w:t>Key Insights:</w:t>
      </w:r>
    </w:p>
    <w:p w14:paraId="32A59A56">
      <w:pPr>
        <w:pStyle w:val="34"/>
        <w:rPr>
          <w:b/>
          <w:bCs/>
          <w:sz w:val="18"/>
          <w:szCs w:val="18"/>
          <w:rtl/>
        </w:rPr>
      </w:pPr>
      <w:r>
        <w:rPr>
          <w:rFonts w:ascii="Calibri" w:hAnsi="Calibri"/>
          <w:b/>
          <w:bCs/>
          <w:sz w:val="18"/>
          <w:szCs w:val="18"/>
        </w:rPr>
        <w:t>Low Retention Warning: With only 3% of customers returning for a second purchase, the business relies heavily on one-time transactions, signaling a critical need for loyalty programs to boost Customer Lifetime Value.</w:t>
      </w:r>
    </w:p>
    <w:p w14:paraId="689E4730">
      <w:pPr>
        <w:pStyle w:val="4"/>
        <w:numPr>
          <w:ilvl w:val="0"/>
          <w:numId w:val="11"/>
        </w:numPr>
        <w:rPr>
          <w:sz w:val="28"/>
          <w:szCs w:val="28"/>
        </w:rPr>
      </w:pPr>
      <w:r>
        <w:rPr>
          <w:rStyle w:val="35"/>
          <w:rFonts w:ascii="Calibri" w:hAnsi="Calibri"/>
          <w:b w:val="0"/>
          <w:bCs w:val="0"/>
          <w:sz w:val="22"/>
        </w:rPr>
        <w:t>Do customers who experience late deliveries return to purchase less often?</w:t>
      </w:r>
    </w:p>
    <w:p w14:paraId="2D4B48E6">
      <w:pPr>
        <w:pStyle w:val="34"/>
        <w:rPr>
          <w:rFonts w:hint="cs" w:cs="Times New Roman"/>
          <w:sz w:val="20"/>
          <w:szCs w:val="20"/>
          <w:lang w:bidi="ar-EG"/>
        </w:rPr>
      </w:pPr>
      <w:r>
        <w:rPr>
          <w:rFonts w:ascii="Calibri" w:hAnsi="Calibri"/>
          <w:sz w:val="20"/>
          <w:szCs w:val="20"/>
          <w:rtl/>
        </w:rPr>
        <w:tab/>
      </w:r>
      <w:r>
        <w:rPr>
          <w:rFonts w:hint="cs" w:ascii="Calibri" w:hAnsi="Calibri" w:cs="Times New Roman"/>
          <w:sz w:val="20"/>
          <w:szCs w:val="20"/>
          <w:lang w:bidi="ar-EG"/>
        </w:rPr>
        <w:drawing>
          <wp:inline distT="0" distB="0" distL="114300" distR="114300">
            <wp:extent cx="2426335" cy="2051050"/>
            <wp:effectExtent l="0" t="0" r="12065" b="6350"/>
            <wp:docPr id="46" name="Picture 46" descr="Screenshot 2026-02-09 134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 2026-02-09 134344"/>
                    <pic:cNvPicPr>
                      <a:picLocks noChangeAspect="1"/>
                    </pic:cNvPicPr>
                  </pic:nvPicPr>
                  <pic:blipFill>
                    <a:blip r:embed="rId22"/>
                    <a:stretch>
                      <a:fillRect/>
                    </a:stretch>
                  </pic:blipFill>
                  <pic:spPr>
                    <a:xfrm>
                      <a:off x="0" y="0"/>
                      <a:ext cx="2426335" cy="2051050"/>
                    </a:xfrm>
                    <a:prstGeom prst="rect">
                      <a:avLst/>
                    </a:prstGeom>
                  </pic:spPr>
                </pic:pic>
              </a:graphicData>
            </a:graphic>
          </wp:inline>
        </w:drawing>
      </w:r>
      <w:r>
        <w:rPr>
          <w:rFonts w:hint="cs" w:ascii="Calibri" w:hAnsi="Calibri" w:cs="Times New Roman"/>
          <w:sz w:val="20"/>
          <w:szCs w:val="20"/>
          <w:lang w:bidi="ar-EG"/>
        </w:rPr>
        <w:drawing>
          <wp:inline distT="0" distB="0" distL="114300" distR="114300">
            <wp:extent cx="4359910" cy="645795"/>
            <wp:effectExtent l="0" t="0" r="13970" b="9525"/>
            <wp:docPr id="47" name="Picture 47" descr="Screenshot 2026-02-09 13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creenshot 2026-02-09 134331"/>
                    <pic:cNvPicPr>
                      <a:picLocks noChangeAspect="1"/>
                    </pic:cNvPicPr>
                  </pic:nvPicPr>
                  <pic:blipFill>
                    <a:blip r:embed="rId23"/>
                    <a:stretch>
                      <a:fillRect/>
                    </a:stretch>
                  </pic:blipFill>
                  <pic:spPr>
                    <a:xfrm>
                      <a:off x="0" y="0"/>
                      <a:ext cx="4359910" cy="645795"/>
                    </a:xfrm>
                    <a:prstGeom prst="rect">
                      <a:avLst/>
                    </a:prstGeom>
                  </pic:spPr>
                </pic:pic>
              </a:graphicData>
            </a:graphic>
          </wp:inline>
        </w:drawing>
      </w:r>
    </w:p>
    <w:p w14:paraId="1B338D81">
      <w:pPr>
        <w:pStyle w:val="34"/>
        <w:rPr>
          <w:b/>
          <w:bCs/>
          <w:rtl/>
        </w:rPr>
      </w:pPr>
      <w:r>
        <w:rPr>
          <w:rFonts w:ascii="Calibri" w:hAnsi="Calibri"/>
          <w:b/>
          <w:bCs/>
          <w:sz w:val="22"/>
        </w:rPr>
        <w:t>Key Insights:</w:t>
      </w:r>
    </w:p>
    <w:p w14:paraId="2E65EF02">
      <w:pPr>
        <w:pStyle w:val="34"/>
        <w:rPr>
          <w:rFonts w:hint="cs" w:cs="Times New Roman"/>
          <w:sz w:val="20"/>
          <w:szCs w:val="20"/>
          <w:lang w:bidi="ar-EG"/>
        </w:rPr>
      </w:pPr>
    </w:p>
    <w:p w14:paraId="5DC463C6">
      <w:pPr>
        <w:pStyle w:val="34"/>
        <w:keepNext w:val="0"/>
        <w:keepLines w:val="0"/>
        <w:widowControl/>
        <w:suppressLineNumbers w:val="0"/>
      </w:pPr>
      <w:r>
        <w:rPr>
          <w:rFonts w:ascii="Calibri" w:hAnsi="Calibri"/>
          <w:sz w:val="22"/>
        </w:rPr>
        <w:t>The analysis reveals a clear relationship between delivery speed and customer retention.</w:t>
      </w:r>
    </w:p>
    <w:p w14:paraId="2D446649">
      <w:pPr>
        <w:pStyle w:val="34"/>
        <w:keepNext w:val="0"/>
        <w:keepLines w:val="0"/>
        <w:widowControl/>
        <w:numPr>
          <w:ilvl w:val="0"/>
          <w:numId w:val="16"/>
        </w:numPr>
        <w:suppressLineNumbers w:val="0"/>
        <w:ind w:left="420" w:leftChars="0" w:hanging="420" w:firstLineChars="0"/>
      </w:pPr>
      <w:r>
        <w:rPr>
          <w:rStyle w:val="35"/>
          <w:rFonts w:ascii="Calibri" w:hAnsi="Calibri"/>
          <w:sz w:val="22"/>
        </w:rPr>
        <w:t>Customer Behavior Insight:</w:t>
      </w:r>
      <w:r>
        <w:rPr>
          <w:rFonts w:ascii="Calibri" w:hAnsi="Calibri"/>
          <w:sz w:val="22"/>
        </w:rPr>
        <w:br w:type="textWrapping"/>
      </w:r>
      <w:r>
        <w:rPr>
          <w:rFonts w:ascii="Calibri" w:hAnsi="Calibri"/>
          <w:sz w:val="22"/>
        </w:rPr>
        <w:t xml:space="preserve">Around </w:t>
      </w:r>
      <w:r>
        <w:rPr>
          <w:rStyle w:val="35"/>
          <w:rFonts w:ascii="Calibri" w:hAnsi="Calibri"/>
          <w:sz w:val="22"/>
        </w:rPr>
        <w:t>89% of repeat customers</w:t>
      </w:r>
      <w:r>
        <w:rPr>
          <w:rFonts w:ascii="Calibri" w:hAnsi="Calibri"/>
          <w:sz w:val="22"/>
        </w:rPr>
        <w:t xml:space="preserve"> come from orders delivered </w:t>
      </w:r>
      <w:r>
        <w:rPr>
          <w:rStyle w:val="35"/>
          <w:rFonts w:ascii="Calibri" w:hAnsi="Calibri"/>
          <w:sz w:val="22"/>
        </w:rPr>
        <w:t>on time</w:t>
      </w:r>
      <w:r>
        <w:rPr>
          <w:rFonts w:ascii="Calibri" w:hAnsi="Calibri"/>
          <w:sz w:val="22"/>
        </w:rPr>
        <w:t>, indicating that positive delivery experiences drive loyalty.</w:t>
      </w:r>
    </w:p>
    <w:p w14:paraId="7A709E9B">
      <w:pPr>
        <w:pStyle w:val="34"/>
        <w:keepNext w:val="0"/>
        <w:keepLines w:val="0"/>
        <w:widowControl/>
        <w:numPr>
          <w:ilvl w:val="0"/>
          <w:numId w:val="0"/>
        </w:numPr>
        <w:suppressLineNumbers w:val="0"/>
        <w:ind w:leftChars="0"/>
      </w:pPr>
    </w:p>
    <w:p w14:paraId="723F63A9">
      <w:pPr>
        <w:pStyle w:val="34"/>
        <w:keepNext w:val="0"/>
        <w:keepLines w:val="0"/>
        <w:widowControl/>
        <w:numPr>
          <w:ilvl w:val="0"/>
          <w:numId w:val="16"/>
        </w:numPr>
        <w:suppressLineNumbers w:val="0"/>
        <w:ind w:left="420" w:leftChars="0" w:hanging="420" w:firstLineChars="0"/>
      </w:pPr>
      <w:r>
        <w:rPr>
          <w:rStyle w:val="35"/>
          <w:rFonts w:ascii="Calibri" w:hAnsi="Calibri"/>
          <w:sz w:val="22"/>
        </w:rPr>
        <w:t>Business Impact:</w:t>
      </w:r>
      <w:r>
        <w:rPr>
          <w:rFonts w:ascii="Calibri" w:hAnsi="Calibri"/>
          <w:sz w:val="22"/>
        </w:rPr>
        <w:br w:type="textWrapping"/>
      </w:r>
      <w:r>
        <w:rPr>
          <w:rFonts w:ascii="Calibri" w:hAnsi="Calibri"/>
          <w:sz w:val="22"/>
        </w:rPr>
        <w:t xml:space="preserve">Customers who experience delivery delays account for only </w:t>
      </w:r>
      <w:r>
        <w:rPr>
          <w:rStyle w:val="35"/>
          <w:rFonts w:ascii="Calibri" w:hAnsi="Calibri"/>
          <w:sz w:val="22"/>
        </w:rPr>
        <w:t>~11% of repeat purchases</w:t>
      </w:r>
      <w:r>
        <w:rPr>
          <w:rFonts w:ascii="Calibri" w:hAnsi="Calibri"/>
          <w:sz w:val="22"/>
        </w:rPr>
        <w:t xml:space="preserve">, confirming that </w:t>
      </w:r>
      <w:r>
        <w:rPr>
          <w:rStyle w:val="35"/>
          <w:rFonts w:ascii="Calibri" w:hAnsi="Calibri"/>
          <w:sz w:val="22"/>
        </w:rPr>
        <w:t>logistics performance is a key driver of Customer Lifetime Value (CLV)</w:t>
      </w:r>
      <w:r>
        <w:rPr>
          <w:rFonts w:ascii="Calibri" w:hAnsi="Calibri"/>
          <w:sz w:val="22"/>
        </w:rPr>
        <w:t>.</w:t>
      </w:r>
    </w:p>
    <w:p w14:paraId="404C3868">
      <w:pPr>
        <w:keepNext w:val="0"/>
        <w:keepLines w:val="0"/>
        <w:widowControl/>
        <w:numPr>
          <w:ilvl w:val="0"/>
          <w:numId w:val="0"/>
        </w:numPr>
        <w:suppressLineNumbers w:val="0"/>
        <w:spacing w:before="0" w:beforeAutospacing="1" w:after="0" w:afterAutospacing="1"/>
        <w:ind w:left="1080" w:leftChars="0"/>
      </w:pPr>
    </w:p>
    <w:p w14:paraId="1AE1EC19">
      <w:pPr>
        <w:pStyle w:val="34"/>
        <w:numPr>
          <w:ilvl w:val="0"/>
          <w:numId w:val="0"/>
        </w:numPr>
        <w:ind w:leftChars="0"/>
        <w:rPr>
          <w:rFonts w:hint="cs" w:ascii="Times New Roman" w:hAnsi="Times New Roman" w:cs="Times New Roman"/>
          <w:sz w:val="20"/>
          <w:szCs w:val="20"/>
          <w:lang w:val="en-US" w:bidi="ar-EG"/>
        </w:rPr>
      </w:pPr>
    </w:p>
    <w:p w14:paraId="60A4D293">
      <w:pPr>
        <w:pStyle w:val="4"/>
        <w:numPr>
          <w:ilvl w:val="0"/>
          <w:numId w:val="11"/>
        </w:numPr>
        <w:rPr>
          <w:rStyle w:val="35"/>
          <w:b/>
          <w:bCs/>
          <w:rtl/>
        </w:rPr>
      </w:pPr>
      <w:r>
        <w:rPr>
          <w:rStyle w:val="35"/>
          <w:rFonts w:ascii="Calibri" w:hAnsi="Calibri"/>
          <w:b w:val="0"/>
          <w:bCs w:val="0"/>
          <w:sz w:val="22"/>
        </w:rPr>
        <w:t>Which months show the highest delivery delay rates?</w:t>
      </w:r>
    </w:p>
    <w:p w14:paraId="4994BCCB">
      <w:pPr>
        <w:pStyle w:val="145"/>
        <w:spacing w:before="100" w:beforeAutospacing="1" w:after="100" w:afterAutospacing="1" w:line="240" w:lineRule="auto"/>
        <w:rPr>
          <w:rFonts w:hint="cs" w:ascii="Times New Roman" w:hAnsi="Times New Roman" w:eastAsia="Times New Roman" w:cstheme="minorBidi"/>
          <w:sz w:val="20"/>
          <w:szCs w:val="20"/>
          <w:rtl/>
          <w:lang w:bidi="ar-EG"/>
        </w:rPr>
      </w:pPr>
      <w:r>
        <w:rPr>
          <w:rFonts w:ascii="Calibri" w:hAnsi="Calibri"/>
          <w:sz w:val="22"/>
        </w:rPr>
        <w:drawing>
          <wp:inline distT="0" distB="0" distL="114300" distR="114300">
            <wp:extent cx="3994785" cy="2153285"/>
            <wp:effectExtent l="0" t="0" r="13335" b="10795"/>
            <wp:docPr id="48" name="Picture 48" descr="Screenshot 2026-02-09 13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creenshot 2026-02-09 134828"/>
                    <pic:cNvPicPr>
                      <a:picLocks noChangeAspect="1"/>
                    </pic:cNvPicPr>
                  </pic:nvPicPr>
                  <pic:blipFill>
                    <a:blip r:embed="rId24"/>
                    <a:stretch>
                      <a:fillRect/>
                    </a:stretch>
                  </pic:blipFill>
                  <pic:spPr>
                    <a:xfrm>
                      <a:off x="0" y="0"/>
                      <a:ext cx="3994785" cy="2153285"/>
                    </a:xfrm>
                    <a:prstGeom prst="rect">
                      <a:avLst/>
                    </a:prstGeom>
                  </pic:spPr>
                </pic:pic>
              </a:graphicData>
            </a:graphic>
          </wp:inline>
        </w:drawing>
      </w:r>
      <w:r>
        <w:rPr>
          <w:rFonts w:ascii="Calibri" w:hAnsi="Calibri"/>
          <w:sz w:val="22"/>
        </w:rPr>
        <w:drawing>
          <wp:inline distT="0" distB="0" distL="114300" distR="114300">
            <wp:extent cx="3981450" cy="2352675"/>
            <wp:effectExtent l="0" t="0" r="11430" b="9525"/>
            <wp:docPr id="49" name="Picture 49" descr="Screenshot 2026-02-09 13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reenshot 2026-02-09 134844"/>
                    <pic:cNvPicPr>
                      <a:picLocks noChangeAspect="1"/>
                    </pic:cNvPicPr>
                  </pic:nvPicPr>
                  <pic:blipFill>
                    <a:blip r:embed="rId25"/>
                    <a:stretch>
                      <a:fillRect/>
                    </a:stretch>
                  </pic:blipFill>
                  <pic:spPr>
                    <a:xfrm>
                      <a:off x="0" y="0"/>
                      <a:ext cx="3981450" cy="2352675"/>
                    </a:xfrm>
                    <a:prstGeom prst="rect">
                      <a:avLst/>
                    </a:prstGeom>
                  </pic:spPr>
                </pic:pic>
              </a:graphicData>
            </a:graphic>
          </wp:inline>
        </w:drawing>
      </w:r>
      <w:r>
        <w:rPr>
          <w:rFonts w:hint="cs" w:ascii="Times New Roman" w:hAnsi="Times New Roman" w:eastAsia="Times New Roman" w:cstheme="minorBidi"/>
          <w:sz w:val="20"/>
          <w:szCs w:val="20"/>
          <w:rtl/>
          <w:lang w:bidi="ar-EG"/>
        </w:rPr>
        <w:drawing>
          <wp:inline distT="0" distB="0" distL="114300" distR="114300">
            <wp:extent cx="4638675" cy="2276475"/>
            <wp:effectExtent l="0" t="0" r="9525" b="9525"/>
            <wp:docPr id="50" name="Picture 50" descr="Screenshot 2026-02-09 13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Screenshot 2026-02-09 134945"/>
                    <pic:cNvPicPr>
                      <a:picLocks noChangeAspect="1"/>
                    </pic:cNvPicPr>
                  </pic:nvPicPr>
                  <pic:blipFill>
                    <a:blip r:embed="rId26"/>
                    <a:stretch>
                      <a:fillRect/>
                    </a:stretch>
                  </pic:blipFill>
                  <pic:spPr>
                    <a:xfrm>
                      <a:off x="0" y="0"/>
                      <a:ext cx="4638675" cy="2276475"/>
                    </a:xfrm>
                    <a:prstGeom prst="rect">
                      <a:avLst/>
                    </a:prstGeom>
                  </pic:spPr>
                </pic:pic>
              </a:graphicData>
            </a:graphic>
          </wp:inline>
        </w:drawing>
      </w:r>
    </w:p>
    <w:p w14:paraId="06E1A9F8">
      <w:pPr>
        <w:pStyle w:val="145"/>
        <w:spacing w:before="100" w:beforeAutospacing="1" w:after="100" w:afterAutospacing="1" w:line="240" w:lineRule="auto"/>
        <w:rPr>
          <w:rFonts w:ascii="Times New Roman" w:hAnsi="Times New Roman" w:eastAsia="Times New Roman" w:cs="Times New Roman"/>
          <w:sz w:val="20"/>
          <w:szCs w:val="20"/>
          <w:rtl/>
        </w:rPr>
      </w:pPr>
    </w:p>
    <w:p w14:paraId="3B945470">
      <w:pPr>
        <w:pStyle w:val="34"/>
      </w:pPr>
      <w:r>
        <w:rPr>
          <w:rFonts w:ascii="Calibri" w:hAnsi="Calibri"/>
          <w:b/>
          <w:bCs/>
          <w:sz w:val="22"/>
        </w:rPr>
        <w:t>Key Insights:</w:t>
      </w:r>
    </w:p>
    <w:p w14:paraId="44782B66">
      <w:pPr>
        <w:pStyle w:val="34"/>
        <w:numPr>
          <w:ilvl w:val="0"/>
          <w:numId w:val="17"/>
        </w:numPr>
      </w:pPr>
      <w:r>
        <w:rPr>
          <w:rFonts w:ascii="Calibri" w:hAnsi="Calibri"/>
          <w:sz w:val="22"/>
        </w:rPr>
        <w:t>Logistics Disruption (Late 2017 – Early 2018): A major disruption impacted the supply chain during this period, peaking in March 2018 with a 21.6% delivery delay rate.</w:t>
      </w:r>
    </w:p>
    <w:p w14:paraId="5125B24F">
      <w:pPr>
        <w:pStyle w:val="34"/>
        <w:numPr>
          <w:ilvl w:val="0"/>
          <w:numId w:val="17"/>
        </w:numPr>
      </w:pPr>
      <w:r>
        <w:rPr>
          <w:rFonts w:ascii="Calibri" w:hAnsi="Calibri"/>
          <w:b/>
          <w:bCs/>
          <w:sz w:val="22"/>
        </w:rPr>
        <w:t>System Overload:</w:t>
      </w:r>
      <w:r>
        <w:rPr>
          <w:rFonts w:ascii="Calibri" w:hAnsi="Calibri"/>
          <w:sz w:val="22"/>
        </w:rPr>
        <w:t xml:space="preserve"> The spike began in </w:t>
      </w:r>
      <w:r>
        <w:rPr>
          <w:rFonts w:ascii="Calibri" w:hAnsi="Calibri"/>
          <w:b/>
          <w:bCs/>
          <w:sz w:val="22"/>
        </w:rPr>
        <w:t>Nov 2017</w:t>
      </w:r>
      <w:r>
        <w:rPr>
          <w:rFonts w:ascii="Calibri" w:hAnsi="Calibri"/>
          <w:sz w:val="22"/>
        </w:rPr>
        <w:t xml:space="preserve"> (</w:t>
      </w:r>
      <w:r>
        <w:rPr>
          <w:rFonts w:ascii="Calibri" w:hAnsi="Calibri"/>
          <w:b/>
          <w:bCs/>
          <w:sz w:val="22"/>
        </w:rPr>
        <w:t>14.1%</w:t>
      </w:r>
      <w:r>
        <w:rPr>
          <w:rFonts w:ascii="Calibri" w:hAnsi="Calibri"/>
          <w:sz w:val="22"/>
        </w:rPr>
        <w:t>), likely triggered by Black Friday volume, but the failure to recover for months suggests a deeper external issue or carrier collapse.</w:t>
      </w:r>
    </w:p>
    <w:p w14:paraId="53444578">
      <w:pPr>
        <w:pStyle w:val="4"/>
        <w:numPr>
          <w:ilvl w:val="0"/>
          <w:numId w:val="11"/>
        </w:numPr>
        <w:rPr>
          <w:b w:val="0"/>
          <w:bCs w:val="0"/>
        </w:rPr>
      </w:pPr>
      <w:r>
        <w:rPr>
          <w:rFonts w:ascii="Calibri" w:hAnsi="Calibri"/>
          <w:b w:val="0"/>
          <w:bCs w:val="0"/>
          <w:sz w:val="22"/>
          <w:highlight w:val="white"/>
        </w:rPr>
        <w:t>Are non-completion or cancellation rates associated with payment method?</w:t>
      </w:r>
    </w:p>
    <w:p w14:paraId="559BC0E7">
      <w:pPr>
        <w:pStyle w:val="34"/>
        <w:ind w:left="720"/>
      </w:pPr>
    </w:p>
    <w:p w14:paraId="7456BB62">
      <w:pPr>
        <w:pStyle w:val="145"/>
        <w:spacing w:before="100" w:beforeAutospacing="1" w:after="100" w:afterAutospacing="1" w:line="240" w:lineRule="auto"/>
        <w:rPr>
          <w:rFonts w:hint="cs" w:ascii="Times New Roman" w:hAnsi="Times New Roman" w:eastAsia="Times New Roman" w:cstheme="minorBidi"/>
          <w:sz w:val="20"/>
          <w:szCs w:val="20"/>
          <w:rtl/>
          <w:lang w:bidi="ar-EG"/>
        </w:rPr>
      </w:pPr>
      <w:r>
        <w:rPr>
          <w:rFonts w:ascii="Calibri" w:hAnsi="Calibri"/>
          <w:sz w:val="22"/>
        </w:rPr>
        <w:drawing>
          <wp:inline distT="0" distB="0" distL="114300" distR="114300">
            <wp:extent cx="4619625" cy="1247775"/>
            <wp:effectExtent l="0" t="0" r="13335" b="1905"/>
            <wp:docPr id="51" name="Picture 51" descr="Screenshot 2026-02-09 140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Screenshot 2026-02-09 140905"/>
                    <pic:cNvPicPr>
                      <a:picLocks noChangeAspect="1"/>
                    </pic:cNvPicPr>
                  </pic:nvPicPr>
                  <pic:blipFill>
                    <a:blip r:embed="rId27"/>
                    <a:stretch>
                      <a:fillRect/>
                    </a:stretch>
                  </pic:blipFill>
                  <pic:spPr>
                    <a:xfrm>
                      <a:off x="0" y="0"/>
                      <a:ext cx="4619625" cy="1247775"/>
                    </a:xfrm>
                    <a:prstGeom prst="rect">
                      <a:avLst/>
                    </a:prstGeom>
                  </pic:spPr>
                </pic:pic>
              </a:graphicData>
            </a:graphic>
          </wp:inline>
        </w:drawing>
      </w:r>
      <w:r>
        <w:rPr>
          <w:rFonts w:hint="cs" w:ascii="Times New Roman" w:hAnsi="Times New Roman" w:eastAsia="Times New Roman" w:cstheme="minorBidi"/>
          <w:sz w:val="20"/>
          <w:szCs w:val="20"/>
          <w:rtl/>
          <w:lang w:bidi="ar-EG"/>
        </w:rPr>
        <w:drawing>
          <wp:inline distT="0" distB="0" distL="114300" distR="114300">
            <wp:extent cx="4625340" cy="2118360"/>
            <wp:effectExtent l="0" t="0" r="7620" b="0"/>
            <wp:docPr id="52" name="Picture 52" descr="Screenshot 2026-02-09 140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creenshot 2026-02-09 140946"/>
                    <pic:cNvPicPr>
                      <a:picLocks noChangeAspect="1"/>
                    </pic:cNvPicPr>
                  </pic:nvPicPr>
                  <pic:blipFill>
                    <a:blip r:embed="rId28"/>
                    <a:stretch>
                      <a:fillRect/>
                    </a:stretch>
                  </pic:blipFill>
                  <pic:spPr>
                    <a:xfrm>
                      <a:off x="0" y="0"/>
                      <a:ext cx="4625340" cy="2118360"/>
                    </a:xfrm>
                    <a:prstGeom prst="rect">
                      <a:avLst/>
                    </a:prstGeom>
                  </pic:spPr>
                </pic:pic>
              </a:graphicData>
            </a:graphic>
          </wp:inline>
        </w:drawing>
      </w:r>
    </w:p>
    <w:p w14:paraId="6B9667AB">
      <w:pPr>
        <w:pStyle w:val="145"/>
        <w:spacing w:before="100" w:beforeAutospacing="1" w:after="100" w:afterAutospacing="1" w:line="240" w:lineRule="auto"/>
        <w:rPr>
          <w:rFonts w:ascii="Times New Roman" w:hAnsi="Times New Roman" w:eastAsia="Times New Roman" w:cs="Times New Roman"/>
          <w:sz w:val="20"/>
          <w:szCs w:val="20"/>
          <w:rtl/>
        </w:rPr>
      </w:pPr>
    </w:p>
    <w:p w14:paraId="72D18840">
      <w:pPr>
        <w:pStyle w:val="34"/>
      </w:pPr>
      <w:r>
        <w:rPr>
          <w:rFonts w:ascii="Calibri" w:hAnsi="Calibri"/>
          <w:b/>
          <w:bCs/>
          <w:sz w:val="22"/>
        </w:rPr>
        <w:t>Key Insights:</w:t>
      </w:r>
    </w:p>
    <w:p w14:paraId="6B6503A5">
      <w:pPr>
        <w:pStyle w:val="34"/>
        <w:numPr>
          <w:ilvl w:val="0"/>
          <w:numId w:val="18"/>
        </w:numPr>
      </w:pPr>
      <w:r>
        <w:rPr>
          <w:rFonts w:ascii="Calibri" w:hAnsi="Calibri"/>
          <w:b/>
          <w:bCs/>
          <w:sz w:val="22"/>
        </w:rPr>
        <w:t>System Stability:</w:t>
      </w:r>
      <w:r>
        <w:rPr>
          <w:rFonts w:ascii="Calibri" w:hAnsi="Calibri"/>
          <w:sz w:val="22"/>
        </w:rPr>
        <w:t xml:space="preserve"> There is no significant correlation between payment methods and order failure. Major methods like </w:t>
      </w:r>
      <w:r>
        <w:rPr>
          <w:rFonts w:ascii="Calibri" w:hAnsi="Calibri"/>
          <w:b/>
          <w:bCs/>
          <w:sz w:val="22"/>
        </w:rPr>
        <w:t>Credit Cards</w:t>
      </w:r>
      <w:r>
        <w:rPr>
          <w:rFonts w:ascii="Calibri" w:hAnsi="Calibri"/>
          <w:sz w:val="22"/>
        </w:rPr>
        <w:t xml:space="preserve"> and </w:t>
      </w:r>
      <w:r>
        <w:rPr>
          <w:rFonts w:ascii="Calibri" w:hAnsi="Calibri"/>
          <w:b/>
          <w:bCs/>
          <w:sz w:val="22"/>
        </w:rPr>
        <w:t>Boleto</w:t>
      </w:r>
      <w:r>
        <w:rPr>
          <w:rFonts w:ascii="Calibri" w:hAnsi="Calibri"/>
          <w:sz w:val="22"/>
        </w:rPr>
        <w:t xml:space="preserve"> show high reliability with cancellation rates staying below </w:t>
      </w:r>
      <w:r>
        <w:rPr>
          <w:rFonts w:ascii="Calibri" w:hAnsi="Calibri"/>
          <w:b/>
          <w:bCs/>
          <w:sz w:val="22"/>
        </w:rPr>
        <w:t>1.5%</w:t>
      </w:r>
      <w:r>
        <w:rPr>
          <w:rFonts w:ascii="Calibri" w:hAnsi="Calibri"/>
          <w:sz w:val="22"/>
        </w:rPr>
        <w:t>.</w:t>
      </w:r>
    </w:p>
    <w:p w14:paraId="7347285B">
      <w:pPr>
        <w:pStyle w:val="34"/>
        <w:numPr>
          <w:ilvl w:val="0"/>
          <w:numId w:val="18"/>
        </w:numPr>
      </w:pPr>
    </w:p>
    <w:p w14:paraId="78459AEF">
      <w:pPr>
        <w:pStyle w:val="34"/>
        <w:numPr>
          <w:ilvl w:val="0"/>
          <w:numId w:val="18"/>
        </w:numPr>
      </w:pPr>
      <w:r>
        <w:rPr>
          <w:rFonts w:ascii="Calibri" w:hAnsi="Calibri"/>
          <w:b/>
          <w:bCs/>
          <w:sz w:val="22"/>
        </w:rPr>
        <w:t>Data Artifacts:</w:t>
      </w:r>
      <w:r>
        <w:rPr>
          <w:rFonts w:ascii="Calibri" w:hAnsi="Calibri"/>
          <w:sz w:val="22"/>
        </w:rPr>
        <w:t xml:space="preserve"> The </w:t>
      </w:r>
      <w:r>
        <w:rPr>
          <w:rFonts w:ascii="Calibri" w:hAnsi="Calibri"/>
          <w:b/>
          <w:bCs/>
          <w:sz w:val="22"/>
        </w:rPr>
        <w:t>100%</w:t>
      </w:r>
      <w:r>
        <w:rPr>
          <w:rFonts w:ascii="Calibri" w:hAnsi="Calibri"/>
          <w:sz w:val="22"/>
        </w:rPr>
        <w:t xml:space="preserve"> failure rate for "not_defined" is a statistical outlier driven by negligible volume (only 3 orders), likely representing system glitches rather than actual customer behavior.</w:t>
      </w:r>
    </w:p>
    <w:p w14:paraId="67C608E9">
      <w:pPr>
        <w:pStyle w:val="4"/>
        <w:numPr>
          <w:ilvl w:val="0"/>
          <w:numId w:val="11"/>
        </w:numPr>
        <w:rPr>
          <w:rStyle w:val="35"/>
          <w:b/>
          <w:bCs/>
        </w:rPr>
      </w:pPr>
      <w:r>
        <w:rPr>
          <w:rStyle w:val="35"/>
          <w:rFonts w:ascii="Calibri" w:hAnsi="Calibri"/>
          <w:b w:val="0"/>
          <w:bCs w:val="0"/>
          <w:sz w:val="22"/>
        </w:rPr>
        <w:t>Are delivery delays concentrated in specific customer cities?</w:t>
      </w:r>
    </w:p>
    <w:p w14:paraId="67F77404">
      <w:pPr>
        <w:pStyle w:val="34"/>
        <w:ind w:left="720"/>
        <w:rPr>
          <w:rStyle w:val="35"/>
          <w:rFonts w:hint="cs" w:cs="Times New Roman"/>
          <w:b w:val="0"/>
          <w:bCs w:val="0"/>
          <w:sz w:val="20"/>
          <w:szCs w:val="20"/>
          <w:rtl/>
          <w:lang w:bidi="ar-EG"/>
        </w:rPr>
      </w:pPr>
      <w:r>
        <w:rPr>
          <w:rStyle w:val="35"/>
          <w:rFonts w:hint="cs" w:ascii="Calibri" w:hAnsi="Calibri" w:cs="Times New Roman"/>
          <w:b w:val="0"/>
          <w:bCs w:val="0"/>
          <w:sz w:val="20"/>
          <w:szCs w:val="20"/>
          <w:rtl/>
          <w:lang w:bidi="ar-EG"/>
        </w:rPr>
        <w:drawing>
          <wp:inline distT="0" distB="0" distL="114300" distR="114300">
            <wp:extent cx="4000500" cy="2171700"/>
            <wp:effectExtent l="0" t="0" r="7620" b="7620"/>
            <wp:docPr id="53" name="Picture 53" descr="Screenshot 2026-02-09 14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Screenshot 2026-02-09 141208"/>
                    <pic:cNvPicPr>
                      <a:picLocks noChangeAspect="1"/>
                    </pic:cNvPicPr>
                  </pic:nvPicPr>
                  <pic:blipFill>
                    <a:blip r:embed="rId29"/>
                    <a:stretch>
                      <a:fillRect/>
                    </a:stretch>
                  </pic:blipFill>
                  <pic:spPr>
                    <a:xfrm>
                      <a:off x="0" y="0"/>
                      <a:ext cx="4000500" cy="2171700"/>
                    </a:xfrm>
                    <a:prstGeom prst="rect">
                      <a:avLst/>
                    </a:prstGeom>
                  </pic:spPr>
                </pic:pic>
              </a:graphicData>
            </a:graphic>
          </wp:inline>
        </w:drawing>
      </w:r>
    </w:p>
    <w:p w14:paraId="2684A46F">
      <w:pPr>
        <w:pStyle w:val="34"/>
      </w:pPr>
      <w:r>
        <w:rPr>
          <w:rFonts w:ascii="Calibri" w:hAnsi="Calibri"/>
          <w:b/>
          <w:bCs/>
          <w:sz w:val="22"/>
        </w:rPr>
        <w:t>Key Insights:</w:t>
      </w:r>
    </w:p>
    <w:p w14:paraId="49A50320">
      <w:pPr>
        <w:pStyle w:val="34"/>
        <w:numPr>
          <w:ilvl w:val="0"/>
          <w:numId w:val="19"/>
        </w:numPr>
      </w:pPr>
      <w:r>
        <w:rPr>
          <w:rFonts w:ascii="Calibri" w:hAnsi="Calibri"/>
          <w:b/>
          <w:bCs/>
          <w:sz w:val="22"/>
        </w:rPr>
        <w:t>Critical Geographic Failures:</w:t>
      </w:r>
      <w:r>
        <w:rPr>
          <w:rFonts w:ascii="Calibri" w:hAnsi="Calibri"/>
          <w:sz w:val="22"/>
        </w:rPr>
        <w:t xml:space="preserve"> Logistics performance collapses in specific regions. </w:t>
      </w:r>
      <w:r>
        <w:rPr>
          <w:rFonts w:ascii="Calibri" w:hAnsi="Calibri"/>
          <w:b/>
          <w:bCs/>
          <w:sz w:val="22"/>
        </w:rPr>
        <w:t>Sao Goncalo</w:t>
      </w:r>
      <w:r>
        <w:rPr>
          <w:rFonts w:ascii="Calibri" w:hAnsi="Calibri"/>
          <w:sz w:val="22"/>
        </w:rPr>
        <w:t xml:space="preserve"> is the worst-performing city with a massive </w:t>
      </w:r>
      <w:r>
        <w:rPr>
          <w:rFonts w:ascii="Calibri" w:hAnsi="Calibri"/>
          <w:b/>
          <w:bCs/>
          <w:sz w:val="22"/>
        </w:rPr>
        <w:t>24.9%</w:t>
      </w:r>
      <w:r>
        <w:rPr>
          <w:rFonts w:ascii="Calibri" w:hAnsi="Calibri"/>
          <w:sz w:val="22"/>
        </w:rPr>
        <w:t xml:space="preserve"> delay rate, meaning 1 in every 4 customers there receives their order late.</w:t>
      </w:r>
    </w:p>
    <w:p w14:paraId="5A75C36E">
      <w:pPr>
        <w:pStyle w:val="34"/>
        <w:numPr>
          <w:ilvl w:val="0"/>
          <w:numId w:val="19"/>
        </w:numPr>
      </w:pPr>
      <w:r>
        <w:rPr>
          <w:rFonts w:ascii="Calibri" w:hAnsi="Calibri"/>
          <w:b/>
          <w:bCs/>
          <w:sz w:val="22"/>
        </w:rPr>
        <w:t>High-Volume Risk:</w:t>
      </w:r>
      <w:r>
        <w:rPr>
          <w:rFonts w:ascii="Calibri" w:hAnsi="Calibri"/>
          <w:sz w:val="22"/>
        </w:rPr>
        <w:t xml:space="preserve"> </w:t>
      </w:r>
      <w:r>
        <w:rPr>
          <w:rFonts w:ascii="Calibri" w:hAnsi="Calibri"/>
          <w:b/>
          <w:bCs/>
          <w:sz w:val="22"/>
        </w:rPr>
        <w:t>Salvador</w:t>
      </w:r>
      <w:r>
        <w:rPr>
          <w:rFonts w:ascii="Calibri" w:hAnsi="Calibri"/>
          <w:sz w:val="22"/>
        </w:rPr>
        <w:t xml:space="preserve"> represents a major operational threat; despite having high demand (1,169 orders), it suffers from a </w:t>
      </w:r>
      <w:r>
        <w:rPr>
          <w:rFonts w:ascii="Calibri" w:hAnsi="Calibri"/>
          <w:b/>
          <w:bCs/>
          <w:sz w:val="22"/>
        </w:rPr>
        <w:t>17.5%</w:t>
      </w:r>
      <w:r>
        <w:rPr>
          <w:rFonts w:ascii="Calibri" w:hAnsi="Calibri"/>
          <w:sz w:val="22"/>
        </w:rPr>
        <w:t xml:space="preserve"> delay rate, generating the highest absolute number of dissatisfied customers (204) in this list.</w:t>
      </w:r>
    </w:p>
    <w:p w14:paraId="0C518B87">
      <w:pPr>
        <w:pStyle w:val="145"/>
        <w:spacing w:before="100" w:beforeAutospacing="1" w:after="100" w:afterAutospacing="1" w:line="240" w:lineRule="auto"/>
        <w:rPr>
          <w:rFonts w:ascii="Times New Roman" w:hAnsi="Times New Roman" w:eastAsia="Times New Roman" w:cs="Times New Roman"/>
          <w:sz w:val="20"/>
          <w:szCs w:val="20"/>
        </w:rPr>
      </w:pPr>
    </w:p>
    <w:p w14:paraId="67B9A892">
      <w:pPr>
        <w:pStyle w:val="2"/>
        <w:rPr>
          <w:rtl/>
        </w:rPr>
      </w:pPr>
      <w:r>
        <w:rPr>
          <w:rFonts w:hint="cs" w:ascii="Calibri" w:hAnsi="Calibri"/>
          <w:sz w:val="22"/>
          <w:rtl/>
        </w:rPr>
        <w:t>10</w:t>
      </w:r>
      <w:r>
        <w:rPr>
          <w:rFonts w:ascii="Calibri" w:hAnsi="Calibri"/>
          <w:sz w:val="22"/>
        </w:rPr>
        <w:t>. Impact &amp; Next Steps</w:t>
      </w:r>
    </w:p>
    <w:p w14:paraId="45F357ED">
      <w:pPr>
        <w:pStyle w:val="34"/>
      </w:pPr>
      <w:r>
        <w:rPr>
          <w:rFonts w:ascii="Calibri" w:hAnsi="Calibri"/>
          <w:sz w:val="22"/>
          <w:rtl/>
        </w:rPr>
        <w:tab/>
      </w:r>
      <w:r>
        <w:rPr>
          <w:rFonts w:ascii="Calibri" w:hAnsi="Calibri"/>
          <w:sz w:val="22"/>
        </w:rPr>
        <w:t xml:space="preserve">Based on the data-driven insights gathered throughout this analysis, the following </w:t>
      </w:r>
      <w:r>
        <w:rPr>
          <w:rFonts w:ascii="Calibri" w:hAnsi="Calibri"/>
          <w:sz w:val="22"/>
          <w:rtl/>
        </w:rPr>
        <w:tab/>
      </w:r>
      <w:r>
        <w:rPr>
          <w:rFonts w:ascii="Calibri" w:hAnsi="Calibri"/>
          <w:sz w:val="22"/>
        </w:rPr>
        <w:t xml:space="preserve">strategic actions are recommended to drive revenue growth and improve customer </w:t>
      </w:r>
      <w:r>
        <w:rPr>
          <w:rFonts w:ascii="Calibri" w:hAnsi="Calibri"/>
          <w:sz w:val="22"/>
          <w:rtl/>
        </w:rPr>
        <w:tab/>
      </w:r>
      <w:r>
        <w:rPr>
          <w:rFonts w:ascii="Calibri" w:hAnsi="Calibri"/>
          <w:sz w:val="22"/>
        </w:rPr>
        <w:t>satisfaction:</w:t>
      </w:r>
    </w:p>
    <w:p w14:paraId="2380ED8D">
      <w:pPr>
        <w:pStyle w:val="34"/>
        <w:numPr>
          <w:ilvl w:val="0"/>
          <w:numId w:val="20"/>
        </w:numPr>
      </w:pPr>
      <w:r>
        <w:rPr>
          <w:rFonts w:ascii="Calibri" w:hAnsi="Calibri"/>
          <w:b/>
          <w:bCs/>
          <w:sz w:val="22"/>
        </w:rPr>
        <w:t>Launch a Targeted Customer Loyalty Program:</w:t>
      </w:r>
    </w:p>
    <w:p w14:paraId="2425F485">
      <w:pPr>
        <w:pStyle w:val="34"/>
        <w:numPr>
          <w:ilvl w:val="1"/>
          <w:numId w:val="20"/>
        </w:numPr>
      </w:pPr>
      <w:r>
        <w:rPr>
          <w:rFonts w:ascii="Calibri" w:hAnsi="Calibri"/>
          <w:b/>
          <w:bCs/>
          <w:sz w:val="22"/>
        </w:rPr>
        <w:t>The Issue:</w:t>
      </w:r>
      <w:r>
        <w:rPr>
          <w:rFonts w:ascii="Calibri" w:hAnsi="Calibri"/>
          <w:sz w:val="22"/>
        </w:rPr>
        <w:t xml:space="preserve"> Data indicates a critical retention challenge, with only </w:t>
      </w:r>
      <w:r>
        <w:rPr>
          <w:rFonts w:ascii="Calibri" w:hAnsi="Calibri"/>
          <w:b/>
          <w:bCs/>
          <w:sz w:val="22"/>
        </w:rPr>
        <w:t>3%</w:t>
      </w:r>
      <w:r>
        <w:rPr>
          <w:rFonts w:ascii="Calibri" w:hAnsi="Calibri"/>
          <w:sz w:val="22"/>
        </w:rPr>
        <w:t xml:space="preserve"> of customers returning for a second purchase.</w:t>
      </w:r>
    </w:p>
    <w:p w14:paraId="5F2251EE">
      <w:pPr>
        <w:pStyle w:val="34"/>
        <w:numPr>
          <w:ilvl w:val="1"/>
          <w:numId w:val="20"/>
        </w:numPr>
      </w:pPr>
      <w:r>
        <w:rPr>
          <w:rFonts w:ascii="Calibri" w:hAnsi="Calibri"/>
          <w:sz w:val="22"/>
        </w:rPr>
        <w:t>The Action: Implement a tiered loyalty program or "Prime-like" subscription that rewards frequent buyers. Since 89% of returning customers are those who experienced on-time delivery, focusing retention efforts on this satisfied segment will yield the highest ROI.</w:t>
      </w:r>
    </w:p>
    <w:p w14:paraId="42ADF978">
      <w:pPr>
        <w:pStyle w:val="34"/>
        <w:numPr>
          <w:ilvl w:val="0"/>
          <w:numId w:val="20"/>
        </w:numPr>
      </w:pPr>
      <w:r>
        <w:rPr>
          <w:rFonts w:ascii="Calibri" w:hAnsi="Calibri"/>
          <w:b/>
          <w:bCs/>
          <w:sz w:val="22"/>
        </w:rPr>
        <w:t>Strengthen Logistics Resilience against External Shocks:</w:t>
      </w:r>
    </w:p>
    <w:p w14:paraId="27483A8D">
      <w:pPr>
        <w:pStyle w:val="34"/>
        <w:numPr>
          <w:ilvl w:val="1"/>
          <w:numId w:val="20"/>
        </w:numPr>
      </w:pPr>
      <w:r>
        <w:rPr>
          <w:rFonts w:ascii="Calibri" w:hAnsi="Calibri"/>
          <w:b/>
          <w:bCs/>
          <w:sz w:val="22"/>
        </w:rPr>
        <w:t>The Issue:</w:t>
      </w:r>
      <w:r>
        <w:rPr>
          <w:rFonts w:ascii="Calibri" w:hAnsi="Calibri"/>
          <w:sz w:val="22"/>
        </w:rPr>
        <w:t xml:space="preserve"> The historical analysis revealed a massive spike in delays during </w:t>
      </w:r>
      <w:r>
        <w:rPr>
          <w:rFonts w:ascii="Calibri" w:hAnsi="Calibri"/>
          <w:b/>
          <w:bCs/>
          <w:sz w:val="22"/>
        </w:rPr>
        <w:t>Late 2017 – Early 2018</w:t>
      </w:r>
      <w:r>
        <w:rPr>
          <w:rFonts w:ascii="Calibri" w:hAnsi="Calibri"/>
          <w:sz w:val="22"/>
        </w:rPr>
        <w:t xml:space="preserve"> (reaching 21.6%), indicating the supply chain’s vulnerability to external disruptions or seasonal peaks.</w:t>
      </w:r>
    </w:p>
    <w:p w14:paraId="18FAF16A">
      <w:pPr>
        <w:pStyle w:val="34"/>
        <w:numPr>
          <w:ilvl w:val="1"/>
          <w:numId w:val="20"/>
        </w:numPr>
      </w:pPr>
      <w:r>
        <w:rPr>
          <w:rFonts w:ascii="Calibri" w:hAnsi="Calibri"/>
          <w:b/>
          <w:bCs/>
          <w:sz w:val="22"/>
        </w:rPr>
        <w:t>The Action:</w:t>
      </w:r>
      <w:r>
        <w:rPr>
          <w:rFonts w:ascii="Calibri" w:hAnsi="Calibri"/>
          <w:sz w:val="22"/>
        </w:rPr>
        <w:t xml:space="preserve"> Diversify logistics partners to avoid "single-point-of-failure" risks. Developing a predictive model to forecast demand surges (like Black Friday) will allow for proactive capacity planning, ensuring the network remains robust ("immune") against future volatility.</w:t>
      </w:r>
    </w:p>
    <w:p w14:paraId="6E0C4034">
      <w:pPr>
        <w:pStyle w:val="34"/>
        <w:numPr>
          <w:ilvl w:val="0"/>
          <w:numId w:val="20"/>
        </w:numPr>
      </w:pPr>
      <w:r>
        <w:rPr>
          <w:rFonts w:ascii="Calibri" w:hAnsi="Calibri"/>
          <w:b/>
          <w:bCs/>
          <w:sz w:val="22"/>
        </w:rPr>
        <w:t>Enforce Stricter Seller Performance Standards:</w:t>
      </w:r>
    </w:p>
    <w:p w14:paraId="6707FCC8">
      <w:pPr>
        <w:pStyle w:val="34"/>
        <w:numPr>
          <w:ilvl w:val="1"/>
          <w:numId w:val="20"/>
        </w:numPr>
      </w:pPr>
      <w:r>
        <w:rPr>
          <w:rFonts w:ascii="Calibri" w:hAnsi="Calibri"/>
          <w:b/>
          <w:bCs/>
          <w:sz w:val="22"/>
        </w:rPr>
        <w:t>The Issue:</w:t>
      </w:r>
      <w:r>
        <w:rPr>
          <w:rFonts w:ascii="Calibri" w:hAnsi="Calibri"/>
          <w:sz w:val="22"/>
        </w:rPr>
        <w:t xml:space="preserve"> A significant performance gap exists, with specific sellers delaying nearly </w:t>
      </w:r>
      <w:r>
        <w:rPr>
          <w:rFonts w:ascii="Calibri" w:hAnsi="Calibri"/>
          <w:b/>
          <w:bCs/>
          <w:sz w:val="22"/>
        </w:rPr>
        <w:t>1 in 4 orders</w:t>
      </w:r>
      <w:r>
        <w:rPr>
          <w:rFonts w:ascii="Calibri" w:hAnsi="Calibri"/>
          <w:sz w:val="22"/>
        </w:rPr>
        <w:t xml:space="preserve"> (24%).</w:t>
      </w:r>
    </w:p>
    <w:p w14:paraId="38796218">
      <w:pPr>
        <w:pStyle w:val="34"/>
        <w:numPr>
          <w:ilvl w:val="1"/>
          <w:numId w:val="20"/>
        </w:numPr>
      </w:pPr>
      <w:r>
        <w:rPr>
          <w:rFonts w:ascii="Calibri" w:hAnsi="Calibri"/>
          <w:b/>
          <w:bCs/>
          <w:sz w:val="22"/>
        </w:rPr>
        <w:t>The Action:</w:t>
      </w:r>
      <w:r>
        <w:rPr>
          <w:rFonts w:ascii="Calibri" w:hAnsi="Calibri"/>
          <w:sz w:val="22"/>
        </w:rPr>
        <w:t xml:space="preserve"> Establish a strict Service Level Agreement (SLA) for sellers. Implement a warning system where sellers exceeding a 10% delay rate face temporary suspension or reduced visibility until performance improves.</w:t>
      </w:r>
    </w:p>
    <w:p w14:paraId="23B4F99A">
      <w:pPr>
        <w:pStyle w:val="34"/>
        <w:numPr>
          <w:ilvl w:val="0"/>
          <w:numId w:val="20"/>
        </w:numPr>
      </w:pPr>
      <w:r>
        <w:rPr>
          <w:rFonts w:ascii="Calibri" w:hAnsi="Calibri"/>
          <w:b/>
          <w:bCs/>
          <w:sz w:val="22"/>
        </w:rPr>
        <w:t>Regional Logistics Optimization (Focus on Northeast):</w:t>
      </w:r>
    </w:p>
    <w:p w14:paraId="70D85C56">
      <w:pPr>
        <w:pStyle w:val="34"/>
        <w:numPr>
          <w:ilvl w:val="1"/>
          <w:numId w:val="20"/>
        </w:numPr>
      </w:pPr>
      <w:r>
        <w:rPr>
          <w:rFonts w:ascii="Calibri" w:hAnsi="Calibri"/>
          <w:b/>
          <w:bCs/>
          <w:sz w:val="22"/>
        </w:rPr>
        <w:t>The Issue:</w:t>
      </w:r>
      <w:r>
        <w:rPr>
          <w:rFonts w:ascii="Calibri" w:hAnsi="Calibri"/>
          <w:sz w:val="22"/>
        </w:rPr>
        <w:t xml:space="preserve"> High-demand cities like </w:t>
      </w:r>
      <w:r>
        <w:rPr>
          <w:rFonts w:ascii="Calibri" w:hAnsi="Calibri"/>
          <w:b/>
          <w:bCs/>
          <w:sz w:val="22"/>
        </w:rPr>
        <w:t>Salvador</w:t>
      </w:r>
      <w:r>
        <w:rPr>
          <w:rFonts w:ascii="Calibri" w:hAnsi="Calibri"/>
          <w:sz w:val="22"/>
        </w:rPr>
        <w:t xml:space="preserve"> and </w:t>
      </w:r>
      <w:r>
        <w:rPr>
          <w:rFonts w:ascii="Calibri" w:hAnsi="Calibri"/>
          <w:b/>
          <w:bCs/>
          <w:sz w:val="22"/>
        </w:rPr>
        <w:t>Sao Goncalo</w:t>
      </w:r>
      <w:r>
        <w:rPr>
          <w:rFonts w:ascii="Calibri" w:hAnsi="Calibri"/>
          <w:sz w:val="22"/>
        </w:rPr>
        <w:t xml:space="preserve"> are suffering from severe delay rates (17% - 25%).</w:t>
      </w:r>
    </w:p>
    <w:p w14:paraId="375B55D0">
      <w:pPr>
        <w:pStyle w:val="34"/>
        <w:numPr>
          <w:ilvl w:val="1"/>
          <w:numId w:val="20"/>
        </w:numPr>
      </w:pPr>
      <w:r>
        <w:rPr>
          <w:rFonts w:ascii="Calibri" w:hAnsi="Calibri"/>
          <w:b/>
          <w:bCs/>
          <w:sz w:val="22"/>
        </w:rPr>
        <w:t>The Action:</w:t>
      </w:r>
      <w:r>
        <w:rPr>
          <w:rFonts w:ascii="Calibri" w:hAnsi="Calibri"/>
          <w:sz w:val="22"/>
        </w:rPr>
        <w:t xml:space="preserve"> Investigate the root cause in these specific regions. This may require contracting local "last-mile" delivery specialists in these cities or setting up regional warehousing hubs to bypass long-haul shipping bottlenecks.</w:t>
      </w:r>
    </w:p>
    <w:p w14:paraId="5FD6A396"/>
    <w:p w14:paraId="5E4B9F10">
      <w:pPr>
        <w:pStyle w:val="2"/>
      </w:pPr>
      <w:r>
        <w:rPr>
          <w:rFonts w:hint="cs" w:ascii="Calibri" w:hAnsi="Calibri"/>
          <w:sz w:val="22"/>
          <w:rtl/>
        </w:rPr>
        <w:t>11</w:t>
      </w:r>
      <w:r>
        <w:rPr>
          <w:rFonts w:ascii="Calibri" w:hAnsi="Calibri"/>
          <w:sz w:val="22"/>
        </w:rPr>
        <w:t>. Project Notes</w:t>
      </w:r>
    </w:p>
    <w:p w14:paraId="5678C745">
      <w:pPr>
        <w:pStyle w:val="145"/>
      </w:pPr>
    </w:p>
    <w:p w14:paraId="38A36037">
      <w:pPr>
        <w:pStyle w:val="34"/>
        <w:numPr>
          <w:ilvl w:val="0"/>
          <w:numId w:val="21"/>
        </w:numPr>
      </w:pPr>
      <w:r>
        <w:rPr>
          <w:rStyle w:val="169"/>
          <w:rFonts w:ascii="Calibri" w:hAnsi="Calibri"/>
          <w:b/>
          <w:bCs/>
          <w:sz w:val="22"/>
        </w:rPr>
        <w:t>Timeframe:</w:t>
      </w:r>
      <w:r>
        <w:rPr>
          <w:rStyle w:val="169"/>
          <w:rFonts w:ascii="Calibri" w:hAnsi="Calibri"/>
          <w:sz w:val="22"/>
        </w:rPr>
        <w:t xml:space="preserve"> This analysis is based on historical data from </w:t>
      </w:r>
      <w:r>
        <w:rPr>
          <w:rStyle w:val="169"/>
          <w:rFonts w:ascii="Calibri" w:hAnsi="Calibri"/>
          <w:b/>
          <w:bCs/>
          <w:sz w:val="22"/>
        </w:rPr>
        <w:t>2016 to 2018</w:t>
      </w:r>
      <w:r>
        <w:rPr>
          <w:rFonts w:ascii="Calibri" w:hAnsi="Calibri"/>
          <w:sz w:val="22"/>
        </w:rPr>
        <w:t>. Results reflect the market conditions of that period and may differ from current trends.</w:t>
      </w:r>
    </w:p>
    <w:p w14:paraId="1263231A">
      <w:pPr>
        <w:pStyle w:val="34"/>
        <w:ind w:left="720"/>
      </w:pPr>
    </w:p>
    <w:p w14:paraId="6EAEE90E">
      <w:pPr>
        <w:pStyle w:val="34"/>
        <w:numPr>
          <w:ilvl w:val="0"/>
          <w:numId w:val="21"/>
        </w:numPr>
      </w:pPr>
      <w:r>
        <w:rPr>
          <w:rStyle w:val="170"/>
          <w:rFonts w:ascii="Calibri" w:hAnsi="Calibri"/>
          <w:b/>
          <w:bCs/>
          <w:sz w:val="22"/>
        </w:rPr>
        <w:t>Root Cause Scope:</w:t>
      </w:r>
      <w:r>
        <w:rPr>
          <w:rStyle w:val="170"/>
          <w:rFonts w:ascii="Calibri" w:hAnsi="Calibri"/>
          <w:sz w:val="22"/>
        </w:rPr>
        <w:t xml:space="preserve"> While the data shows </w:t>
      </w:r>
      <w:r>
        <w:rPr>
          <w:rStyle w:val="170"/>
          <w:rFonts w:ascii="Calibri" w:hAnsi="Calibri"/>
          <w:i/>
          <w:iCs/>
          <w:sz w:val="22"/>
        </w:rPr>
        <w:t>where</w:t>
      </w:r>
      <w:r>
        <w:rPr>
          <w:rStyle w:val="170"/>
          <w:rFonts w:ascii="Calibri" w:hAnsi="Calibri"/>
          <w:sz w:val="22"/>
        </w:rPr>
        <w:t xml:space="preserve"> and </w:t>
      </w:r>
      <w:r>
        <w:rPr>
          <w:rStyle w:val="170"/>
          <w:rFonts w:ascii="Calibri" w:hAnsi="Calibri"/>
          <w:i/>
          <w:iCs/>
          <w:sz w:val="22"/>
        </w:rPr>
        <w:t>when</w:t>
      </w:r>
      <w:r>
        <w:rPr>
          <w:rStyle w:val="170"/>
          <w:rFonts w:ascii="Calibri" w:hAnsi="Calibri"/>
          <w:sz w:val="22"/>
        </w:rPr>
        <w:t xml:space="preserve"> delays happened </w:t>
      </w:r>
      <w:r>
        <w:rPr>
          <w:rStyle w:val="171"/>
          <w:rFonts w:ascii="Calibri" w:hAnsi="Calibri"/>
          <w:sz w:val="22"/>
        </w:rPr>
        <w:t>, it doesn't include external factors (like weather or strikes) that explain the exact reason for each delay</w:t>
      </w:r>
      <w:r>
        <w:rPr>
          <w:rFonts w:ascii="Calibri" w:hAnsi="Calibri"/>
          <w:sz w:val="22"/>
        </w:rPr>
        <w:t>.</w:t>
      </w:r>
    </w:p>
    <w:p w14:paraId="162215C3">
      <w:pPr>
        <w:pStyle w:val="34"/>
        <w:ind w:left="720"/>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8DE25A"/>
    <w:multiLevelType w:val="singleLevel"/>
    <w:tmpl w:val="D08DE25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014F56E6"/>
    <w:multiLevelType w:val="multilevel"/>
    <w:tmpl w:val="014F56E6"/>
    <w:lvl w:ilvl="0" w:tentative="0">
      <w:start w:val="1"/>
      <w:numFmt w:val="bullet"/>
      <w:lvlText w:val=""/>
      <w:lvlJc w:val="left"/>
      <w:pPr>
        <w:ind w:left="1500" w:hanging="360"/>
      </w:pPr>
      <w:rPr>
        <w:rFonts w:hint="default" w:ascii="Symbol" w:hAnsi="Symbol"/>
      </w:rPr>
    </w:lvl>
    <w:lvl w:ilvl="1" w:tentative="0">
      <w:start w:val="1"/>
      <w:numFmt w:val="bullet"/>
      <w:lvlText w:val="o"/>
      <w:lvlJc w:val="left"/>
      <w:pPr>
        <w:ind w:left="2220" w:hanging="360"/>
      </w:pPr>
      <w:rPr>
        <w:rFonts w:hint="default" w:ascii="Courier New" w:hAnsi="Courier New" w:cs="Courier New"/>
      </w:rPr>
    </w:lvl>
    <w:lvl w:ilvl="2" w:tentative="0">
      <w:start w:val="1"/>
      <w:numFmt w:val="bullet"/>
      <w:lvlText w:val=""/>
      <w:lvlJc w:val="left"/>
      <w:pPr>
        <w:ind w:left="2940" w:hanging="360"/>
      </w:pPr>
      <w:rPr>
        <w:rFonts w:hint="default" w:ascii="Wingdings" w:hAnsi="Wingdings"/>
      </w:rPr>
    </w:lvl>
    <w:lvl w:ilvl="3" w:tentative="0">
      <w:start w:val="1"/>
      <w:numFmt w:val="bullet"/>
      <w:lvlText w:val=""/>
      <w:lvlJc w:val="left"/>
      <w:pPr>
        <w:ind w:left="3660" w:hanging="360"/>
      </w:pPr>
      <w:rPr>
        <w:rFonts w:hint="default" w:ascii="Symbol" w:hAnsi="Symbol"/>
      </w:rPr>
    </w:lvl>
    <w:lvl w:ilvl="4" w:tentative="0">
      <w:start w:val="1"/>
      <w:numFmt w:val="bullet"/>
      <w:lvlText w:val="o"/>
      <w:lvlJc w:val="left"/>
      <w:pPr>
        <w:ind w:left="4380" w:hanging="360"/>
      </w:pPr>
      <w:rPr>
        <w:rFonts w:hint="default" w:ascii="Courier New" w:hAnsi="Courier New" w:cs="Courier New"/>
      </w:rPr>
    </w:lvl>
    <w:lvl w:ilvl="5" w:tentative="0">
      <w:start w:val="1"/>
      <w:numFmt w:val="bullet"/>
      <w:lvlText w:val=""/>
      <w:lvlJc w:val="left"/>
      <w:pPr>
        <w:ind w:left="5100" w:hanging="360"/>
      </w:pPr>
      <w:rPr>
        <w:rFonts w:hint="default" w:ascii="Wingdings" w:hAnsi="Wingdings"/>
      </w:rPr>
    </w:lvl>
    <w:lvl w:ilvl="6" w:tentative="0">
      <w:start w:val="1"/>
      <w:numFmt w:val="bullet"/>
      <w:lvlText w:val=""/>
      <w:lvlJc w:val="left"/>
      <w:pPr>
        <w:ind w:left="5820" w:hanging="360"/>
      </w:pPr>
      <w:rPr>
        <w:rFonts w:hint="default" w:ascii="Symbol" w:hAnsi="Symbol"/>
      </w:rPr>
    </w:lvl>
    <w:lvl w:ilvl="7" w:tentative="0">
      <w:start w:val="1"/>
      <w:numFmt w:val="bullet"/>
      <w:lvlText w:val="o"/>
      <w:lvlJc w:val="left"/>
      <w:pPr>
        <w:ind w:left="6540" w:hanging="360"/>
      </w:pPr>
      <w:rPr>
        <w:rFonts w:hint="default" w:ascii="Courier New" w:hAnsi="Courier New" w:cs="Courier New"/>
      </w:rPr>
    </w:lvl>
    <w:lvl w:ilvl="8" w:tentative="0">
      <w:start w:val="1"/>
      <w:numFmt w:val="bullet"/>
      <w:lvlText w:val=""/>
      <w:lvlJc w:val="left"/>
      <w:pPr>
        <w:ind w:left="7260" w:hanging="360"/>
      </w:pPr>
      <w:rPr>
        <w:rFonts w:hint="default" w:ascii="Wingdings" w:hAnsi="Wingdings"/>
      </w:rPr>
    </w:lvl>
  </w:abstractNum>
  <w:abstractNum w:abstractNumId="8">
    <w:nsid w:val="0CDD2012"/>
    <w:multiLevelType w:val="multilevel"/>
    <w:tmpl w:val="0CDD20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9476E5E"/>
    <w:multiLevelType w:val="multilevel"/>
    <w:tmpl w:val="19476E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2166C68"/>
    <w:multiLevelType w:val="multilevel"/>
    <w:tmpl w:val="22166C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28636F9"/>
    <w:multiLevelType w:val="multilevel"/>
    <w:tmpl w:val="228636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36A5B4E"/>
    <w:multiLevelType w:val="multilevel"/>
    <w:tmpl w:val="236A5B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AA77B03"/>
    <w:multiLevelType w:val="multilevel"/>
    <w:tmpl w:val="2AA77B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E3D1C34"/>
    <w:multiLevelType w:val="multilevel"/>
    <w:tmpl w:val="2E3D1C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0A31CFA"/>
    <w:multiLevelType w:val="multilevel"/>
    <w:tmpl w:val="30A31C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10A4327"/>
    <w:multiLevelType w:val="multilevel"/>
    <w:tmpl w:val="510A43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7386C8C"/>
    <w:multiLevelType w:val="singleLevel"/>
    <w:tmpl w:val="67386C8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8">
    <w:nsid w:val="726F6EB3"/>
    <w:multiLevelType w:val="multilevel"/>
    <w:tmpl w:val="726F6E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6C81F46"/>
    <w:multiLevelType w:val="multilevel"/>
    <w:tmpl w:val="76C81F46"/>
    <w:lvl w:ilvl="0" w:tentative="0">
      <w:start w:val="1"/>
      <w:numFmt w:val="decimal"/>
      <w:lvlText w:val="%1."/>
      <w:lvlJc w:val="left"/>
      <w:pPr>
        <w:ind w:left="720" w:hanging="360"/>
      </w:pPr>
      <w:rPr>
        <w:b w:val="0"/>
        <w:bCs w:val="0"/>
        <w:sz w:val="22"/>
        <w:szCs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707D881"/>
    <w:multiLevelType w:val="singleLevel"/>
    <w:tmpl w:val="7707D881"/>
    <w:lvl w:ilvl="0" w:tentative="0">
      <w:start w:val="1"/>
      <w:numFmt w:val="bullet"/>
      <w:lvlText w:val=""/>
      <w:lvlJc w:val="left"/>
      <w:pPr>
        <w:tabs>
          <w:tab w:val="left" w:pos="1680"/>
        </w:tabs>
        <w:ind w:left="1680" w:leftChars="0" w:hanging="420" w:firstLineChars="0"/>
      </w:pPr>
      <w:rPr>
        <w:rFonts w:hint="default" w:ascii="Wingdings" w:hAnsi="Wingdings"/>
        <w:sz w:val="15"/>
        <w:szCs w:val="15"/>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16"/>
  </w:num>
  <w:num w:numId="8">
    <w:abstractNumId w:val="11"/>
  </w:num>
  <w:num w:numId="9">
    <w:abstractNumId w:val="14"/>
  </w:num>
  <w:num w:numId="10">
    <w:abstractNumId w:val="12"/>
  </w:num>
  <w:num w:numId="11">
    <w:abstractNumId w:val="19"/>
  </w:num>
  <w:num w:numId="12">
    <w:abstractNumId w:val="7"/>
  </w:num>
  <w:num w:numId="13">
    <w:abstractNumId w:val="20"/>
  </w:num>
  <w:num w:numId="14">
    <w:abstractNumId w:val="13"/>
  </w:num>
  <w:num w:numId="15">
    <w:abstractNumId w:val="0"/>
  </w:num>
  <w:num w:numId="16">
    <w:abstractNumId w:val="17"/>
  </w:num>
  <w:num w:numId="17">
    <w:abstractNumId w:val="9"/>
  </w:num>
  <w:num w:numId="18">
    <w:abstractNumId w:val="18"/>
  </w:num>
  <w:num w:numId="19">
    <w:abstractNumId w:val="15"/>
  </w:num>
  <w:num w:numId="20">
    <w:abstractNumId w:val="10"/>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6D60"/>
    <w:rsid w:val="00034616"/>
    <w:rsid w:val="0006063C"/>
    <w:rsid w:val="00065635"/>
    <w:rsid w:val="0009563E"/>
    <w:rsid w:val="000A6DC2"/>
    <w:rsid w:val="000C5B68"/>
    <w:rsid w:val="000E14DC"/>
    <w:rsid w:val="000F4F46"/>
    <w:rsid w:val="00101730"/>
    <w:rsid w:val="0011453A"/>
    <w:rsid w:val="0015074B"/>
    <w:rsid w:val="001516D5"/>
    <w:rsid w:val="001D4030"/>
    <w:rsid w:val="00234991"/>
    <w:rsid w:val="00281F32"/>
    <w:rsid w:val="0029639D"/>
    <w:rsid w:val="00326F90"/>
    <w:rsid w:val="003F7459"/>
    <w:rsid w:val="004D2DAC"/>
    <w:rsid w:val="006055DB"/>
    <w:rsid w:val="006A1D48"/>
    <w:rsid w:val="006C5BEB"/>
    <w:rsid w:val="006E507C"/>
    <w:rsid w:val="00745A26"/>
    <w:rsid w:val="00763272"/>
    <w:rsid w:val="008150E4"/>
    <w:rsid w:val="0083623C"/>
    <w:rsid w:val="00851990"/>
    <w:rsid w:val="00866E80"/>
    <w:rsid w:val="00975647"/>
    <w:rsid w:val="0098710D"/>
    <w:rsid w:val="00996F6F"/>
    <w:rsid w:val="00A34BE0"/>
    <w:rsid w:val="00AA1D8D"/>
    <w:rsid w:val="00B47730"/>
    <w:rsid w:val="00B90C28"/>
    <w:rsid w:val="00BA76FE"/>
    <w:rsid w:val="00BB0ECD"/>
    <w:rsid w:val="00CA755D"/>
    <w:rsid w:val="00CB0664"/>
    <w:rsid w:val="00D106B8"/>
    <w:rsid w:val="00D744DA"/>
    <w:rsid w:val="00E27A58"/>
    <w:rsid w:val="00E43B25"/>
    <w:rsid w:val="00E740C3"/>
    <w:rsid w:val="00FC693F"/>
    <w:rsid w:val="1A44530C"/>
    <w:rsid w:val="391953ED"/>
    <w:rsid w:val="5AB570FA"/>
    <w:rsid w:val="66BE31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eastAsia="Times New Roman"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character" w:customStyle="1" w:styleId="166">
    <w:name w:val="citation-210"/>
    <w:basedOn w:val="11"/>
    <w:qFormat/>
    <w:uiPriority w:val="0"/>
  </w:style>
  <w:style w:type="character" w:customStyle="1" w:styleId="167">
    <w:name w:val="citation-209"/>
    <w:basedOn w:val="11"/>
    <w:qFormat/>
    <w:uiPriority w:val="0"/>
  </w:style>
  <w:style w:type="character" w:customStyle="1" w:styleId="168">
    <w:name w:val="citation-208"/>
    <w:basedOn w:val="11"/>
    <w:qFormat/>
    <w:uiPriority w:val="0"/>
  </w:style>
  <w:style w:type="character" w:customStyle="1" w:styleId="169">
    <w:name w:val="citation-273"/>
    <w:basedOn w:val="11"/>
    <w:qFormat/>
    <w:uiPriority w:val="0"/>
  </w:style>
  <w:style w:type="character" w:customStyle="1" w:styleId="170">
    <w:name w:val="citation-272"/>
    <w:basedOn w:val="11"/>
    <w:qFormat/>
    <w:uiPriority w:val="0"/>
  </w:style>
  <w:style w:type="character" w:customStyle="1" w:styleId="171">
    <w:name w:val="citation-271"/>
    <w:basedOn w:val="11"/>
    <w:qFormat/>
    <w:uiPriority w:val="0"/>
  </w:style>
  <w:style w:type="character" w:customStyle="1" w:styleId="172">
    <w:name w:val="citation-310"/>
    <w:basedOn w:val="11"/>
    <w:qFormat/>
    <w:uiPriority w:val="0"/>
  </w:style>
  <w:style w:type="character" w:customStyle="1" w:styleId="173">
    <w:name w:val="citation-309"/>
    <w:basedOn w:val="11"/>
    <w:qFormat/>
    <w:uiPriority w:val="0"/>
  </w:style>
  <w:style w:type="character" w:customStyle="1" w:styleId="174">
    <w:name w:val="citation-308"/>
    <w:basedOn w:val="11"/>
    <w:qFormat/>
    <w:uiPriority w:val="0"/>
  </w:style>
  <w:style w:type="character" w:customStyle="1" w:styleId="175">
    <w:name w:val="citation-307"/>
    <w:basedOn w:val="11"/>
    <w:qFormat/>
    <w:uiPriority w:val="0"/>
  </w:style>
  <w:style w:type="character" w:customStyle="1" w:styleId="176">
    <w:name w:val="citation-402"/>
    <w:basedOn w:val="11"/>
    <w:qFormat/>
    <w:uiPriority w:val="0"/>
  </w:style>
  <w:style w:type="character" w:customStyle="1" w:styleId="177">
    <w:name w:val="citation-401"/>
    <w:basedOn w:val="11"/>
    <w:qFormat/>
    <w:uiPriority w:val="0"/>
  </w:style>
  <w:style w:type="character" w:customStyle="1" w:styleId="178">
    <w:name w:val="citation-400"/>
    <w:basedOn w:val="11"/>
    <w:qFormat/>
    <w:uiPriority w:val="0"/>
  </w:style>
  <w:style w:type="character" w:customStyle="1" w:styleId="179">
    <w:name w:val="citation-287"/>
    <w:basedOn w:val="11"/>
    <w:qFormat/>
    <w:uiPriority w:val="0"/>
  </w:style>
  <w:style w:type="character" w:customStyle="1" w:styleId="180">
    <w:name w:val="citation-286"/>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1705</Words>
  <Characters>9719</Characters>
  <Lines>80</Lines>
  <Paragraphs>22</Paragraphs>
  <TotalTime>1085</TotalTime>
  <ScaleCrop>false</ScaleCrop>
  <LinksUpToDate>false</LinksUpToDate>
  <CharactersWithSpaces>11402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2026-01-26T12:25:00Z</dcterms:created>
  <dc:creator>python-docx</dc:creator>
  <dc:description>generated by python-docx</dc:description>
  <cp:lastModifiedBy>mhmdj</cp:lastModifiedBy>
  <dcterms:modified xsi:type="dcterms:W3CDTF">2026-02-10T11:22:05Z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717C140A76234A2BB6989819849AA730_13</vt:lpwstr>
  </property>
</Properties>
</file>