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pPr>
    </w:p>
    <w:p>
      <w:pPr>
        <w:bidi w:val="false"/>
        <w:spacing w:after="120"/>
        <w:jc w:val="center"/>
      </w:pPr>
      <w:r>
        <w:rPr>
          <w:b/>
          <w:bCs/>
          <w:color w:val="153A5B"/>
          <w:sz w:val="40"/>
          <w:szCs w:val="40"/>
          <w:rtl w:val="false"/>
        </w:rPr>
        <w:t xml:space="preserve">INJ-AUDIT-02</w:t>
      </w:r>
    </w:p>
    <w:p>
      <w:pPr>
        <w:bidi/>
        <w:spacing w:after="100" w:before="220"/>
        <w:jc w:val="center"/>
      </w:pPr>
      <w:r>
        <w:rPr>
          <w:b/>
          <w:bCs/>
          <w:i w:val="false"/>
          <w:iCs w:val="false"/>
          <w:color w:val="153A5B"/>
          <w:sz w:val="34"/>
          <w:szCs w:val="34"/>
          <w:rtl/>
        </w:rPr>
        <w:t xml:space="preserve">تحديث التقرير التدقيقي على اللقطة الجديدة</w:t>
      </w:r>
    </w:p>
    <w:p>
      <w:pPr>
        <w:bidi/>
        <w:spacing w:after="420"/>
        <w:jc w:val="center"/>
      </w:pPr>
      <w:r>
        <w:rPr>
          <w:b/>
          <w:bCs/>
          <w:i w:val="false"/>
          <w:iCs w:val="false"/>
          <w:color w:val="1F5C8B"/>
          <w:sz w:val="24"/>
          <w:szCs w:val="24"/>
          <w:rtl/>
        </w:rPr>
        <w:t xml:space="preserve">ما تغيّر بعد ثلاثةٍ وأربعين التزامًا — وانتقال حالة سجل الفجوات — وأثره على وثائق المواءمة الثلاث</w:t>
      </w:r>
    </w:p>
    <w:p>
      <w:pPr>
        <w:bidi/>
        <w:spacing w:after="50"/>
        <w:jc w:val="center"/>
      </w:pPr>
      <w:r>
        <w:rPr>
          <w:b w:val="false"/>
          <w:bCs w:val="false"/>
          <w:i w:val="false"/>
          <w:iCs w:val="false"/>
          <w:sz w:val="22"/>
          <w:szCs w:val="22"/>
          <w:rtl/>
        </w:rPr>
        <w:t xml:space="preserve">يُحدِّث هذا التقرير سابقَه المقيس على اللقطة الأولى — والسابق يبقى تاريخًا بلقطته</w:t>
      </w:r>
    </w:p>
    <w:p>
      <w:pPr>
        <w:bidi/>
        <w:spacing w:after="40"/>
        <w:jc w:val="center"/>
      </w:pPr>
      <w:r>
        <w:rPr>
          <w:b w:val="false"/>
          <w:bCs w:val="false"/>
          <w:i w:val="false"/>
          <w:iCs w:val="false"/>
          <w:sz w:val="22"/>
          <w:szCs w:val="22"/>
          <w:rtl/>
        </w:rPr>
        <w:t xml:space="preserve">اللقطة المرجعية للقياس</w:t>
      </w:r>
    </w:p>
    <w:p>
      <w:pPr>
        <w:bidi w:val="false"/>
        <w:spacing w:after="120"/>
        <w:jc w:val="center"/>
      </w:pPr>
      <w:r>
        <w:rPr>
          <w:b w:val="false"/>
          <w:bCs w:val="false"/>
          <w:color w:val="444444"/>
          <w:sz w:val="22"/>
          <w:szCs w:val="22"/>
          <w:rtl w:val="false"/>
        </w:rPr>
        <w:t xml:space="preserve">BL-20260821b-dbba1ef0</w:t>
      </w:r>
    </w:p>
    <w:p>
      <w:pPr>
        <w:bidi/>
        <w:spacing w:after="70" w:before="520"/>
        <w:jc w:val="center"/>
      </w:pPr>
      <w:r>
        <w:rPr>
          <w:b/>
          <w:bCs/>
          <w:i w:val="false"/>
          <w:iCs w:val="false"/>
          <w:sz w:val="26"/>
          <w:szCs w:val="26"/>
          <w:rtl/>
        </w:rPr>
        <w:t xml:space="preserve">الإصدار 1.0</w:t>
      </w:r>
    </w:p>
    <w:p>
      <w:pPr>
        <w:bidi/>
        <w:spacing w:after="130" w:line="330"/>
        <w:jc w:val="center"/>
      </w:pPr>
      <w:r>
        <w:rPr>
          <w:b w:val="false"/>
          <w:bCs w:val="false"/>
          <w:i w:val="false"/>
          <w:iCs w:val="false"/>
          <w:color w:val="555555"/>
          <w:sz w:val="22"/>
          <w:szCs w:val="22"/>
          <w:rtl/>
        </w:rPr>
        <w:t xml:space="preserve">منصة إنجاز — مجموعة إكوبيشن · </w:t>
      </w:r>
      <w:r>
        <w:rPr>
          <w:b w:val="false"/>
          <w:bCs w:val="false"/>
          <w:i w:val="false"/>
          <w:iCs w:val="false"/>
          <w:color w:val="555555"/>
          <w:sz w:val="22"/>
          <w:szCs w:val="22"/>
          <w:rtl w:val="false"/>
        </w:rPr>
        <w:t xml:space="preserve">2026-08-22</w:t>
      </w:r>
    </w:p>
    <w:p>
      <w:r>
        <w:br w:type="page"/>
      </w:r>
    </w:p>
    <w:p>
      <w:pPr>
        <w:pStyle w:val="Heading1"/>
        <w:keepNext/>
        <w:bidi/>
        <w:spacing w:after="180" w:before="360"/>
        <w:jc w:val="right"/>
      </w:pPr>
      <w:r>
        <w:rPr>
          <w:b/>
          <w:bCs/>
          <w:rtl/>
        </w:rPr>
        <w:t xml:space="preserve">الملخص التنفيذي</w:t>
      </w:r>
    </w:p>
    <w:p>
      <w:pPr>
        <w:bidi/>
        <w:spacing w:after="130" w:line="330"/>
        <w:jc w:val="right"/>
      </w:pPr>
      <w:r>
        <w:rPr>
          <w:b w:val="false"/>
          <w:bCs w:val="false"/>
          <w:i w:val="false"/>
          <w:iCs w:val="false"/>
          <w:sz w:val="24"/>
          <w:szCs w:val="24"/>
          <w:rtl/>
        </w:rPr>
        <w:t xml:space="preserve">بين اللقطتين ثلاثةٌ وأربعون التزامًا في جولتَي إصلاح. الحكم في سطرين: تحسّنت الحوكمة والأمن تحسُّنًا حقيقيًّا مقيسًا — تسعُ فجواتٍ أُغلقت بشاهدٍ متحقَّق أخطرها الحقول الحساسة وعزل الواجهة البرمجية وإثبات النسخ والاستعادة — ولم يتحسّن التشغيل: الرحلاتُ بلا وصلِ سلاليم، والأحداثُ بلا مستهلك أعمال، والتسوياتُ صفرٌ مدفوع، والفوترةُ غائبةٌ أصلًا، وصفرُ حركةٍ مالية منذ خمسة أيام.</w:t>
      </w:r>
    </w:p>
    <w:p>
      <w:pPr>
        <w:bidi/>
        <w:spacing w:after="130" w:line="330"/>
        <w:jc w:val="right"/>
      </w:pPr>
      <w:r>
        <w:rPr>
          <w:b/>
          <w:bCs/>
          <w:i w:val="false"/>
          <w:iCs w:val="false"/>
          <w:sz w:val="24"/>
          <w:szCs w:val="24"/>
          <w:rtl/>
        </w:rPr>
        <w:t xml:space="preserve">وتقييمُ الخبير المرفق مطابقٌ لأرقام تقرير الحالة، وقد اعتُمدت صفوفه كاملةً داخل جدول الفروق أدناه. ويضيف هذا التقرير فوقه ثلاث طبقات: أولاها أن مقياسَ الإغلاق نفسه معطوب فلا يُقرأ أي إعلان إغلاقٍ قبل إصلاحه، وثانيتها انتقالُ حالة سجل الفجوات الملحق بندًا بندًا، وثالثتها أثرُ اللقطة على وثائق المواءمة الثلاث المعلّقة وما وجب تصحيحه فيها قبل الإرسال.</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50"/>
        <w:gridCol w:w="2450"/>
        <w:gridCol w:w="2450"/>
        <w:gridCol w:w="2450"/>
      </w:tblGrid>
      <w:tr>
        <w:trPr>
          <w:cantSplit/>
        </w:trPr>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التزامات بين اللقطتين</w:t>
            </w:r>
          </w:p>
          <w:p>
            <w:pPr>
              <w:bidi/>
              <w:spacing w:after="20" w:line="280"/>
              <w:jc w:val="center"/>
            </w:pPr>
            <w:r>
              <w:rPr>
                <w:b/>
                <w:bCs/>
                <w:color w:val="1F3B57"/>
                <w:sz w:val="30"/>
                <w:szCs w:val="30"/>
                <w:rtl/>
              </w:rPr>
              <w:t xml:space="preserve">43</w:t>
            </w:r>
          </w:p>
        </w:tc>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فجوات أُغلقت بشاهد</w:t>
            </w:r>
          </w:p>
          <w:p>
            <w:pPr>
              <w:bidi/>
              <w:spacing w:after="20" w:line="280"/>
              <w:jc w:val="center"/>
            </w:pPr>
            <w:r>
              <w:rPr>
                <w:b/>
                <w:bCs/>
                <w:color w:val="1F6B3A"/>
                <w:sz w:val="30"/>
                <w:szCs w:val="30"/>
                <w:rtl/>
              </w:rPr>
              <w:t xml:space="preserve">9</w:t>
            </w:r>
          </w:p>
        </w:tc>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بنود سجلّنا المغلقة</w:t>
            </w:r>
          </w:p>
          <w:p>
            <w:pPr>
              <w:bidi/>
              <w:spacing w:after="20" w:line="280"/>
              <w:jc w:val="center"/>
            </w:pPr>
            <w:r>
              <w:rPr>
                <w:b/>
                <w:bCs/>
                <w:color w:val="1F6B3A"/>
                <w:sz w:val="30"/>
                <w:szCs w:val="30"/>
                <w:rtl/>
              </w:rPr>
              <w:t xml:space="preserve">4 من 26</w:t>
            </w:r>
          </w:p>
        </w:tc>
        <w:tc>
          <w:tcPr>
            <w:tcW w:type="dxa" w:w="2450"/>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عقد السلسلة غير المبنية</w:t>
            </w:r>
          </w:p>
          <w:p>
            <w:pPr>
              <w:bidi/>
              <w:spacing w:after="20" w:line="280"/>
              <w:jc w:val="center"/>
            </w:pPr>
            <w:r>
              <w:rPr>
                <w:b/>
                <w:bCs/>
                <w:color w:val="A3151F"/>
                <w:sz w:val="30"/>
                <w:szCs w:val="30"/>
                <w:rtl/>
              </w:rPr>
              <w:t xml:space="preserve">16 كما هي</w:t>
            </w:r>
          </w:p>
        </w:tc>
      </w:tr>
    </w:tbl>
    <w:p>
      <w:pPr>
        <w:spacing w:after="150"/>
      </w:pPr>
    </w:p>
    <w:p>
      <w:r>
        <w:br w:type="page"/>
      </w:r>
    </w:p>
    <w:p>
      <w:pPr>
        <w:pStyle w:val="Heading1"/>
        <w:keepNext/>
        <w:bidi/>
        <w:spacing w:after="180" w:before="360"/>
        <w:jc w:val="right"/>
      </w:pPr>
      <w:r>
        <w:rPr>
          <w:b/>
          <w:bCs/>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keepNext/>
        <w:bidi/>
        <w:spacing w:after="180" w:before="360"/>
        <w:jc w:val="right"/>
      </w:pPr>
      <w:r>
        <w:rPr>
          <w:b/>
          <w:bCs/>
          <w:rtl/>
        </w:rPr>
        <w:t xml:space="preserve">الباب الأول — ما تغيّر بين اللقطتين رقمًا رقمًا</w:t>
      </w:r>
    </w:p>
    <w:p>
      <w:pPr>
        <w:bidi/>
        <w:spacing w:after="130" w:line="330"/>
        <w:jc w:val="right"/>
      </w:pPr>
      <w:r>
        <w:rPr>
          <w:b w:val="false"/>
          <w:bCs w:val="false"/>
          <w:i w:val="false"/>
          <w:iCs w:val="false"/>
          <w:sz w:val="24"/>
          <w:szCs w:val="24"/>
          <w:rtl/>
        </w:rPr>
        <w:t xml:space="preserve">كل صفٍّ ببسطه ومقامه، والقراءةُ حكمُ هذا التدقيق لا وصفُ الجولة لنفسها: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1250"/>
        <w:gridCol w:w="1250"/>
        <w:gridCol w:w="47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المؤشر</w:t>
            </w:r>
          </w:p>
        </w:tc>
        <w:tc>
          <w:tcPr>
            <w:tcW w:type="dxa" w:w="12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قبل</w:t>
            </w:r>
          </w:p>
        </w:tc>
        <w:tc>
          <w:tcPr>
            <w:tcW w:type="dxa" w:w="12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بعد</w:t>
            </w:r>
          </w:p>
        </w:tc>
        <w:tc>
          <w:tcPr>
            <w:tcW w:type="dxa" w:w="4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القراءة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الإغلاق المعماري بالدليل</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5/12</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val="false"/>
              </w:rPr>
              <w:t xml:space="preserve">8/15</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قدرات معيارية مغلقة بشاهد حي — تحسّن حقيقي وليس نسبة اكتمال النظام</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الهجرات داخل الدفتر</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528/563</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578/593</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النسبة تحسّنت — والخلل الإجرائي نفسه تكرر بخمس عشرة هجرة جديدة خارجه</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تقاطع مفاتيح السلاليم</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0</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3 من 5</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جسر المفتاح صار يعمل — وجوهر الاعتماد لم يتحسن لأن الرحلات بلا وصل</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مستهلكو الأعمال للأحداث</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0/58</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0/58</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لم يتغيّر — الأنواع كلها محكومة ولا مستهلك أعمال واحد</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تسويات الموردين المدفوعة</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0</w:t>
            </w:r>
          </w:p>
        </w:tc>
        <w:tc>
          <w:tcPr>
            <w:tcW w:type="dxa" w:w="1250"/>
            <w:tcMar>
              <w:top w:type="dxa" w:w="70"/>
              <w:left w:type="dxa" w:w="95"/>
              <w:bottom w:type="dxa" w:w="70"/>
              <w:right w:type="dxa" w:w="95"/>
            </w:tcMar>
            <w:vAlign w:val="center"/>
          </w:tcPr>
          <w:p>
            <w:pPr>
              <w:bidi w:val="false"/>
              <w:spacing w:after="20" w:line="280"/>
              <w:jc w:val="center"/>
            </w:pPr>
            <w:r>
              <w:rPr>
                <w:b/>
                <w:bCs/>
                <w:color w:val="A3151F"/>
                <w:sz w:val="19"/>
                <w:szCs w:val="19"/>
                <w:rtl/>
              </w:rPr>
              <w:t xml:space="preserve">0 من 469</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لم يتغيّر — وهو قلب رحلة المورد</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جاهزية ترحيل القوالب</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77.8٪</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val="false"/>
              </w:rPr>
              <w:t xml:space="preserve">516/663</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ثابتة تقريبًا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الجداول الأساسية</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603</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618</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خمسة عشر جدولًا حاكمًا جديدًا بينها أحكام الأحداث وجسر المراحل</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سلاليم الاعتماد النشطة</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13</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17</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أُضيفت سلاليم الكيانات: العقد والسائق والمعدة والخصم</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أحكام ملكية الشاشات</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46</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259</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جولة أحكامٍ بدل الترجيح بالأغلبية</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ملكية بترجيح أغلبية</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126</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13</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اثنا عشر من الثلاثة عشر مرادفات اسمٍ لا نزاع</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شاشة بمالك مجهول</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213</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112</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التفصيل بقوائم جاهزة في ورقة ما لم يُحسم</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ظهورات العبور المصنَّفة</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888</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942</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كلها بقرار مؤكَّد، والممنوع 204</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تسليمات أحداث يتيمة</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60</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0</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أرشفة ثم قيدُ حذفٍ متسلسل</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حقول حساسة داخل الإنفاذ</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15/34</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val="false"/>
              </w:rPr>
              <w:t xml:space="preserve">34/34</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توحيد ثلاثة أعمدة وقيدٌ وتشديد الحكم</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عملات نشطة مسعَّرة</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4/9</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val="false"/>
              </w:rPr>
              <w:t xml:space="preserve">3/3</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عُطِّلت الخمس بلا سعر بدل اختراع أسعار</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هجرات خارج الدفتر</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35</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15</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الخمس والثلاثون قُيِّدت — و15 جديدة بالنمط نفسه</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ملفات بسنة قادمة في الاسم</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35</w:t>
            </w:r>
          </w:p>
        </w:tc>
        <w:tc>
          <w:tcPr>
            <w:tcW w:type="dxa" w:w="1250"/>
            <w:tcMar>
              <w:top w:type="dxa" w:w="70"/>
              <w:left w:type="dxa" w:w="95"/>
              <w:bottom w:type="dxa" w:w="70"/>
              <w:right w:type="dxa" w:w="95"/>
            </w:tcMar>
            <w:vAlign w:val="center"/>
          </w:tcPr>
          <w:p>
            <w:pPr>
              <w:bidi w:val="false"/>
              <w:spacing w:after="20" w:line="280"/>
              <w:jc w:val="center"/>
            </w:pPr>
            <w:r>
              <w:rPr>
                <w:b/>
                <w:bCs/>
                <w:color w:val="A3151F"/>
                <w:sz w:val="19"/>
                <w:szCs w:val="19"/>
                <w:rtl/>
              </w:rPr>
              <w:t xml:space="preserve">242</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النمط اتّسع بدل أن يُحسم</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صندوق الرسائل الميتة</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86</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26</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كلها محكومة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الرحلات الموصولة بالسلاليم</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0/14</w:t>
            </w:r>
          </w:p>
        </w:tc>
        <w:tc>
          <w:tcPr>
            <w:tcW w:type="dxa" w:w="1250"/>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0/14</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لم يتغيّر — قلب </w:t>
            </w:r>
            <w:r>
              <w:rPr>
                <w:b w:val="false"/>
                <w:bCs w:val="false"/>
                <w:sz w:val="19"/>
                <w:szCs w:val="19"/>
                <w:rtl w:val="false"/>
              </w:rPr>
              <w:t xml:space="preserve">GAP-01</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الشاشات الذهبية المعتمدة</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0/10</w:t>
            </w:r>
          </w:p>
        </w:tc>
        <w:tc>
          <w:tcPr>
            <w:tcW w:type="dxa" w:w="1250"/>
            <w:shd w:fill="F2F6FA" w:color="auto" w:val="clear"/>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0/10</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لم يتغيّر</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النسخ والاستعادة</w:t>
            </w:r>
          </w:p>
        </w:tc>
        <w:tc>
          <w:tcPr>
            <w:tcW w:type="dxa" w:w="1250"/>
            <w:tcMar>
              <w:top w:type="dxa" w:w="70"/>
              <w:left w:type="dxa" w:w="95"/>
              <w:bottom w:type="dxa" w:w="70"/>
              <w:right w:type="dxa" w:w="95"/>
            </w:tcMar>
            <w:vAlign w:val="center"/>
          </w:tcPr>
          <w:p>
            <w:pPr>
              <w:bidi w:val="false"/>
              <w:spacing w:after="20" w:line="280"/>
              <w:jc w:val="center"/>
            </w:pPr>
            <w:r>
              <w:rPr>
                <w:b w:val="false"/>
                <w:bCs w:val="false"/>
                <w:sz w:val="19"/>
                <w:szCs w:val="19"/>
                <w:rtl/>
              </w:rPr>
              <w:t xml:space="preserve">مجهول</w:t>
            </w:r>
          </w:p>
        </w:tc>
        <w:tc>
          <w:tcPr>
            <w:tcW w:type="dxa" w:w="1250"/>
            <w:tcMar>
              <w:top w:type="dxa" w:w="70"/>
              <w:left w:type="dxa" w:w="95"/>
              <w:bottom w:type="dxa" w:w="70"/>
              <w:right w:type="dxa" w:w="95"/>
            </w:tcMar>
            <w:vAlign w:val="center"/>
          </w:tcPr>
          <w:p>
            <w:pPr>
              <w:bidi w:val="false"/>
              <w:spacing w:after="20" w:line="280"/>
              <w:jc w:val="center"/>
            </w:pPr>
            <w:r>
              <w:rPr>
                <w:b/>
                <w:bCs/>
                <w:color w:val="1F6B3A"/>
                <w:sz w:val="19"/>
                <w:szCs w:val="19"/>
                <w:rtl/>
              </w:rPr>
              <w:t xml:space="preserve">مثبَت</w:t>
            </w:r>
          </w:p>
        </w:tc>
        <w:tc>
          <w:tcPr>
            <w:tcW w:type="dxa" w:w="4700"/>
            <w:tcMar>
              <w:top w:type="dxa" w:w="70"/>
              <w:left w:type="dxa" w:w="95"/>
              <w:bottom w:type="dxa" w:w="70"/>
              <w:right w:type="dxa" w:w="95"/>
            </w:tcMar>
            <w:vAlign w:val="center"/>
          </w:tcPr>
          <w:p>
            <w:pPr>
              <w:bidi/>
              <w:spacing w:after="20" w:line="280"/>
              <w:jc w:val="right"/>
            </w:pPr>
            <w:r>
              <w:rPr>
                <w:b w:val="false"/>
                <w:bCs w:val="false"/>
                <w:sz w:val="19"/>
                <w:szCs w:val="19"/>
                <w:rtl/>
              </w:rPr>
              <w:t xml:space="preserve">استعادة كاملة في 58.5 ثانية واستعادة نقطة زمن في 6 ثوانٍ</w:t>
            </w:r>
          </w:p>
        </w:tc>
      </w:tr>
    </w:tbl>
    <w:p>
      <w:pPr>
        <w:pStyle w:val="Heading2"/>
        <w:keepNext/>
        <w:bidi/>
        <w:spacing w:after="140" w:before="280"/>
        <w:jc w:val="right"/>
      </w:pPr>
      <w:r>
        <w:rPr>
          <w:b/>
          <w:bCs/>
          <w:rtl/>
        </w:rPr>
        <w:t xml:space="preserve">الأنماط الثلاثة الحاكمة في قراءة الجولة</w:t>
      </w:r>
    </w:p>
    <w:p>
      <w:pPr>
        <w:bidi/>
        <w:spacing w:after="130" w:line="330"/>
        <w:jc w:val="right"/>
      </w:pPr>
      <w:r>
        <w:rPr>
          <w:b w:val="false"/>
          <w:bCs w:val="false"/>
          <w:i w:val="false"/>
          <w:iCs w:val="false"/>
          <w:sz w:val="24"/>
          <w:szCs w:val="24"/>
          <w:rtl/>
        </w:rPr>
        <w:t xml:space="preserve">أولًا: السقّاطة تُجمّد الدين ولا تغلقه — فاحصٌ يرسُب عند النقصان أيضًا يعني «لم يزد» لا «أُصلح». ثانيًا: العطبُ يُستنسخ في علاجه — سجلُّ الأحكام الذي أُنشئ لعلاج «سجل بلا قارئ» هو نفسه بلا قارئ إنتاج. ثالثًا وأخطرها: مقياسُ الإغلاق نفسه معطوب — أداةُ التغطية تعدّ الفجوة مغطاةً إن ذكر رمزَها فاحصٌ أخضر، فأعلنت ثلاثًا وثلاثين من ثلاثٍ وثلاثين بينما فاحصُ إحداها ينفي الإغلاق بنصّه. فلا يُقرأ أي رقم إغلاقٍ في وثائق الجولة إلا عبر جدول الادعاءات المردودة.</w:t>
      </w:r>
    </w:p>
    <w:p>
      <w:r>
        <w:br w:type="page"/>
      </w:r>
    </w:p>
    <w:p>
      <w:pPr>
        <w:pStyle w:val="Heading1"/>
        <w:keepNext/>
        <w:bidi/>
        <w:spacing w:after="180" w:before="360"/>
        <w:jc w:val="right"/>
      </w:pPr>
      <w:r>
        <w:rPr>
          <w:b/>
          <w:bCs/>
          <w:rtl/>
        </w:rPr>
        <w:t xml:space="preserve">الباب الثاني — انتقال حالة سجل الفجوات الملحق</w:t>
      </w:r>
    </w:p>
    <w:p>
      <w:pPr>
        <w:bidi/>
        <w:spacing w:after="130" w:line="330"/>
        <w:jc w:val="right"/>
      </w:pPr>
      <w:r>
        <w:rPr>
          <w:b w:val="false"/>
          <w:bCs w:val="false"/>
          <w:i w:val="false"/>
          <w:iCs w:val="false"/>
          <w:sz w:val="24"/>
          <w:szCs w:val="24"/>
          <w:rtl/>
        </w:rPr>
        <w:t xml:space="preserve">السجلُّ الموحّد في التقرير السابق حمل ستًّا وعشرين فجوة. هذه حالتها اليوم على اللقطة الجديدة، بقياسٍ آليٍّ أُعيد تشغيله على المصنَّف الجديد لا نقلًا عن وثائق الجولة: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1150"/>
        <w:gridCol w:w="1450"/>
        <w:gridCol w:w="5000"/>
        <w:gridCol w:w="2200"/>
      </w:tblGrid>
      <w:tr>
        <w:trPr>
          <w:cantSplit/>
          <w:tblHeader/>
        </w:trPr>
        <w:tc>
          <w:tcPr>
            <w:tcW w:type="dxa" w:w="11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الرمز</w:t>
            </w:r>
          </w:p>
        </w:tc>
        <w:tc>
          <w:tcPr>
            <w:tcW w:type="dxa" w:w="14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الحالة الآن</w:t>
            </w:r>
          </w:p>
        </w:tc>
        <w:tc>
          <w:tcPr>
            <w:tcW w:type="dxa" w:w="5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الشرح</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الدليل</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NF-01</w:t>
            </w:r>
          </w:p>
          <w:p>
            <w:pPr>
              <w:bidi w:val="false"/>
              <w:spacing w:after="20" w:line="280"/>
              <w:jc w:val="center"/>
            </w:pPr>
            <w:r>
              <w:rPr>
                <w:b w:val="false"/>
                <w:bCs w:val="false"/>
                <w:color w:val="5A6B7B"/>
                <w:sz w:val="18"/>
                <w:szCs w:val="18"/>
                <w:rtl w:val="false"/>
              </w:rPr>
              <w:t xml:space="preserve">P0</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 — تأكّد</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مسارُ الفوترة المؤدّي إلى الفاتورة مفقودٌ لا الفاتورةُ نفسها: ثلاثُ عقدٍ غير مبنية هي الاستحقاق وشهادة الإنجاز وفاتورة المطالبة، بينما الفاتورةُ الضريبية قائمةٌ على القرص عند مالكها. ودفترُ الدورة 184 ملفًّا بلا وجود تنزل بعد بوابة المصالحة إلى 53 سقفًا لا حكمًا — 131 منها مبنيّ باسم آخر</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F-B24</w:t>
            </w:r>
            <w:r>
              <w:rPr>
                <w:b w:val="false"/>
                <w:bCs w:val="false"/>
                <w:color w:val="2E4A63"/>
                <w:sz w:val="18"/>
                <w:szCs w:val="18"/>
                <w:rtl/>
              </w:rPr>
              <w:t xml:space="preserve"> · </w:t>
            </w:r>
            <w:r>
              <w:rPr>
                <w:b w:val="false"/>
                <w:bCs w:val="false"/>
                <w:color w:val="2E4A63"/>
                <w:sz w:val="18"/>
                <w:szCs w:val="18"/>
                <w:rtl w:val="false"/>
              </w:rPr>
              <w:t xml:space="preserve">dc0d0b12</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NF-02</w:t>
            </w:r>
          </w:p>
          <w:p>
            <w:pPr>
              <w:bidi w:val="false"/>
              <w:spacing w:after="20" w:line="280"/>
              <w:jc w:val="center"/>
            </w:pPr>
            <w:r>
              <w:rPr>
                <w:b w:val="false"/>
                <w:bCs w:val="false"/>
                <w:color w:val="5A6B7B"/>
                <w:sz w:val="18"/>
                <w:szCs w:val="18"/>
                <w:rtl/>
              </w:rPr>
              <w:t xml:space="preserve">—</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1F6B3A"/>
                <w:sz w:val="19"/>
                <w:szCs w:val="19"/>
                <w:rtl/>
              </w:rPr>
              <w:t xml:space="preserve">مُغلق بنيويًّا</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اللقطة السابقة أُرشفت بقاعدة «أرقامها تاريخٌ لا حاضر»، والحزمة كلها على معرّف لقطة واحد ثابت طوال القياس</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SNAPSHOT-1</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NF-03</w:t>
            </w:r>
          </w:p>
          <w:p>
            <w:pPr>
              <w:bidi w:val="false"/>
              <w:spacing w:after="20" w:line="280"/>
              <w:jc w:val="center"/>
            </w:pPr>
            <w:r>
              <w:rPr>
                <w:b w:val="false"/>
                <w:bCs w:val="false"/>
                <w:color w:val="5A6B7B"/>
                <w:sz w:val="18"/>
                <w:szCs w:val="18"/>
                <w:rtl w:val="false"/>
              </w:rPr>
              <w:t xml:space="preserve">P0</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147 صفًّا بمعرّف نصيٍّ كما كانت — وملحق الجولة يسمّي مقامًا أوسع بلا جدول تحويل بين المقامين</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05</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NF-04</w:t>
            </w:r>
          </w:p>
          <w:p>
            <w:pPr>
              <w:bidi w:val="false"/>
              <w:spacing w:after="20" w:line="280"/>
              <w:jc w:val="center"/>
            </w:pPr>
            <w:r>
              <w:rPr>
                <w:b w:val="false"/>
                <w:bCs w:val="false"/>
                <w:color w:val="5A6B7B"/>
                <w:sz w:val="18"/>
                <w:szCs w:val="18"/>
                <w:rtl w:val="false"/>
              </w:rPr>
              <w:t xml:space="preserve">P1</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8A4B00"/>
                <w:sz w:val="19"/>
                <w:szCs w:val="19"/>
                <w:rtl/>
              </w:rPr>
              <w:t xml:space="preserve">جزئي كبير</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الجسر بُني فعلًا: 17 مرحلة معيارية و111 جسرًا — والاشتقاق لم يُفعَّل عمدًا لبقاء الدفتر والسايدبار مجتمعين</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d08ec239</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NF-05</w:t>
            </w:r>
          </w:p>
          <w:p>
            <w:pPr>
              <w:bidi w:val="false"/>
              <w:spacing w:after="20" w:line="280"/>
              <w:jc w:val="center"/>
            </w:pPr>
            <w:r>
              <w:rPr>
                <w:b w:val="false"/>
                <w:bCs w:val="false"/>
                <w:color w:val="5A6B7B"/>
                <w:sz w:val="18"/>
                <w:szCs w:val="18"/>
                <w:rtl w:val="false"/>
              </w:rPr>
              <w:t xml:space="preserve">P1</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تفاقم</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خمس عشرة هجرة جديدة خارج الدفتر بالنمط نفسه، والملفات بسنة قادمة صارت 242 من 352</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F-B01</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NF-06</w:t>
            </w:r>
          </w:p>
          <w:p>
            <w:pPr>
              <w:bidi w:val="false"/>
              <w:spacing w:after="20" w:line="280"/>
              <w:jc w:val="center"/>
            </w:pPr>
            <w:r>
              <w:rPr>
                <w:b w:val="false"/>
                <w:bCs w:val="false"/>
                <w:color w:val="5A6B7B"/>
                <w:sz w:val="18"/>
                <w:szCs w:val="18"/>
                <w:rtl/>
              </w:rPr>
              <w:t xml:space="preserve">—</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1F6B3A"/>
                <w:sz w:val="19"/>
                <w:szCs w:val="19"/>
                <w:rtl/>
              </w:rPr>
              <w:t xml:space="preserve">مُغلق</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صفر صف متقاعد في السجل — وتصحيح الوسم كاد يوقف المجدول لولا تدقيق الملحق</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قياس 01</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NF-07</w:t>
            </w:r>
          </w:p>
          <w:p>
            <w:pPr>
              <w:bidi w:val="false"/>
              <w:spacing w:after="20" w:line="280"/>
              <w:jc w:val="center"/>
            </w:pPr>
            <w:r>
              <w:rPr>
                <w:b w:val="false"/>
                <w:bCs w:val="false"/>
                <w:color w:val="5A6B7B"/>
                <w:sz w:val="18"/>
                <w:szCs w:val="18"/>
                <w:rtl w:val="false"/>
              </w:rPr>
              <w:t xml:space="preserve">P2</w:t>
            </w:r>
          </w:p>
        </w:tc>
        <w:tc>
          <w:tcPr>
            <w:tcW w:type="dxa" w:w="1450"/>
            <w:tcMar>
              <w:top w:type="dxa" w:w="70"/>
              <w:left w:type="dxa" w:w="95"/>
              <w:bottom w:type="dxa" w:w="70"/>
              <w:right w:type="dxa" w:w="95"/>
            </w:tcMar>
            <w:vAlign w:val="center"/>
          </w:tcPr>
          <w:p>
            <w:pPr>
              <w:bidi/>
              <w:spacing w:after="20" w:line="280"/>
              <w:jc w:val="center"/>
            </w:pPr>
            <w:r>
              <w:rPr>
                <w:b/>
                <w:bCs/>
                <w:color w:val="8A4B00"/>
                <w:sz w:val="19"/>
                <w:szCs w:val="19"/>
                <w:rtl/>
              </w:rPr>
              <w:t xml:space="preserve">جزئي</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المستخدمون 76 مقيسًا، وجسر </w:t>
            </w:r>
            <w:r>
              <w:rPr>
                <w:b w:val="false"/>
                <w:bCs w:val="false"/>
                <w:sz w:val="19"/>
                <w:szCs w:val="19"/>
                <w:rtl w:val="false"/>
              </w:rPr>
              <w:t xml:space="preserve">75/78</w:t>
            </w:r>
            <w:r>
              <w:rPr>
                <w:b w:val="false"/>
                <w:bCs w:val="false"/>
                <w:sz w:val="19"/>
                <w:szCs w:val="19"/>
                <w:rtl/>
              </w:rPr>
              <w:t xml:space="preserve"> أُعلن بسببه — ويبقى مقام 76 مقابل 78 بلا جسر معلن</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F-B20</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NF-08</w:t>
            </w:r>
          </w:p>
          <w:p>
            <w:pPr>
              <w:bidi w:val="false"/>
              <w:spacing w:after="20" w:line="280"/>
              <w:jc w:val="center"/>
            </w:pPr>
            <w:r>
              <w:rPr>
                <w:b w:val="false"/>
                <w:bCs w:val="false"/>
                <w:color w:val="5A6B7B"/>
                <w:sz w:val="18"/>
                <w:szCs w:val="18"/>
                <w:rtl w:val="false"/>
              </w:rPr>
              <w:t xml:space="preserve">P1</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الاسم القانوني الإنجليزي مجهول في </w:t>
            </w:r>
            <w:r>
              <w:rPr>
                <w:b w:val="false"/>
                <w:bCs w:val="false"/>
                <w:sz w:val="19"/>
                <w:szCs w:val="19"/>
                <w:rtl w:val="false"/>
              </w:rPr>
              <w:t xml:space="preserve">613/613</w:t>
            </w:r>
            <w:r>
              <w:rPr>
                <w:b w:val="false"/>
                <w:bCs w:val="false"/>
                <w:sz w:val="19"/>
                <w:szCs w:val="19"/>
                <w:rtl/>
              </w:rPr>
              <w:t xml:space="preserve"> وعمود التوليد ميت — والجديد عمود «على القرص» معبَّأ بالكامل</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01</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NF-09</w:t>
            </w:r>
          </w:p>
          <w:p>
            <w:pPr>
              <w:bidi w:val="false"/>
              <w:spacing w:after="20" w:line="280"/>
              <w:jc w:val="center"/>
            </w:pPr>
            <w:r>
              <w:rPr>
                <w:b w:val="false"/>
                <w:bCs w:val="false"/>
                <w:color w:val="5A6B7B"/>
                <w:sz w:val="18"/>
                <w:szCs w:val="18"/>
                <w:rtl w:val="false"/>
              </w:rPr>
              <w:t xml:space="preserve">P1</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عمود الحساسية فارغ في السجل كله — مع أن السياسات الأربع والثلاثين صارت كلها داخل الإنفاذ</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02</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NF-10</w:t>
            </w:r>
          </w:p>
          <w:p>
            <w:pPr>
              <w:bidi w:val="false"/>
              <w:spacing w:after="20" w:line="280"/>
              <w:jc w:val="center"/>
            </w:pPr>
            <w:r>
              <w:rPr>
                <w:b w:val="false"/>
                <w:bCs w:val="false"/>
                <w:color w:val="5A6B7B"/>
                <w:sz w:val="18"/>
                <w:szCs w:val="18"/>
                <w:rtl w:val="false"/>
              </w:rPr>
              <w:t xml:space="preserve">P1</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7,202 من 12,929 حقلًا بلا اسم تقني</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02</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NF-11</w:t>
            </w:r>
          </w:p>
          <w:p>
            <w:pPr>
              <w:bidi w:val="false"/>
              <w:spacing w:after="20" w:line="280"/>
              <w:jc w:val="center"/>
            </w:pPr>
            <w:r>
              <w:rPr>
                <w:b w:val="false"/>
                <w:bCs w:val="false"/>
                <w:color w:val="5A6B7B"/>
                <w:sz w:val="18"/>
                <w:szCs w:val="18"/>
                <w:rtl w:val="false"/>
              </w:rPr>
              <w:t xml:space="preserve">P2</w:t>
            </w:r>
          </w:p>
        </w:tc>
        <w:tc>
          <w:tcPr>
            <w:tcW w:type="dxa" w:w="1450"/>
            <w:tcMar>
              <w:top w:type="dxa" w:w="70"/>
              <w:left w:type="dxa" w:w="95"/>
              <w:bottom w:type="dxa" w:w="70"/>
              <w:right w:type="dxa" w:w="95"/>
            </w:tcMar>
            <w:vAlign w:val="center"/>
          </w:tcPr>
          <w:p>
            <w:pPr>
              <w:bidi/>
              <w:spacing w:after="20" w:line="280"/>
              <w:jc w:val="center"/>
            </w:pPr>
            <w:r>
              <w:rPr>
                <w:b/>
                <w:bCs/>
                <w:color w:val="8A4B00"/>
                <w:sz w:val="19"/>
                <w:szCs w:val="19"/>
                <w:rtl/>
              </w:rPr>
              <w:t xml:space="preserve">جزئي</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حدُّ الاستخراج صار معلَنًا في فحوص التسليم بدل ادعاء المئة — والتمديد إلى الأسطح غير التنقّلية لم يقع</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فحوص </w:t>
            </w:r>
            <w:r>
              <w:rPr>
                <w:b w:val="false"/>
                <w:bCs w:val="false"/>
                <w:color w:val="2E4A63"/>
                <w:sz w:val="18"/>
                <w:szCs w:val="18"/>
                <w:rtl w:val="false"/>
              </w:rPr>
              <w:t xml:space="preserve">§9</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NF-12</w:t>
            </w:r>
          </w:p>
          <w:p>
            <w:pPr>
              <w:bidi w:val="false"/>
              <w:spacing w:after="20" w:line="280"/>
              <w:jc w:val="center"/>
            </w:pPr>
            <w:r>
              <w:rPr>
                <w:b w:val="false"/>
                <w:bCs w:val="false"/>
                <w:color w:val="5A6B7B"/>
                <w:sz w:val="18"/>
                <w:szCs w:val="18"/>
                <w:rtl w:val="false"/>
              </w:rPr>
              <w:t xml:space="preserve">P1</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91 ظهورًا بلا ترتيب كما هي — وقياس الملحق يضيف أن 621 من 663 داخل تصادم الثلاثية</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05</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NF-13</w:t>
            </w:r>
          </w:p>
          <w:p>
            <w:pPr>
              <w:bidi w:val="false"/>
              <w:spacing w:after="20" w:line="280"/>
              <w:jc w:val="center"/>
            </w:pPr>
            <w:r>
              <w:rPr>
                <w:b w:val="false"/>
                <w:bCs w:val="false"/>
                <w:color w:val="5A6B7B"/>
                <w:sz w:val="18"/>
                <w:szCs w:val="18"/>
                <w:rtl w:val="false"/>
              </w:rPr>
              <w:t xml:space="preserve">P1</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تصنيف المسار العابر بمراحل متناقضة كما هو</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05</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NF-14</w:t>
            </w:r>
          </w:p>
          <w:p>
            <w:pPr>
              <w:bidi w:val="false"/>
              <w:spacing w:after="20" w:line="280"/>
              <w:jc w:val="center"/>
            </w:pPr>
            <w:r>
              <w:rPr>
                <w:b w:val="false"/>
                <w:bCs w:val="false"/>
                <w:color w:val="5A6B7B"/>
                <w:sz w:val="18"/>
                <w:szCs w:val="18"/>
                <w:rtl w:val="false"/>
              </w:rPr>
              <w:t xml:space="preserve">P1</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8A4B00"/>
                <w:sz w:val="19"/>
                <w:szCs w:val="19"/>
                <w:rtl/>
              </w:rPr>
              <w:t xml:space="preserve">جزئي كبير</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الترجيح هبط من 126 إلى 13 والمجهول من 213 إلى 112 بجولة أحكامٍ موثقة</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359</w:t>
            </w:r>
            <w:r>
              <w:rPr>
                <w:b w:val="false"/>
                <w:bCs w:val="false"/>
                <w:color w:val="2E4A63"/>
                <w:sz w:val="18"/>
                <w:szCs w:val="18"/>
                <w:rtl w:val="false"/>
              </w:rPr>
              <w:t xml:space="preserve">f60a3</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NF-15</w:t>
            </w:r>
          </w:p>
          <w:p>
            <w:pPr>
              <w:bidi w:val="false"/>
              <w:spacing w:after="20" w:line="280"/>
              <w:jc w:val="center"/>
            </w:pPr>
            <w:r>
              <w:rPr>
                <w:b w:val="false"/>
                <w:bCs w:val="false"/>
                <w:color w:val="5A6B7B"/>
                <w:sz w:val="18"/>
                <w:szCs w:val="18"/>
                <w:rtl w:val="false"/>
              </w:rPr>
              <w:t xml:space="preserve">P2</w:t>
            </w:r>
          </w:p>
        </w:tc>
        <w:tc>
          <w:tcPr>
            <w:tcW w:type="dxa" w:w="1450"/>
            <w:tcMar>
              <w:top w:type="dxa" w:w="70"/>
              <w:left w:type="dxa" w:w="95"/>
              <w:bottom w:type="dxa" w:w="70"/>
              <w:right w:type="dxa" w:w="95"/>
            </w:tcMar>
            <w:vAlign w:val="center"/>
          </w:tcPr>
          <w:p>
            <w:pPr>
              <w:bidi/>
              <w:spacing w:after="20" w:line="280"/>
              <w:jc w:val="center"/>
            </w:pPr>
            <w:r>
              <w:rPr>
                <w:b/>
                <w:bCs/>
                <w:color w:val="8A4B00"/>
                <w:sz w:val="19"/>
                <w:szCs w:val="19"/>
                <w:rtl/>
              </w:rPr>
              <w:t xml:space="preserve">جزئي كبير</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ورقة العبور صارت تصنيفًا حقيقيًّا بقرارات مؤكدة: ممنوع 204 وقراءة سياقية 65 وعمل مشترك 51</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06</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NF-16</w:t>
            </w:r>
          </w:p>
          <w:p>
            <w:pPr>
              <w:bidi w:val="false"/>
              <w:spacing w:after="20" w:line="280"/>
              <w:jc w:val="center"/>
            </w:pPr>
            <w:r>
              <w:rPr>
                <w:b w:val="false"/>
                <w:bCs w:val="false"/>
                <w:color w:val="5A6B7B"/>
                <w:sz w:val="18"/>
                <w:szCs w:val="18"/>
                <w:rtl w:val="false"/>
              </w:rPr>
              <w:t xml:space="preserve">P2</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وسم تخمة المراحل كما هو</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05</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NF-17</w:t>
            </w:r>
          </w:p>
          <w:p>
            <w:pPr>
              <w:bidi w:val="false"/>
              <w:spacing w:after="20" w:line="280"/>
              <w:jc w:val="center"/>
            </w:pPr>
            <w:r>
              <w:rPr>
                <w:b w:val="false"/>
                <w:bCs w:val="false"/>
                <w:color w:val="5A6B7B"/>
                <w:sz w:val="18"/>
                <w:szCs w:val="18"/>
                <w:rtl w:val="false"/>
              </w:rPr>
              <w:t xml:space="preserve">P2</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الشاشات الشخصية 80 قيدًا في 16 دفتر إدارة</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قياس 05</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NF-18</w:t>
            </w:r>
          </w:p>
          <w:p>
            <w:pPr>
              <w:bidi w:val="false"/>
              <w:spacing w:after="20" w:line="280"/>
              <w:jc w:val="center"/>
            </w:pPr>
            <w:r>
              <w:rPr>
                <w:b w:val="false"/>
                <w:bCs w:val="false"/>
                <w:color w:val="5A6B7B"/>
                <w:sz w:val="18"/>
                <w:szCs w:val="18"/>
                <w:rtl w:val="false"/>
              </w:rPr>
              <w:t xml:space="preserve">P1</w:t>
            </w:r>
            <w:r>
              <w:rPr>
                <w:b w:val="false"/>
                <w:bCs w:val="false"/>
                <w:color w:val="5A6B7B"/>
                <w:sz w:val="18"/>
                <w:szCs w:val="18"/>
                <w:rtl/>
              </w:rPr>
              <w:t xml:space="preserve"> ↑</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تحوّل إلى إلزام</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ازدواج الأسماء باقٍ — وقرار المالك الجديد يمنع أفعال المتكلم نهائيًّا، والدفتر الحي يحمل 60 صفًّا بمجموعات فعلية في ست إدارات بينها «نوزّع الحاويات» بلفظها المتقاعد</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قياس 05</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NF-19</w:t>
            </w:r>
          </w:p>
          <w:p>
            <w:pPr>
              <w:bidi w:val="false"/>
              <w:spacing w:after="20" w:line="280"/>
              <w:jc w:val="center"/>
            </w:pPr>
            <w:r>
              <w:rPr>
                <w:b w:val="false"/>
                <w:bCs w:val="false"/>
                <w:color w:val="5A6B7B"/>
                <w:sz w:val="18"/>
                <w:szCs w:val="18"/>
                <w:rtl/>
              </w:rPr>
              <w:t xml:space="preserve">—</w:t>
            </w:r>
          </w:p>
        </w:tc>
        <w:tc>
          <w:tcPr>
            <w:tcW w:type="dxa" w:w="1450"/>
            <w:tcMar>
              <w:top w:type="dxa" w:w="70"/>
              <w:left w:type="dxa" w:w="95"/>
              <w:bottom w:type="dxa" w:w="70"/>
              <w:right w:type="dxa" w:w="95"/>
            </w:tcMar>
            <w:vAlign w:val="center"/>
          </w:tcPr>
          <w:p>
            <w:pPr>
              <w:bidi/>
              <w:spacing w:after="20" w:line="280"/>
              <w:jc w:val="center"/>
            </w:pPr>
            <w:r>
              <w:rPr>
                <w:b/>
                <w:bCs/>
                <w:color w:val="1F6B3A"/>
                <w:sz w:val="19"/>
                <w:szCs w:val="19"/>
                <w:rtl/>
              </w:rPr>
              <w:t xml:space="preserve">مُغلق</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صفر مستهلك مكرر في الدفتر</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قياس 05</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NF-20</w:t>
            </w:r>
          </w:p>
          <w:p>
            <w:pPr>
              <w:bidi w:val="false"/>
              <w:spacing w:after="20" w:line="280"/>
              <w:jc w:val="center"/>
            </w:pPr>
            <w:r>
              <w:rPr>
                <w:b w:val="false"/>
                <w:bCs w:val="false"/>
                <w:color w:val="5A6B7B"/>
                <w:sz w:val="18"/>
                <w:szCs w:val="18"/>
                <w:rtl w:val="false"/>
              </w:rPr>
              <w:t xml:space="preserve">P2</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667788"/>
                <w:sz w:val="19"/>
                <w:szCs w:val="19"/>
                <w:rtl/>
              </w:rPr>
              <w:t xml:space="preserve">لم يُقس هذه الجولة</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دور المصفوفة الميت لم يُعَد قياسه في هذا التحديث</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2E4A63"/>
                <w:sz w:val="18"/>
                <w:szCs w:val="18"/>
                <w:rtl/>
              </w:rPr>
              <w:t xml:space="preserve">—</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NF-21</w:t>
            </w:r>
          </w:p>
          <w:p>
            <w:pPr>
              <w:bidi w:val="false"/>
              <w:spacing w:after="20" w:line="280"/>
              <w:jc w:val="center"/>
            </w:pPr>
            <w:r>
              <w:rPr>
                <w:b w:val="false"/>
                <w:bCs w:val="false"/>
                <w:color w:val="5A6B7B"/>
                <w:sz w:val="18"/>
                <w:szCs w:val="18"/>
                <w:rtl w:val="false"/>
              </w:rPr>
              <w:t xml:space="preserve">P2</w:t>
            </w:r>
          </w:p>
        </w:tc>
        <w:tc>
          <w:tcPr>
            <w:tcW w:type="dxa" w:w="1450"/>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الملخص 630 حقلًا على 44 شاشة والورقة 577 على 41 — الفرق باقٍ بلا إعلان</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قياس 02</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NF-22</w:t>
            </w:r>
          </w:p>
          <w:p>
            <w:pPr>
              <w:bidi w:val="false"/>
              <w:spacing w:after="20" w:line="280"/>
              <w:jc w:val="center"/>
            </w:pPr>
            <w:r>
              <w:rPr>
                <w:b w:val="false"/>
                <w:bCs w:val="false"/>
                <w:color w:val="5A6B7B"/>
                <w:sz w:val="18"/>
                <w:szCs w:val="18"/>
                <w:rtl w:val="false"/>
              </w:rPr>
              <w:t xml:space="preserve">P2</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القارئات داخل طبقة الدورة كما هي — الدفتر لم يتغيّر</w:t>
            </w:r>
          </w:p>
        </w:tc>
        <w:tc>
          <w:tcPr>
            <w:tcW w:type="dxa" w:w="2200"/>
            <w:shd w:fill="F2F6FA" w:color="auto" w:val="clear"/>
            <w:tcMar>
              <w:top w:type="dxa" w:w="70"/>
              <w:left w:type="dxa" w:w="95"/>
              <w:bottom w:type="dxa" w:w="70"/>
              <w:right w:type="dxa" w:w="95"/>
            </w:tcMar>
            <w:vAlign w:val="center"/>
          </w:tcPr>
          <w:p>
            <w:pPr>
              <w:bidi/>
              <w:spacing w:after="20" w:line="280"/>
              <w:jc w:val="right"/>
            </w:pPr>
            <w:r>
              <w:rPr>
                <w:b w:val="false"/>
                <w:bCs w:val="false"/>
                <w:color w:val="2E4A63"/>
                <w:sz w:val="18"/>
                <w:szCs w:val="18"/>
                <w:rtl/>
              </w:rPr>
              <w:t xml:space="preserve">—</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NF-23</w:t>
            </w:r>
          </w:p>
          <w:p>
            <w:pPr>
              <w:bidi w:val="false"/>
              <w:spacing w:after="20" w:line="280"/>
              <w:jc w:val="center"/>
            </w:pPr>
            <w:r>
              <w:rPr>
                <w:b w:val="false"/>
                <w:bCs w:val="false"/>
                <w:color w:val="5A6B7B"/>
                <w:sz w:val="18"/>
                <w:szCs w:val="18"/>
                <w:rtl w:val="false"/>
              </w:rPr>
              <w:t xml:space="preserve">P2</w:t>
            </w:r>
          </w:p>
        </w:tc>
        <w:tc>
          <w:tcPr>
            <w:tcW w:type="dxa" w:w="1450"/>
            <w:tcMar>
              <w:top w:type="dxa" w:w="70"/>
              <w:left w:type="dxa" w:w="95"/>
              <w:bottom w:type="dxa" w:w="70"/>
              <w:right w:type="dxa" w:w="95"/>
            </w:tcMar>
            <w:vAlign w:val="center"/>
          </w:tcPr>
          <w:p>
            <w:pPr>
              <w:bidi/>
              <w:spacing w:after="20" w:line="280"/>
              <w:jc w:val="center"/>
            </w:pPr>
            <w:r>
              <w:rPr>
                <w:b/>
                <w:bCs/>
                <w:color w:val="667788"/>
                <w:sz w:val="19"/>
                <w:szCs w:val="19"/>
                <w:rtl/>
              </w:rPr>
              <w:t xml:space="preserve">لم يُقس هذه الجولة</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تكرار حقول أوراق الإدارات لم يُعَد قياسه</w:t>
            </w:r>
          </w:p>
        </w:tc>
        <w:tc>
          <w:tcPr>
            <w:tcW w:type="dxa" w:w="2200"/>
            <w:tcMar>
              <w:top w:type="dxa" w:w="70"/>
              <w:left w:type="dxa" w:w="95"/>
              <w:bottom w:type="dxa" w:w="70"/>
              <w:right w:type="dxa" w:w="95"/>
            </w:tcMar>
            <w:vAlign w:val="center"/>
          </w:tcPr>
          <w:p>
            <w:pPr>
              <w:bidi/>
              <w:spacing w:after="20" w:line="280"/>
              <w:jc w:val="right"/>
            </w:pPr>
            <w:r>
              <w:rPr>
                <w:b w:val="false"/>
                <w:bCs w:val="false"/>
                <w:color w:val="2E4A63"/>
                <w:sz w:val="18"/>
                <w:szCs w:val="18"/>
                <w:rtl/>
              </w:rPr>
              <w:t xml:space="preserve">—</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NF-24</w:t>
            </w:r>
          </w:p>
          <w:p>
            <w:pPr>
              <w:bidi w:val="false"/>
              <w:spacing w:after="20" w:line="280"/>
              <w:jc w:val="center"/>
            </w:pPr>
            <w:r>
              <w:rPr>
                <w:b w:val="false"/>
                <w:bCs w:val="false"/>
                <w:color w:val="5A6B7B"/>
                <w:sz w:val="18"/>
                <w:szCs w:val="18"/>
                <w:rtl w:val="false"/>
              </w:rPr>
              <w:t xml:space="preserve">P1</w:t>
            </w:r>
            <w:r>
              <w:rPr>
                <w:b w:val="false"/>
                <w:bCs w:val="false"/>
                <w:color w:val="5A6B7B"/>
                <w:sz w:val="18"/>
                <w:szCs w:val="18"/>
                <w:rtl/>
              </w:rPr>
              <w:t xml:space="preserve"> ↑</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8A4B00"/>
                <w:sz w:val="19"/>
                <w:szCs w:val="19"/>
                <w:rtl/>
              </w:rPr>
              <w:t xml:space="preserve">جزئي بانفتاح نافذ</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أربعة عشر مسار مساحة سُقِّط لا قُلِب — ونطاق الأطراف المالي ما زال مفتوحًا مستهلَكًا حيًّا في شاشتين</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GAP-22</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NF-25</w:t>
            </w:r>
          </w:p>
          <w:p>
            <w:pPr>
              <w:bidi w:val="false"/>
              <w:spacing w:after="20" w:line="280"/>
              <w:jc w:val="center"/>
            </w:pPr>
            <w:r>
              <w:rPr>
                <w:b w:val="false"/>
                <w:bCs w:val="false"/>
                <w:color w:val="5A6B7B"/>
                <w:sz w:val="18"/>
                <w:szCs w:val="18"/>
                <w:rtl/>
              </w:rPr>
              <w:t xml:space="preserve">—</w:t>
            </w:r>
          </w:p>
        </w:tc>
        <w:tc>
          <w:tcPr>
            <w:tcW w:type="dxa" w:w="1450"/>
            <w:tcMar>
              <w:top w:type="dxa" w:w="70"/>
              <w:left w:type="dxa" w:w="95"/>
              <w:bottom w:type="dxa" w:w="70"/>
              <w:right w:type="dxa" w:w="95"/>
            </w:tcMar>
            <w:vAlign w:val="center"/>
          </w:tcPr>
          <w:p>
            <w:pPr>
              <w:bidi/>
              <w:spacing w:after="20" w:line="280"/>
              <w:jc w:val="center"/>
            </w:pPr>
            <w:r>
              <w:rPr>
                <w:b/>
                <w:bCs/>
                <w:color w:val="1F6B3A"/>
                <w:sz w:val="19"/>
                <w:szCs w:val="19"/>
                <w:rtl/>
              </w:rPr>
              <w:t xml:space="preserve">مُغلق</w:t>
            </w:r>
          </w:p>
        </w:tc>
        <w:tc>
          <w:tcPr>
            <w:tcW w:type="dxa" w:w="5000"/>
            <w:tcMar>
              <w:top w:type="dxa" w:w="70"/>
              <w:left w:type="dxa" w:w="95"/>
              <w:bottom w:type="dxa" w:w="70"/>
              <w:right w:type="dxa" w:w="95"/>
            </w:tcMar>
            <w:vAlign w:val="center"/>
          </w:tcPr>
          <w:p>
            <w:pPr>
              <w:bidi/>
              <w:spacing w:after="20" w:line="280"/>
              <w:jc w:val="right"/>
            </w:pPr>
            <w:r>
              <w:rPr>
                <w:b w:val="false"/>
                <w:bCs w:val="false"/>
                <w:sz w:val="19"/>
                <w:szCs w:val="19"/>
                <w:rtl/>
              </w:rPr>
              <w:t xml:space="preserve">الشريط العلوي عشرة مسارات: ثلاثة أُدخلت المساحة الشخصية واثنان بإعفاء معلن في سجل جديد</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GAP-28</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NF-26</w:t>
            </w:r>
          </w:p>
          <w:p>
            <w:pPr>
              <w:bidi w:val="false"/>
              <w:spacing w:after="20" w:line="280"/>
              <w:jc w:val="center"/>
            </w:pPr>
            <w:r>
              <w:rPr>
                <w:b w:val="false"/>
                <w:bCs w:val="false"/>
                <w:color w:val="5A6B7B"/>
                <w:sz w:val="18"/>
                <w:szCs w:val="18"/>
                <w:rtl w:val="false"/>
              </w:rPr>
              <w:t xml:space="preserve">P3</w:t>
            </w:r>
          </w:p>
        </w:tc>
        <w:tc>
          <w:tcPr>
            <w:tcW w:type="dxa" w:w="1450"/>
            <w:shd w:fill="F2F6FA" w:color="auto" w:val="clear"/>
            <w:tcMar>
              <w:top w:type="dxa" w:w="70"/>
              <w:left w:type="dxa" w:w="95"/>
              <w:bottom w:type="dxa" w:w="70"/>
              <w:right w:type="dxa" w:w="95"/>
            </w:tcMar>
            <w:vAlign w:val="center"/>
          </w:tcPr>
          <w:p>
            <w:pPr>
              <w:bidi/>
              <w:spacing w:after="20" w:line="280"/>
              <w:jc w:val="center"/>
            </w:pPr>
            <w:r>
              <w:rPr>
                <w:b/>
                <w:bCs/>
                <w:color w:val="A3151F"/>
                <w:sz w:val="19"/>
                <w:szCs w:val="19"/>
                <w:rtl/>
              </w:rPr>
              <w:t xml:space="preserve">مفتوح</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خانة القيمة الفارغة بدل الصفر تكررت في ملخص الحزمة الجديدة نفسها</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rPr>
              <w:t xml:space="preserve">ورقة 00</w:t>
            </w:r>
          </w:p>
        </w:tc>
      </w:tr>
    </w:tbl>
    <w:p>
      <w:pPr>
        <w:bidi/>
        <w:spacing w:before="140"/>
        <w:jc w:val="right"/>
      </w:pPr>
      <w:r>
        <w:rPr>
          <w:b/>
          <w:bCs/>
          <w:i w:val="false"/>
          <w:iCs w:val="false"/>
          <w:sz w:val="24"/>
          <w:szCs w:val="24"/>
          <w:rtl/>
        </w:rPr>
        <w:t xml:space="preserve">الحصيلة: أربعُ فجواتٍ مُغلقة، وستٌّ جزئية، واثنتان تفاقمتا أو تحوّلتا إلزامًا، واثنتا عشرةَ مفتوحة، واثنتان لم تُقاسا هذه الجولة.</w:t>
      </w:r>
    </w:p>
    <w:p>
      <w:pPr>
        <w:pStyle w:val="Heading2"/>
        <w:keepNext/>
        <w:bidi/>
        <w:spacing w:after="140" w:before="280"/>
        <w:jc w:val="right"/>
      </w:pPr>
      <w:r>
        <w:rPr>
          <w:b/>
          <w:bCs/>
          <w:rtl/>
        </w:rPr>
        <w:t xml:space="preserve">خطة إغلاق البنود المفتوحة</w:t>
      </w:r>
    </w:p>
    <w:p>
      <w:pPr>
        <w:bidi/>
        <w:spacing w:after="130" w:line="330"/>
        <w:jc w:val="right"/>
      </w:pPr>
      <w:r>
        <w:rPr>
          <w:b w:val="false"/>
          <w:bCs w:val="false"/>
          <w:i w:val="false"/>
          <w:iCs w:val="false"/>
          <w:sz w:val="24"/>
          <w:szCs w:val="24"/>
          <w:rtl/>
        </w:rPr>
        <w:t xml:space="preserve">لا يبقى بندٌ مفتوحٌ بلا مطلوبٍ ومالك. وهذه الأربعةَ عشرَ المفتوحة والاثنان غير المقيسين، ولكلٍّ منها ما يُغلقه ومن يملكه: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1150"/>
        <w:gridCol w:w="5850"/>
        <w:gridCol w:w="2800"/>
      </w:tblGrid>
      <w:tr>
        <w:trPr>
          <w:cantSplit/>
          <w:tblHeader/>
        </w:trPr>
        <w:tc>
          <w:tcPr>
            <w:tcW w:type="dxa" w:w="11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الرمز</w:t>
            </w:r>
          </w:p>
        </w:tc>
        <w:tc>
          <w:tcPr>
            <w:tcW w:type="dxa" w:w="58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المطلوب للإغلاق</w:t>
            </w:r>
          </w:p>
        </w:tc>
        <w:tc>
          <w:tcPr>
            <w:tcW w:type="dxa" w:w="28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المالك</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NF-01</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بناء عقد سلسلة الفوترة الثلاث المفقودة في الموجة الخامسة — الاستحقاق وشهادة الإنجاز وفاتورة المطالبة — والفاتورةُ الضريبية قائمةٌ أصلًا ولا تُبنى؛ ثم تصفية الثلاثة والخمسين الباقية بين بناءٍ وإخراجٍ من الدفتر بقرار معلن</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وثيقة السلسلة + برنامج الإصلاح</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NF-03</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إصدار معرّفات تصميمٍ للصفوف السبعة والأربعين ومئة، وإعلان المقامين معًا: كسرُ المعرّف النصي والتطابق مع سجل المعرّفات</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NF-05</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منع نجاح أي هجرة لا تقيّد نفسها ذريًّا في الدفتر — والعلاج قاعدةٌ لا إدخالُ الخمس عشرة؛ مع قرارٍ في تسمية السنة القادمة</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برنامج الإصلاح</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NF-08</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إعادة تشغيل الضمّ من سجل الأسماء المعتمدة وتعبئة عمود التوليد من تصنيف العُدّة، أو حذف العمودين إن لم يكونا مقصودين</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NF-09</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ضمّ سياسات الحقول الحساسة الأربع والثلاثين إلى سجل الحقول بمفتاحَي الجدول والحقل ووسم الصفوف المطابقة</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NF-10</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توليد الأسماء التقنية من قوائم الأعمدة وإظهار المقام الحقلي في فجوة التوثيق</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NF-12</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ترقيم مركز العمل واللوحات وفق المراحل المعيارية السبع عشرة والجسر المبني — ثم تفعيل الاشتقاق</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برنامج الإصلاح</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NF-13</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قاعدة واحدة: للشاشة العابرة مرحلةٌ قانونية في بيتها وقراءةٌ سياقية في غيره — وتفعيل الطبقات الثلاث في الإدارات كلها</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وثائق المواءمة</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NF-16</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عتبة تخمةٍ معلنة ووسمٌ على مستوى المرحلة بدل مجموعتين</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NF-17</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حذف القيود المكررة للشاشات الشخصية والاكتفاء بمكوّن المهام والاعتمادات المركزي — وقد نصّت عليه وثائق المواءمة</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وثائق المواءمة</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NF-18</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كنس المجموعات الفعلية الستين واللفظ المتقاعد من الدفتر الحي بقاموس الأسماء المعتمد — قبل تفعيل الاشتقاق</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برنامج الإصلاح</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NF-21</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إعادة قياس الحقول المصنَّفة وتوحيد رقمَي الملخص والورقة أو إعلان سبب الفرق</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NF-22</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تنفيذ نقل الشاشات القارئة إلى لوحة الإدارة وتقاريرها وتحديث الدفتر</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وثائق المواءمة</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NF-26</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قاعدة توليد: لا خانة قيمة فارغة، والصفر يُكتب صفرًا</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NF-20</w:t>
            </w:r>
          </w:p>
        </w:tc>
        <w:tc>
          <w:tcPr>
            <w:tcW w:type="dxa" w:w="5850"/>
            <w:tcMar>
              <w:top w:type="dxa" w:w="70"/>
              <w:left w:type="dxa" w:w="95"/>
              <w:bottom w:type="dxa" w:w="70"/>
              <w:right w:type="dxa" w:w="95"/>
            </w:tcMar>
            <w:vAlign w:val="center"/>
          </w:tcPr>
          <w:p>
            <w:pPr>
              <w:bidi/>
              <w:spacing w:after="20" w:line="280"/>
              <w:jc w:val="right"/>
            </w:pPr>
            <w:r>
              <w:rPr>
                <w:b w:val="false"/>
                <w:bCs w:val="false"/>
                <w:sz w:val="19"/>
                <w:szCs w:val="19"/>
                <w:rtl/>
              </w:rPr>
              <w:t xml:space="preserve">يُعاد قياسه في الجولة القادمة أو يُعلن إسقاطه بقرار — ولا يبقى بلا حالة</w:t>
            </w:r>
          </w:p>
        </w:tc>
        <w:tc>
          <w:tcPr>
            <w:tcW w:type="dxa" w:w="28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1F3B57"/>
                <w:sz w:val="19"/>
                <w:szCs w:val="19"/>
                <w:rtl w:val="false"/>
              </w:rPr>
              <w:t xml:space="preserve">NF-23</w:t>
            </w:r>
          </w:p>
        </w:tc>
        <w:tc>
          <w:tcPr>
            <w:tcW w:type="dxa" w:w="58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يُعاد قياسه في الجولة القادمة أو يُعلن إسقاطه بقرار</w:t>
            </w:r>
          </w:p>
        </w:tc>
        <w:tc>
          <w:tcPr>
            <w:tcW w:type="dxa" w:w="28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حزمة القياس</w:t>
            </w:r>
          </w:p>
        </w:tc>
      </w:tr>
    </w:tbl>
    <w:p>
      <w:r>
        <w:br w:type="page"/>
      </w:r>
    </w:p>
    <w:p>
      <w:pPr>
        <w:pStyle w:val="Heading1"/>
        <w:keepNext/>
        <w:bidi/>
        <w:spacing w:after="180" w:before="360"/>
        <w:jc w:val="right"/>
      </w:pPr>
      <w:r>
        <w:rPr>
          <w:b/>
          <w:bCs/>
          <w:rtl/>
        </w:rPr>
        <w:t xml:space="preserve">الباب الثالث — فجوات جديدة كشفها هذا التحديث</w:t>
      </w:r>
    </w:p>
    <w:p>
      <w:pPr>
        <w:bidi/>
        <w:spacing w:after="130" w:line="330"/>
        <w:jc w:val="right"/>
      </w:pPr>
      <w:r>
        <w:rPr>
          <w:b w:val="false"/>
          <w:bCs w:val="false"/>
          <w:i w:val="false"/>
          <w:iCs w:val="false"/>
          <w:sz w:val="24"/>
          <w:szCs w:val="24"/>
          <w:rtl/>
        </w:rPr>
        <w:t xml:space="preserve">خمسُ فجواتٍ لم تكن في السجل السابق ولا في سجل الجولة، مرقَّمةٌ امتدادًا لسجلّنا: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1150"/>
        <w:gridCol w:w="5150"/>
        <w:gridCol w:w="3500"/>
      </w:tblGrid>
      <w:tr>
        <w:trPr>
          <w:cantSplit/>
          <w:tblHeader/>
        </w:trPr>
        <w:tc>
          <w:tcPr>
            <w:tcW w:type="dxa" w:w="11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الرمز</w:t>
            </w:r>
          </w:p>
        </w:tc>
        <w:tc>
          <w:tcPr>
            <w:tcW w:type="dxa" w:w="51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الفجوة</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المطلوب للإغلاق</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NF-27</w:t>
            </w:r>
          </w:p>
          <w:p>
            <w:pPr>
              <w:bidi w:val="false"/>
              <w:spacing w:after="20" w:line="280"/>
              <w:jc w:val="center"/>
            </w:pPr>
            <w:r>
              <w:rPr>
                <w:b w:val="false"/>
                <w:bCs w:val="false"/>
                <w:color w:val="5A6B7B"/>
                <w:sz w:val="18"/>
                <w:szCs w:val="18"/>
                <w:rtl w:val="false"/>
              </w:rPr>
              <w:t xml:space="preserve">P1</w:t>
            </w:r>
          </w:p>
        </w:tc>
        <w:tc>
          <w:tcPr>
            <w:tcW w:type="dxa" w:w="5150"/>
            <w:tcMar>
              <w:top w:type="dxa" w:w="70"/>
              <w:left w:type="dxa" w:w="95"/>
              <w:bottom w:type="dxa" w:w="70"/>
              <w:right w:type="dxa" w:w="95"/>
            </w:tcMar>
            <w:vAlign w:val="center"/>
          </w:tcPr>
          <w:p>
            <w:pPr>
              <w:bidi/>
              <w:spacing w:after="20" w:line="280"/>
              <w:jc w:val="right"/>
            </w:pPr>
            <w:r>
              <w:rPr>
                <w:b/>
                <w:bCs/>
                <w:sz w:val="20"/>
                <w:szCs w:val="20"/>
                <w:rtl/>
              </w:rPr>
              <w:t xml:space="preserve">الدفتر الحي ينقض قرار التسمية النافذ</w:t>
            </w:r>
          </w:p>
          <w:p>
            <w:pPr>
              <w:bidi/>
              <w:spacing w:after="20" w:line="280"/>
              <w:jc w:val="right"/>
            </w:pPr>
            <w:r>
              <w:rPr>
                <w:b w:val="false"/>
                <w:bCs w:val="false"/>
                <w:sz w:val="19"/>
                <w:szCs w:val="19"/>
                <w:rtl/>
              </w:rPr>
              <w:t xml:space="preserve">بعد قرار منع أفعال المتكلم واللفظ المتقاعد، يحمل دفتر الدورة الحي 60 صفًّا بمجموعات فعلية في ست إدارات، وفي المبيعات وحدها سبع مجموعات فعلية بينها «نوزّع الحاويات» — فعلُ متكلمٍ ولفظٌ متقاعد معًا</w:t>
            </w:r>
          </w:p>
        </w:tc>
        <w:tc>
          <w:tcPr>
            <w:tcW w:type="dxa" w:w="3500"/>
            <w:tcMar>
              <w:top w:type="dxa" w:w="70"/>
              <w:left w:type="dxa" w:w="95"/>
              <w:bottom w:type="dxa" w:w="70"/>
              <w:right w:type="dxa" w:w="95"/>
            </w:tcMar>
            <w:vAlign w:val="center"/>
          </w:tcPr>
          <w:p>
            <w:pPr>
              <w:bidi/>
              <w:spacing w:after="20" w:line="280"/>
              <w:jc w:val="right"/>
            </w:pPr>
            <w:r>
              <w:rPr>
                <w:b w:val="false"/>
                <w:bCs w:val="false"/>
                <w:sz w:val="19"/>
                <w:szCs w:val="19"/>
                <w:rtl/>
              </w:rPr>
              <w:t xml:space="preserve">كنسها دفعةً واحدة بقاموس الأسماء المعتمد قبل تفعيل الاشتقاق — وإلا وُلد السايدبار المشتق بالأسماء الممنوعة</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NF-28</w:t>
            </w:r>
          </w:p>
          <w:p>
            <w:pPr>
              <w:bidi w:val="false"/>
              <w:spacing w:after="20" w:line="280"/>
              <w:jc w:val="center"/>
            </w:pPr>
            <w:r>
              <w:rPr>
                <w:b w:val="false"/>
                <w:bCs w:val="false"/>
                <w:color w:val="5A6B7B"/>
                <w:sz w:val="18"/>
                <w:szCs w:val="18"/>
                <w:rtl w:val="false"/>
              </w:rPr>
              <w:t xml:space="preserve">P2</w:t>
            </w:r>
          </w:p>
        </w:tc>
        <w:tc>
          <w:tcPr>
            <w:tcW w:type="dxa" w:w="515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مقامان لعقد المعرّفات بلا جسر</w:t>
            </w:r>
          </w:p>
          <w:p>
            <w:pPr>
              <w:bidi/>
              <w:spacing w:after="20" w:line="280"/>
              <w:jc w:val="right"/>
            </w:pPr>
            <w:r>
              <w:rPr>
                <w:b w:val="false"/>
                <w:bCs w:val="false"/>
                <w:sz w:val="19"/>
                <w:szCs w:val="19"/>
                <w:rtl/>
              </w:rPr>
              <w:t xml:space="preserve">المصنَّف يقيس 147 صفًّا بمعرّف نصي، وملحق الجولة يعلن كسر العقد في </w:t>
            </w:r>
            <w:r>
              <w:rPr>
                <w:b w:val="false"/>
                <w:bCs w:val="false"/>
                <w:sz w:val="19"/>
                <w:szCs w:val="19"/>
                <w:rtl w:val="false"/>
              </w:rPr>
              <w:t xml:space="preserve">663/663</w:t>
            </w:r>
            <w:r>
              <w:rPr>
                <w:b w:val="false"/>
                <w:bCs w:val="false"/>
                <w:sz w:val="19"/>
                <w:szCs w:val="19"/>
                <w:rtl/>
              </w:rPr>
              <w:t xml:space="preserve"> — رقمان صحيحان بمقامين مختلفين بلا جدول تحويل، والقارئ لا يعرف أيَّهما يعتمد</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إعلان المقامين معًا في الموضعين: كسرُ المعرّف النصي 147، وكسرُ التطابق مع سجل المعرّفات 663</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NF-29</w:t>
            </w:r>
          </w:p>
          <w:p>
            <w:pPr>
              <w:bidi w:val="false"/>
              <w:spacing w:after="20" w:line="280"/>
              <w:jc w:val="center"/>
            </w:pPr>
            <w:r>
              <w:rPr>
                <w:b w:val="false"/>
                <w:bCs w:val="false"/>
                <w:color w:val="5A6B7B"/>
                <w:sz w:val="18"/>
                <w:szCs w:val="18"/>
                <w:rtl w:val="false"/>
              </w:rPr>
              <w:t xml:space="preserve">P1</w:t>
            </w:r>
          </w:p>
        </w:tc>
        <w:tc>
          <w:tcPr>
            <w:tcW w:type="dxa" w:w="5150"/>
            <w:tcMar>
              <w:top w:type="dxa" w:w="70"/>
              <w:left w:type="dxa" w:w="95"/>
              <w:bottom w:type="dxa" w:w="70"/>
              <w:right w:type="dxa" w:w="95"/>
            </w:tcMar>
            <w:vAlign w:val="center"/>
          </w:tcPr>
          <w:p>
            <w:pPr>
              <w:bidi/>
              <w:spacing w:after="20" w:line="280"/>
              <w:jc w:val="right"/>
            </w:pPr>
            <w:r>
              <w:rPr>
                <w:b/>
                <w:bCs/>
                <w:sz w:val="20"/>
                <w:szCs w:val="20"/>
                <w:rtl/>
              </w:rPr>
              <w:t xml:space="preserve">إعادة استعمال معرّف سلّم لمعنيين</w:t>
            </w:r>
          </w:p>
          <w:p>
            <w:pPr>
              <w:bidi/>
              <w:spacing w:after="20" w:line="280"/>
              <w:jc w:val="right"/>
            </w:pPr>
            <w:r>
              <w:rPr>
                <w:b w:val="false"/>
                <w:bCs w:val="false"/>
                <w:sz w:val="19"/>
                <w:szCs w:val="19"/>
                <w:rtl/>
              </w:rPr>
              <w:t xml:space="preserve">سجل جولة تثبيت السلاليم ينسب حضور محاسب الموردين إلى سلاليم تسويات بأرقام معينة، والمحرك الحي اليوم يجعل أحد تلك الأرقام سلّمَ كيان العقد ويجعل التسوية </w:t>
            </w:r>
            <w:r>
              <w:rPr>
                <w:b w:val="false"/>
                <w:bCs w:val="false"/>
                <w:sz w:val="19"/>
                <w:szCs w:val="19"/>
                <w:rtl w:val="false"/>
              </w:rPr>
              <w:t xml:space="preserve">LD-13</w:t>
            </w:r>
            <w:r>
              <w:rPr>
                <w:b w:val="false"/>
                <w:bCs w:val="false"/>
                <w:sz w:val="19"/>
                <w:szCs w:val="19"/>
                <w:rtl/>
              </w:rPr>
              <w:t xml:space="preserve"> — وهو عين الخرق الذي منعته الجولة في ترقيم الفجوات: لا يُعاد استعمال رقم لمعنيين</w:t>
            </w:r>
          </w:p>
        </w:tc>
        <w:tc>
          <w:tcPr>
            <w:tcW w:type="dxa" w:w="3500"/>
            <w:tcMar>
              <w:top w:type="dxa" w:w="70"/>
              <w:left w:type="dxa" w:w="95"/>
              <w:bottom w:type="dxa" w:w="70"/>
              <w:right w:type="dxa" w:w="95"/>
            </w:tcMar>
            <w:vAlign w:val="center"/>
          </w:tcPr>
          <w:p>
            <w:pPr>
              <w:bidi/>
              <w:spacing w:after="20" w:line="280"/>
              <w:jc w:val="right"/>
            </w:pPr>
            <w:r>
              <w:rPr>
                <w:b w:val="false"/>
                <w:bCs w:val="false"/>
                <w:sz w:val="19"/>
                <w:szCs w:val="19"/>
                <w:rtl/>
              </w:rPr>
              <w:t xml:space="preserve">توثيق إعادة الترقيم رسميًّا أو تصحيح سجل الجولة — وقد حُسم في وثائق المواءمة الثلاث بسيادة المحرك وتصحيح المعرّف إلى </w:t>
            </w:r>
            <w:r>
              <w:rPr>
                <w:b w:val="false"/>
                <w:bCs w:val="false"/>
                <w:sz w:val="19"/>
                <w:szCs w:val="19"/>
                <w:rtl w:val="false"/>
              </w:rPr>
              <w:t xml:space="preserve">LD-13</w:t>
            </w:r>
          </w:p>
        </w:tc>
      </w:tr>
      <w:tr>
        <w:trPr>
          <w:cantSplit/>
        </w:trPr>
        <w:tc>
          <w:tcPr>
            <w:tcW w:type="dxa" w:w="1150"/>
            <w:shd w:fill="F2F6FA" w:color="auto" w:val="clear"/>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NF-30</w:t>
            </w:r>
          </w:p>
          <w:p>
            <w:pPr>
              <w:bidi w:val="false"/>
              <w:spacing w:after="20" w:line="280"/>
              <w:jc w:val="center"/>
            </w:pPr>
            <w:r>
              <w:rPr>
                <w:b w:val="false"/>
                <w:bCs w:val="false"/>
                <w:color w:val="5A6B7B"/>
                <w:sz w:val="18"/>
                <w:szCs w:val="18"/>
                <w:rtl w:val="false"/>
              </w:rPr>
              <w:t xml:space="preserve">P2</w:t>
            </w:r>
          </w:p>
        </w:tc>
        <w:tc>
          <w:tcPr>
            <w:tcW w:type="dxa" w:w="515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فحص أخضر على عمود ميت</w:t>
            </w:r>
          </w:p>
          <w:p>
            <w:pPr>
              <w:bidi/>
              <w:spacing w:after="20" w:line="280"/>
              <w:jc w:val="right"/>
            </w:pPr>
            <w:r>
              <w:rPr>
                <w:b w:val="false"/>
                <w:bCs w:val="false"/>
                <w:sz w:val="19"/>
                <w:szCs w:val="19"/>
                <w:rtl/>
              </w:rPr>
              <w:t xml:space="preserve">فحص التسليم يمرّر السجل الموحد بمئة بالمئة بينما عمودا الاسم القانوني والتوليد فيه ميتان بالكامل — الفحص يغطي وجود الصف لا حياة أعمدته</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إضافة فحص حياة الأعمدة المعلنة إلى فحوص التسليم</w:t>
            </w:r>
          </w:p>
        </w:tc>
      </w:tr>
      <w:tr>
        <w:trPr>
          <w:cantSplit/>
        </w:trPr>
        <w:tc>
          <w:tcPr>
            <w:tcW w:type="dxa" w:w="1150"/>
            <w:tcMar>
              <w:top w:type="dxa" w:w="70"/>
              <w:left w:type="dxa" w:w="95"/>
              <w:bottom w:type="dxa" w:w="70"/>
              <w:right w:type="dxa" w:w="95"/>
            </w:tcMar>
            <w:vAlign w:val="center"/>
          </w:tcPr>
          <w:p>
            <w:pPr>
              <w:bidi w:val="false"/>
              <w:spacing w:after="20" w:line="280"/>
              <w:jc w:val="center"/>
            </w:pPr>
            <w:r>
              <w:rPr>
                <w:b/>
                <w:bCs/>
                <w:color w:val="A3151F"/>
                <w:sz w:val="19"/>
                <w:szCs w:val="19"/>
                <w:rtl w:val="false"/>
              </w:rPr>
              <w:t xml:space="preserve">NF-31</w:t>
            </w:r>
          </w:p>
          <w:p>
            <w:pPr>
              <w:bidi w:val="false"/>
              <w:spacing w:after="20" w:line="280"/>
              <w:jc w:val="center"/>
            </w:pPr>
            <w:r>
              <w:rPr>
                <w:b w:val="false"/>
                <w:bCs w:val="false"/>
                <w:color w:val="5A6B7B"/>
                <w:sz w:val="18"/>
                <w:szCs w:val="18"/>
                <w:rtl w:val="false"/>
              </w:rPr>
              <w:t xml:space="preserve">P2</w:t>
            </w:r>
          </w:p>
        </w:tc>
        <w:tc>
          <w:tcPr>
            <w:tcW w:type="dxa" w:w="5150"/>
            <w:tcMar>
              <w:top w:type="dxa" w:w="70"/>
              <w:left w:type="dxa" w:w="95"/>
              <w:bottom w:type="dxa" w:w="70"/>
              <w:right w:type="dxa" w:w="95"/>
            </w:tcMar>
            <w:vAlign w:val="center"/>
          </w:tcPr>
          <w:p>
            <w:pPr>
              <w:bidi/>
              <w:spacing w:after="20" w:line="280"/>
              <w:jc w:val="right"/>
            </w:pPr>
            <w:r>
              <w:rPr>
                <w:b/>
                <w:bCs/>
                <w:sz w:val="20"/>
                <w:szCs w:val="20"/>
                <w:rtl/>
              </w:rPr>
              <w:t xml:space="preserve">خانة القيمة الفارغة نمطٌ لا هفوة</w:t>
            </w:r>
          </w:p>
          <w:p>
            <w:pPr>
              <w:bidi/>
              <w:spacing w:after="20" w:line="280"/>
              <w:jc w:val="right"/>
            </w:pPr>
            <w:r>
              <w:rPr>
                <w:b w:val="false"/>
                <w:bCs w:val="false"/>
                <w:sz w:val="19"/>
                <w:szCs w:val="19"/>
                <w:rtl/>
              </w:rPr>
              <w:t xml:space="preserve">تكرر في ملخصَي الحزمتين ترك خانة القيمة فارغةً والاكتفاء بالملاحظة — في بندٍ عنوانه رقم</w:t>
            </w:r>
          </w:p>
        </w:tc>
        <w:tc>
          <w:tcPr>
            <w:tcW w:type="dxa" w:w="3500"/>
            <w:tcMar>
              <w:top w:type="dxa" w:w="70"/>
              <w:left w:type="dxa" w:w="95"/>
              <w:bottom w:type="dxa" w:w="70"/>
              <w:right w:type="dxa" w:w="95"/>
            </w:tcMar>
            <w:vAlign w:val="center"/>
          </w:tcPr>
          <w:p>
            <w:pPr>
              <w:bidi/>
              <w:spacing w:after="20" w:line="280"/>
              <w:jc w:val="right"/>
            </w:pPr>
            <w:r>
              <w:rPr>
                <w:b w:val="false"/>
                <w:bCs w:val="false"/>
                <w:sz w:val="19"/>
                <w:szCs w:val="19"/>
                <w:rtl/>
              </w:rPr>
              <w:t xml:space="preserve">قاعدة توليد: لا خانة قيمة فارغة، والصفر يُكتب صفرًا</w:t>
            </w:r>
          </w:p>
        </w:tc>
      </w:tr>
    </w:tbl>
    <w:p>
      <w:r>
        <w:br w:type="page"/>
      </w:r>
    </w:p>
    <w:p>
      <w:pPr>
        <w:pStyle w:val="Heading1"/>
        <w:keepNext/>
        <w:bidi/>
        <w:spacing w:after="180" w:before="360"/>
        <w:jc w:val="right"/>
      </w:pPr>
      <w:r>
        <w:rPr>
          <w:b/>
          <w:bCs/>
          <w:rtl/>
        </w:rPr>
        <w:t xml:space="preserve">الباب الرابع — أثر اللقطة على وثائق المواءمة الثلاث</w:t>
      </w:r>
    </w:p>
    <w:p>
      <w:pPr>
        <w:bidi/>
        <w:spacing w:after="130" w:line="330"/>
        <w:jc w:val="right"/>
      </w:pPr>
      <w:r>
        <w:rPr>
          <w:b w:val="false"/>
          <w:bCs w:val="false"/>
          <w:i w:val="false"/>
          <w:iCs w:val="false"/>
          <w:sz w:val="24"/>
          <w:szCs w:val="24"/>
          <w:rtl/>
        </w:rPr>
        <w:t xml:space="preserve">الوثائق الثلاث لم تُرسل بعد — وهذا صوابٌ منهجي: فقد سمح بفحصها على اللقطة الجديدة قبل الإرسال. والنتيجة أن قراراتها صمدت كلها، ووجب تصحيحُ معرّفٍ واحد وإضافةُ إثباتات لقطةٍ في كلٍّ منها: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00"/>
        <w:gridCol w:w="2100"/>
        <w:gridCol w:w="5400"/>
      </w:tblGrid>
      <w:tr>
        <w:trPr>
          <w:cantSplit/>
          <w:tblHeader/>
        </w:trPr>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الوثيقة</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c>
          <w:tcPr>
            <w:tcW w:type="dxa" w:w="5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ثبت وما عُدِّل</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0"/>
                <w:szCs w:val="20"/>
                <w:rtl/>
              </w:rPr>
              <w:t xml:space="preserve">وثيقة مواءمة المبيعات</w:t>
            </w:r>
          </w:p>
        </w:tc>
        <w:tc>
          <w:tcPr>
            <w:tcW w:type="dxa" w:w="2100"/>
            <w:tcMar>
              <w:top w:type="dxa" w:w="70"/>
              <w:left w:type="dxa" w:w="95"/>
              <w:bottom w:type="dxa" w:w="70"/>
              <w:right w:type="dxa" w:w="95"/>
            </w:tcMar>
            <w:vAlign w:val="center"/>
          </w:tcPr>
          <w:p>
            <w:pPr>
              <w:bidi/>
              <w:spacing w:after="20" w:line="280"/>
              <w:jc w:val="center"/>
            </w:pPr>
            <w:r>
              <w:rPr>
                <w:b/>
                <w:bCs/>
                <w:color w:val="1F6B3A"/>
                <w:sz w:val="19"/>
                <w:szCs w:val="19"/>
                <w:rtl/>
              </w:rPr>
              <w:t xml:space="preserve">صالحة للإرسال بعد تحديثها</w:t>
            </w:r>
          </w:p>
          <w:p>
            <w:pPr>
              <w:bidi/>
              <w:spacing w:after="20" w:line="280"/>
              <w:jc w:val="center"/>
            </w:pPr>
            <w:r>
              <w:rPr>
                <w:b w:val="false"/>
                <w:bCs w:val="false"/>
                <w:color w:val="5A6B7B"/>
                <w:sz w:val="18"/>
                <w:szCs w:val="18"/>
                <w:rtl/>
              </w:rPr>
              <w:t xml:space="preserve">لا تغيير في القرارات</w:t>
            </w:r>
          </w:p>
        </w:tc>
        <w:tc>
          <w:tcPr>
            <w:tcW w:type="dxa" w:w="5400"/>
            <w:tcMar>
              <w:top w:type="dxa" w:w="70"/>
              <w:left w:type="dxa" w:w="95"/>
              <w:bottom w:type="dxa" w:w="70"/>
              <w:right w:type="dxa" w:w="95"/>
            </w:tcMar>
            <w:vAlign w:val="center"/>
          </w:tcPr>
          <w:p>
            <w:pPr>
              <w:bidi/>
              <w:spacing w:after="20" w:line="280"/>
              <w:jc w:val="right"/>
            </w:pPr>
            <w:r>
              <w:rPr>
                <w:b w:val="false"/>
                <w:bCs w:val="false"/>
                <w:sz w:val="19"/>
                <w:szCs w:val="19"/>
                <w:rtl/>
              </w:rPr>
              <w:t xml:space="preserve">أُضيف سندٌ حي لبوابة تحويل العرض إلى عقد: صار للعقد سلّم اعتماد في المحرك (</w:t>
            </w:r>
            <w:r>
              <w:rPr>
                <w:b w:val="false"/>
                <w:bCs w:val="false"/>
                <w:sz w:val="19"/>
                <w:szCs w:val="19"/>
                <w:rtl w:val="false"/>
              </w:rPr>
              <w:t xml:space="preserve">LD-14</w:t>
            </w:r>
            <w:r>
              <w:rPr>
                <w:b w:val="false"/>
                <w:bCs w:val="false"/>
                <w:sz w:val="19"/>
                <w:szCs w:val="19"/>
                <w:rtl/>
              </w:rPr>
              <w:t xml:space="preserve">). والفوترة ما تزال صفرًا مطلقًا فتبقى اعتماديةً خارجية كما قررت الوثيقة</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وثيقة مواءمة الموردين</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19"/>
                <w:szCs w:val="19"/>
                <w:rtl/>
              </w:rPr>
              <w:t xml:space="preserve">صالحة للإرسال بعد تصحيحٍ واجب</w:t>
            </w:r>
          </w:p>
          <w:p>
            <w:pPr>
              <w:bidi/>
              <w:spacing w:after="20" w:line="280"/>
              <w:jc w:val="center"/>
            </w:pPr>
            <w:r>
              <w:rPr>
                <w:b w:val="false"/>
                <w:bCs w:val="false"/>
                <w:color w:val="5A6B7B"/>
                <w:sz w:val="18"/>
                <w:szCs w:val="18"/>
                <w:rtl/>
              </w:rPr>
              <w:t xml:space="preserve">تصحيح معرّف سلّم واحد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صُحِّح معرّف سلّم التسوية إلى </w:t>
            </w:r>
            <w:r>
              <w:rPr>
                <w:b w:val="false"/>
                <w:bCs w:val="false"/>
                <w:sz w:val="19"/>
                <w:szCs w:val="19"/>
                <w:rtl w:val="false"/>
              </w:rPr>
              <w:t xml:space="preserve">LD-13</w:t>
            </w:r>
            <w:r>
              <w:rPr>
                <w:b w:val="false"/>
                <w:bCs w:val="false"/>
                <w:sz w:val="19"/>
                <w:szCs w:val="19"/>
                <w:rtl/>
              </w:rPr>
              <w:t xml:space="preserve"> على المحرك الحي (كان منسوبًا لأرقام سجل الجولة القديمة)، وأُثبت أن 469 تسوية بصفر مدفوع — فمحطة الصرف اعتمادية خارجية كما قررت</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0"/>
                <w:szCs w:val="20"/>
                <w:rtl/>
              </w:rPr>
              <w:t xml:space="preserve">وثيقة إغلاق سلسلة الأثر</w:t>
            </w:r>
          </w:p>
        </w:tc>
        <w:tc>
          <w:tcPr>
            <w:tcW w:type="dxa" w:w="2100"/>
            <w:tcMar>
              <w:top w:type="dxa" w:w="70"/>
              <w:left w:type="dxa" w:w="95"/>
              <w:bottom w:type="dxa" w:w="70"/>
              <w:right w:type="dxa" w:w="95"/>
            </w:tcMar>
            <w:vAlign w:val="center"/>
          </w:tcPr>
          <w:p>
            <w:pPr>
              <w:bidi/>
              <w:spacing w:after="20" w:line="280"/>
              <w:jc w:val="center"/>
            </w:pPr>
            <w:r>
              <w:rPr>
                <w:b/>
                <w:bCs/>
                <w:color w:val="1F6B3A"/>
                <w:sz w:val="19"/>
                <w:szCs w:val="19"/>
                <w:rtl/>
              </w:rPr>
              <w:t xml:space="preserve">صالحة — وبنيتها ثبتت على اللقطتين</w:t>
            </w:r>
          </w:p>
          <w:p>
            <w:pPr>
              <w:bidi/>
              <w:spacing w:after="20" w:line="280"/>
              <w:jc w:val="center"/>
            </w:pPr>
            <w:r>
              <w:rPr>
                <w:b w:val="false"/>
                <w:bCs w:val="false"/>
                <w:color w:val="5A6B7B"/>
                <w:sz w:val="18"/>
                <w:szCs w:val="18"/>
                <w:rtl/>
              </w:rPr>
              <w:t xml:space="preserve">تحديث معرّفات السلاليم وملاحظة اللقطة</w:t>
            </w:r>
          </w:p>
        </w:tc>
        <w:tc>
          <w:tcPr>
            <w:tcW w:type="dxa" w:w="5400"/>
            <w:tcMar>
              <w:top w:type="dxa" w:w="70"/>
              <w:left w:type="dxa" w:w="95"/>
              <w:bottom w:type="dxa" w:w="70"/>
              <w:right w:type="dxa" w:w="95"/>
            </w:tcMar>
            <w:vAlign w:val="center"/>
          </w:tcPr>
          <w:p>
            <w:pPr>
              <w:bidi/>
              <w:spacing w:after="20" w:line="280"/>
              <w:jc w:val="right"/>
            </w:pPr>
            <w:r>
              <w:rPr>
                <w:b w:val="false"/>
                <w:bCs w:val="false"/>
                <w:sz w:val="19"/>
                <w:szCs w:val="19"/>
                <w:rtl/>
              </w:rPr>
              <w:t xml:space="preserve">تحقق آلي: العقد الست عشرة غير المبنية بقيت غير مبنية كلها؛ والسلاليم صارت 17 بإضافة سلاليم الكيانات؛ والرحلات الأربع عشرة كلها بلا وصل — فمحتوى الوثيقة هو نفسه أقصر طريق بعد إصلاح مقياس الإغلاق</w:t>
            </w:r>
          </w:p>
        </w:tc>
      </w:tr>
    </w:tbl>
    <w:p>
      <w:pPr>
        <w:pStyle w:val="Heading2"/>
        <w:keepNext/>
        <w:bidi/>
        <w:spacing w:after="140" w:before="280"/>
        <w:jc w:val="right"/>
      </w:pPr>
      <w:r>
        <w:rPr>
          <w:b/>
          <w:bCs/>
          <w:rtl/>
        </w:rPr>
        <w:t xml:space="preserve">خريطة التغطية — من يملك أيَّ سجل</w:t>
      </w:r>
    </w:p>
    <w:p>
      <w:pPr>
        <w:bidi/>
        <w:spacing w:after="130" w:line="330"/>
        <w:jc w:val="right"/>
      </w:pPr>
      <w:r>
        <w:rPr>
          <w:b w:val="false"/>
          <w:bCs w:val="false"/>
          <w:i w:val="false"/>
          <w:iCs w:val="false"/>
          <w:sz w:val="24"/>
          <w:szCs w:val="24"/>
          <w:rtl/>
        </w:rPr>
        <w:t xml:space="preserve">سؤالُ «هل غُطّي كل شيء؟» لا يُجاب بنعم مطلقة بل بخريطةٍ تبيّن ما يغطيه كلُّ مستند وما هو خارج نطاقه عمدًا. فتغطيةُ وثائق التصميم كاملةٌ في نطاقها، وما هو من عمل برنامج الإصلاح لا يُكرَّر فيها لئلا يتولد مصدرا حقيقةٍ لعملٍ واحد:</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1700"/>
        <w:gridCol w:w="3400"/>
        <w:gridCol w:w="21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السجل</w:t>
            </w:r>
          </w:p>
        </w:tc>
        <w:tc>
          <w:tcPr>
            <w:tcW w:type="dxa" w:w="1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حجمه</w:t>
            </w:r>
          </w:p>
        </w:tc>
        <w:tc>
          <w:tcPr>
            <w:tcW w:type="dxa" w:w="3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المستند الحاكم</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حالة التغطية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19"/>
                <w:szCs w:val="19"/>
                <w:rtl/>
              </w:rPr>
              <w:t xml:space="preserve">سجل </w:t>
            </w:r>
            <w:r>
              <w:rPr>
                <w:b/>
                <w:bCs/>
                <w:sz w:val="19"/>
                <w:szCs w:val="19"/>
                <w:rtl w:val="false"/>
              </w:rPr>
              <w:t xml:space="preserve">NF</w:t>
            </w:r>
            <w:r>
              <w:rPr>
                <w:b/>
                <w:bCs/>
                <w:sz w:val="19"/>
                <w:szCs w:val="19"/>
                <w:rtl/>
              </w:rPr>
              <w:t xml:space="preserve"> من واحد إلى واحد وثلاثين</w:t>
            </w:r>
          </w:p>
        </w:tc>
        <w:tc>
          <w:tcPr>
            <w:tcW w:type="dxa" w:w="1700"/>
            <w:tcMar>
              <w:top w:type="dxa" w:w="70"/>
              <w:left w:type="dxa" w:w="95"/>
              <w:bottom w:type="dxa" w:w="70"/>
              <w:right w:type="dxa" w:w="95"/>
            </w:tcMar>
            <w:vAlign w:val="center"/>
          </w:tcPr>
          <w:p>
            <w:pPr>
              <w:bidi/>
              <w:spacing w:after="20" w:line="280"/>
              <w:jc w:val="center"/>
            </w:pPr>
            <w:r>
              <w:rPr>
                <w:b w:val="false"/>
                <w:bCs w:val="false"/>
                <w:sz w:val="18"/>
                <w:szCs w:val="18"/>
                <w:rtl/>
              </w:rPr>
              <w:t xml:space="preserve">31 بندًا</w:t>
            </w:r>
          </w:p>
        </w:tc>
        <w:tc>
          <w:tcPr>
            <w:tcW w:type="dxa" w:w="3400"/>
            <w:tcMar>
              <w:top w:type="dxa" w:w="70"/>
              <w:left w:type="dxa" w:w="95"/>
              <w:bottom w:type="dxa" w:w="70"/>
              <w:right w:type="dxa" w:w="95"/>
            </w:tcMar>
            <w:vAlign w:val="center"/>
          </w:tcPr>
          <w:p>
            <w:pPr>
              <w:bidi/>
              <w:spacing w:after="20" w:line="280"/>
              <w:jc w:val="right"/>
            </w:pPr>
            <w:r>
              <w:rPr>
                <w:b w:val="false"/>
                <w:bCs w:val="false"/>
                <w:sz w:val="19"/>
                <w:szCs w:val="19"/>
                <w:rtl/>
              </w:rPr>
              <w:t xml:space="preserve">هذا التقرير: انتقال الحالة وخطة الإغلاق</w:t>
            </w:r>
          </w:p>
        </w:tc>
        <w:tc>
          <w:tcPr>
            <w:tcW w:type="dxa" w:w="2100"/>
            <w:tcMar>
              <w:top w:type="dxa" w:w="70"/>
              <w:left w:type="dxa" w:w="95"/>
              <w:bottom w:type="dxa" w:w="70"/>
              <w:right w:type="dxa" w:w="95"/>
            </w:tcMar>
            <w:vAlign w:val="center"/>
          </w:tcPr>
          <w:p>
            <w:pPr>
              <w:bidi/>
              <w:spacing w:after="20" w:line="280"/>
              <w:jc w:val="center"/>
            </w:pPr>
            <w:r>
              <w:rPr>
                <w:b/>
                <w:bCs/>
                <w:color w:val="1F6B3A"/>
                <w:sz w:val="18"/>
                <w:szCs w:val="18"/>
                <w:rtl/>
              </w:rPr>
              <w:t xml:space="preserve">مغطًّى كاملًا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19"/>
                <w:szCs w:val="19"/>
                <w:rtl/>
              </w:rPr>
              <w:t xml:space="preserve">عقد سلسلة الأثر</w:t>
            </w:r>
          </w:p>
        </w:tc>
        <w:tc>
          <w:tcPr>
            <w:tcW w:type="dxa" w:w="1700"/>
            <w:shd w:fill="F2F6FA" w:color="auto" w:val="clear"/>
            <w:tcMar>
              <w:top w:type="dxa" w:w="70"/>
              <w:left w:type="dxa" w:w="95"/>
              <w:bottom w:type="dxa" w:w="70"/>
              <w:right w:type="dxa" w:w="95"/>
            </w:tcMar>
            <w:vAlign w:val="center"/>
          </w:tcPr>
          <w:p>
            <w:pPr>
              <w:bidi/>
              <w:spacing w:after="20" w:line="280"/>
              <w:jc w:val="center"/>
            </w:pPr>
            <w:r>
              <w:rPr>
                <w:b w:val="false"/>
                <w:bCs w:val="false"/>
                <w:sz w:val="18"/>
                <w:szCs w:val="18"/>
                <w:rtl/>
              </w:rPr>
              <w:t xml:space="preserve">29 عقدة · 16 غير مبنية</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وثيقة إغلاق سلسلة الأثر: سبع موجات بأدلتها</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18"/>
                <w:szCs w:val="18"/>
                <w:rtl/>
              </w:rPr>
              <w:t xml:space="preserve">مغطًّى كاملًا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19"/>
                <w:szCs w:val="19"/>
                <w:rtl/>
              </w:rPr>
              <w:t xml:space="preserve">قرارات أوراق المبيعات</w:t>
            </w:r>
          </w:p>
        </w:tc>
        <w:tc>
          <w:tcPr>
            <w:tcW w:type="dxa" w:w="1700"/>
            <w:tcMar>
              <w:top w:type="dxa" w:w="70"/>
              <w:left w:type="dxa" w:w="95"/>
              <w:bottom w:type="dxa" w:w="70"/>
              <w:right w:type="dxa" w:w="95"/>
            </w:tcMar>
            <w:vAlign w:val="center"/>
          </w:tcPr>
          <w:p>
            <w:pPr>
              <w:bidi/>
              <w:spacing w:after="20" w:line="280"/>
              <w:jc w:val="center"/>
            </w:pPr>
            <w:r>
              <w:rPr>
                <w:b w:val="false"/>
                <w:bCs w:val="false"/>
                <w:sz w:val="18"/>
                <w:szCs w:val="18"/>
                <w:rtl/>
              </w:rPr>
              <w:t xml:space="preserve">26 ورقة · 589 عمودًا</w:t>
            </w:r>
          </w:p>
        </w:tc>
        <w:tc>
          <w:tcPr>
            <w:tcW w:type="dxa" w:w="3400"/>
            <w:tcMar>
              <w:top w:type="dxa" w:w="70"/>
              <w:left w:type="dxa" w:w="95"/>
              <w:bottom w:type="dxa" w:w="70"/>
              <w:right w:type="dxa" w:w="95"/>
            </w:tcMar>
            <w:vAlign w:val="center"/>
          </w:tcPr>
          <w:p>
            <w:pPr>
              <w:bidi/>
              <w:spacing w:after="20" w:line="280"/>
              <w:jc w:val="right"/>
            </w:pPr>
            <w:r>
              <w:rPr>
                <w:b w:val="false"/>
                <w:bCs w:val="false"/>
                <w:sz w:val="19"/>
                <w:szCs w:val="19"/>
                <w:rtl/>
              </w:rPr>
              <w:t xml:space="preserve">وثيقة مواءمة المبيعات</w:t>
            </w:r>
          </w:p>
        </w:tc>
        <w:tc>
          <w:tcPr>
            <w:tcW w:type="dxa" w:w="2100"/>
            <w:tcMar>
              <w:top w:type="dxa" w:w="70"/>
              <w:left w:type="dxa" w:w="95"/>
              <w:bottom w:type="dxa" w:w="70"/>
              <w:right w:type="dxa" w:w="95"/>
            </w:tcMar>
            <w:vAlign w:val="center"/>
          </w:tcPr>
          <w:p>
            <w:pPr>
              <w:bidi/>
              <w:spacing w:after="20" w:line="280"/>
              <w:jc w:val="center"/>
            </w:pPr>
            <w:r>
              <w:rPr>
                <w:b/>
                <w:bCs/>
                <w:color w:val="1F6B3A"/>
                <w:sz w:val="18"/>
                <w:szCs w:val="18"/>
                <w:rtl/>
              </w:rPr>
              <w:t xml:space="preserve">مغطًّى كاملًا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19"/>
                <w:szCs w:val="19"/>
                <w:rtl/>
              </w:rPr>
              <w:t xml:space="preserve">قرارات أوراق الموردين</w:t>
            </w:r>
          </w:p>
        </w:tc>
        <w:tc>
          <w:tcPr>
            <w:tcW w:type="dxa" w:w="1700"/>
            <w:shd w:fill="F2F6FA" w:color="auto" w:val="clear"/>
            <w:tcMar>
              <w:top w:type="dxa" w:w="70"/>
              <w:left w:type="dxa" w:w="95"/>
              <w:bottom w:type="dxa" w:w="70"/>
              <w:right w:type="dxa" w:w="95"/>
            </w:tcMar>
            <w:vAlign w:val="center"/>
          </w:tcPr>
          <w:p>
            <w:pPr>
              <w:bidi/>
              <w:spacing w:after="20" w:line="280"/>
              <w:jc w:val="center"/>
            </w:pPr>
            <w:r>
              <w:rPr>
                <w:b w:val="false"/>
                <w:bCs w:val="false"/>
                <w:sz w:val="18"/>
                <w:szCs w:val="18"/>
                <w:rtl/>
              </w:rPr>
              <w:t xml:space="preserve">29 ورقة · 717 عمودًا</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وثيقة مواءمة الموردين</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18"/>
                <w:szCs w:val="18"/>
                <w:rtl/>
              </w:rPr>
              <w:t xml:space="preserve">مغطًّى كاملًا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19"/>
                <w:szCs w:val="19"/>
                <w:rtl/>
              </w:rPr>
              <w:t xml:space="preserve">سجل الفجوات الرسمي من واحد إلى ثلاثة وثلاثين</w:t>
            </w:r>
          </w:p>
        </w:tc>
        <w:tc>
          <w:tcPr>
            <w:tcW w:type="dxa" w:w="1700"/>
            <w:tcMar>
              <w:top w:type="dxa" w:w="70"/>
              <w:left w:type="dxa" w:w="95"/>
              <w:bottom w:type="dxa" w:w="70"/>
              <w:right w:type="dxa" w:w="95"/>
            </w:tcMar>
            <w:vAlign w:val="center"/>
          </w:tcPr>
          <w:p>
            <w:pPr>
              <w:bidi/>
              <w:spacing w:after="20" w:line="280"/>
              <w:jc w:val="center"/>
            </w:pPr>
            <w:r>
              <w:rPr>
                <w:b w:val="false"/>
                <w:bCs w:val="false"/>
                <w:sz w:val="18"/>
                <w:szCs w:val="18"/>
                <w:rtl/>
              </w:rPr>
              <w:t xml:space="preserve">33 فجوة</w:t>
            </w:r>
          </w:p>
        </w:tc>
        <w:tc>
          <w:tcPr>
            <w:tcW w:type="dxa" w:w="3400"/>
            <w:tcMar>
              <w:top w:type="dxa" w:w="70"/>
              <w:left w:type="dxa" w:w="95"/>
              <w:bottom w:type="dxa" w:w="70"/>
              <w:right w:type="dxa" w:w="95"/>
            </w:tcMar>
            <w:vAlign w:val="center"/>
          </w:tcPr>
          <w:p>
            <w:pPr>
              <w:bidi/>
              <w:spacing w:after="20" w:line="280"/>
              <w:jc w:val="right"/>
            </w:pPr>
            <w:r>
              <w:rPr>
                <w:b w:val="false"/>
                <w:bCs w:val="false"/>
                <w:sz w:val="19"/>
                <w:szCs w:val="19"/>
                <w:rtl/>
              </w:rPr>
              <w:t xml:space="preserve">برنامج الإصلاح — ويُتعقَّب هنا في جدول الفروق</w:t>
            </w:r>
          </w:p>
        </w:tc>
        <w:tc>
          <w:tcPr>
            <w:tcW w:type="dxa" w:w="2100"/>
            <w:tcMar>
              <w:top w:type="dxa" w:w="70"/>
              <w:left w:type="dxa" w:w="95"/>
              <w:bottom w:type="dxa" w:w="70"/>
              <w:right w:type="dxa" w:w="95"/>
            </w:tcMar>
            <w:vAlign w:val="center"/>
          </w:tcPr>
          <w:p>
            <w:pPr>
              <w:bidi/>
              <w:spacing w:after="20" w:line="280"/>
              <w:jc w:val="center"/>
            </w:pPr>
            <w:r>
              <w:rPr>
                <w:b/>
                <w:bCs/>
                <w:color w:val="8A4B00"/>
                <w:sz w:val="18"/>
                <w:szCs w:val="18"/>
                <w:rtl/>
              </w:rPr>
              <w:t xml:space="preserve">خارج نطاق التوثيق عمدًا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19"/>
                <w:szCs w:val="19"/>
                <w:rtl/>
              </w:rPr>
              <w:t xml:space="preserve">الملحق المحجوز من أربعة وثلاثين إلى خمسين</w:t>
            </w:r>
          </w:p>
        </w:tc>
        <w:tc>
          <w:tcPr>
            <w:tcW w:type="dxa" w:w="1700"/>
            <w:shd w:fill="F2F6FA" w:color="auto" w:val="clear"/>
            <w:tcMar>
              <w:top w:type="dxa" w:w="70"/>
              <w:left w:type="dxa" w:w="95"/>
              <w:bottom w:type="dxa" w:w="70"/>
              <w:right w:type="dxa" w:w="95"/>
            </w:tcMar>
            <w:vAlign w:val="center"/>
          </w:tcPr>
          <w:p>
            <w:pPr>
              <w:bidi/>
              <w:spacing w:after="20" w:line="280"/>
              <w:jc w:val="center"/>
            </w:pPr>
            <w:r>
              <w:rPr>
                <w:b w:val="false"/>
                <w:bCs w:val="false"/>
                <w:sz w:val="18"/>
                <w:szCs w:val="18"/>
                <w:rtl/>
              </w:rPr>
              <w:t xml:space="preserve">17 رقمًا</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مسودة تُرفع رسميًّا بالقرار الثاني</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8A4B00"/>
                <w:sz w:val="18"/>
                <w:szCs w:val="18"/>
                <w:rtl/>
              </w:rPr>
              <w:t xml:space="preserve">معلَّق على قرار مالك</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19"/>
                <w:szCs w:val="19"/>
                <w:rtl/>
              </w:rPr>
              <w:t xml:space="preserve">فجوات القياس من واحد وخمسين إلى ثمانية وخمسين</w:t>
            </w:r>
          </w:p>
        </w:tc>
        <w:tc>
          <w:tcPr>
            <w:tcW w:type="dxa" w:w="1700"/>
            <w:tcMar>
              <w:top w:type="dxa" w:w="70"/>
              <w:left w:type="dxa" w:w="95"/>
              <w:bottom w:type="dxa" w:w="70"/>
              <w:right w:type="dxa" w:w="95"/>
            </w:tcMar>
            <w:vAlign w:val="center"/>
          </w:tcPr>
          <w:p>
            <w:pPr>
              <w:bidi/>
              <w:spacing w:after="20" w:line="280"/>
              <w:jc w:val="center"/>
            </w:pPr>
            <w:r>
              <w:rPr>
                <w:b w:val="false"/>
                <w:bCs w:val="false"/>
                <w:sz w:val="18"/>
                <w:szCs w:val="18"/>
                <w:rtl/>
              </w:rPr>
              <w:t xml:space="preserve">8 فجوات</w:t>
            </w:r>
          </w:p>
        </w:tc>
        <w:tc>
          <w:tcPr>
            <w:tcW w:type="dxa" w:w="3400"/>
            <w:tcMar>
              <w:top w:type="dxa" w:w="70"/>
              <w:left w:type="dxa" w:w="95"/>
              <w:bottom w:type="dxa" w:w="70"/>
              <w:right w:type="dxa" w:w="95"/>
            </w:tcMar>
            <w:vAlign w:val="center"/>
          </w:tcPr>
          <w:p>
            <w:pPr>
              <w:bidi/>
              <w:spacing w:after="20" w:line="280"/>
              <w:jc w:val="right"/>
            </w:pPr>
            <w:r>
              <w:rPr>
                <w:b w:val="false"/>
                <w:bCs w:val="false"/>
                <w:sz w:val="19"/>
                <w:szCs w:val="19"/>
                <w:rtl/>
              </w:rPr>
              <w:t xml:space="preserve">برنامج الإصلاح — وترتيب معالجتها في قرارات هذا التقرير</w:t>
            </w:r>
          </w:p>
        </w:tc>
        <w:tc>
          <w:tcPr>
            <w:tcW w:type="dxa" w:w="2100"/>
            <w:tcMar>
              <w:top w:type="dxa" w:w="70"/>
              <w:left w:type="dxa" w:w="95"/>
              <w:bottom w:type="dxa" w:w="70"/>
              <w:right w:type="dxa" w:w="95"/>
            </w:tcMar>
            <w:vAlign w:val="center"/>
          </w:tcPr>
          <w:p>
            <w:pPr>
              <w:bidi/>
              <w:spacing w:after="20" w:line="280"/>
              <w:jc w:val="center"/>
            </w:pPr>
            <w:r>
              <w:rPr>
                <w:b/>
                <w:bCs/>
                <w:color w:val="8A4B00"/>
                <w:sz w:val="18"/>
                <w:szCs w:val="18"/>
                <w:rtl/>
              </w:rPr>
              <w:t xml:space="preserve">خارج نطاق التوثيق عمدًا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19"/>
                <w:szCs w:val="19"/>
                <w:rtl/>
              </w:rPr>
              <w:t xml:space="preserve">البنية التحتية والمراقبة والنشر</w:t>
            </w:r>
          </w:p>
        </w:tc>
        <w:tc>
          <w:tcPr>
            <w:tcW w:type="dxa" w:w="1700"/>
            <w:shd w:fill="F2F6FA" w:color="auto" w:val="clear"/>
            <w:tcMar>
              <w:top w:type="dxa" w:w="70"/>
              <w:left w:type="dxa" w:w="95"/>
              <w:bottom w:type="dxa" w:w="70"/>
              <w:right w:type="dxa" w:w="95"/>
            </w:tcMar>
            <w:vAlign w:val="center"/>
          </w:tcPr>
          <w:p>
            <w:pPr>
              <w:bidi/>
              <w:spacing w:after="20" w:line="280"/>
              <w:jc w:val="center"/>
            </w:pPr>
            <w:r>
              <w:rPr>
                <w:b w:val="false"/>
                <w:bCs w:val="false"/>
                <w:sz w:val="18"/>
                <w:szCs w:val="18"/>
                <w:rtl/>
              </w:rPr>
              <w:t xml:space="preserve">—</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برنامج الإصلاح وحده</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8A4B00"/>
                <w:sz w:val="18"/>
                <w:szCs w:val="18"/>
                <w:rtl/>
              </w:rPr>
              <w:t xml:space="preserve">خارج النطاق — لا تُكرَّر في وثائق التصميم</w:t>
            </w:r>
          </w:p>
        </w:tc>
      </w:tr>
    </w:tbl>
    <w:p>
      <w:pPr>
        <w:pStyle w:val="Heading2"/>
        <w:keepNext/>
        <w:bidi/>
        <w:spacing w:after="140" w:before="280"/>
        <w:jc w:val="right"/>
      </w:pPr>
      <w:r>
        <w:rPr>
          <w:b/>
          <w:bCs/>
          <w:rtl/>
        </w:rPr>
        <w:t xml:space="preserve">هل تلزم وثيقة رابعة؟</w:t>
      </w:r>
    </w:p>
    <w:p>
      <w:pPr>
        <w:bidi/>
        <w:spacing w:after="130" w:line="330"/>
        <w:jc w:val="right"/>
      </w:pPr>
      <w:r>
        <w:rPr>
          <w:b/>
          <w:bCs/>
          <w:i w:val="false"/>
          <w:iCs w:val="false"/>
          <w:sz w:val="24"/>
          <w:szCs w:val="24"/>
          <w:rtl/>
        </w:rPr>
        <w:t xml:space="preserve">لا. المطلوب الآن تنفيذٌ لا توثيقٌ جديد: هذا التقرير هو متعقِّبُ الإغلاق، والعملُ يجري على الوثائق الثلاث وسجل الفجوات الرسمي وموجات البناء السبع في وثيقة السلسلة. وأيُّ وثيقةٍ رابعة في هذه المرحلة تشتيتٌ يعيد كتابة ما هو مكتوب — وتُفتح وثيقةٌ جديدة فقط حين يتغيّر النطاق نفسه: إطلاقُ إدارةٍ جديدة أو معيارٌ جديد.</w:t>
      </w:r>
    </w:p>
    <w:p>
      <w:pPr>
        <w:pStyle w:val="Heading1"/>
        <w:keepNext/>
        <w:bidi/>
        <w:spacing w:after="180" w:before="360"/>
        <w:jc w:val="right"/>
      </w:pPr>
      <w:r>
        <w:rPr>
          <w:b/>
          <w:bCs/>
          <w:rtl/>
        </w:rPr>
        <w:t xml:space="preserve">الباب الخامس — القرارات المطلوبة بترتيب التنفيذ</w:t>
      </w:r>
    </w:p>
    <w:p>
      <w:pPr>
        <w:bidi/>
        <w:spacing w:after="130" w:line="330"/>
        <w:jc w:val="right"/>
      </w:pPr>
      <w:r>
        <w:rPr>
          <w:b w:val="false"/>
          <w:bCs w:val="false"/>
          <w:i w:val="false"/>
          <w:iCs w:val="false"/>
          <w:sz w:val="24"/>
          <w:szCs w:val="24"/>
          <w:rtl/>
        </w:rPr>
        <w:t xml:space="preserve">ثمانية قرارات مرتّبة — الأول شرطٌ لقراءة كل ما بعده:</w:t>
      </w:r>
    </w:p>
    <w:p>
      <w:pPr>
        <w:pStyle w:val="ListParagraph"/>
        <w:numPr>
          <w:ilvl w:val="0"/>
          <w:numId w:val="2"/>
        </w:numPr>
        <w:bidi/>
        <w:spacing w:after="110" w:line="330"/>
        <w:jc w:val="right"/>
      </w:pPr>
      <w:r>
        <w:rPr>
          <w:rtl/>
        </w:rPr>
        <w:t xml:space="preserve">إصلاح مقياس الإغلاق أولًا (</w:t>
      </w:r>
      <w:r>
        <w:rPr>
          <w:rtl w:val="false"/>
        </w:rPr>
        <w:t xml:space="preserve">GAP-56</w:t>
      </w:r>
      <w:r>
        <w:rPr>
          <w:rtl/>
        </w:rPr>
        <w:t xml:space="preserve">): لا يُقبل أي إعلان إغلاقٍ قادمٍ قبل أن تقيس الأداةُ سدَّ العيب لا ذكرَ رمزه — وهذا شرطٌ لقراءة كل ما بعده.</w:t>
      </w:r>
    </w:p>
    <w:p>
      <w:pPr>
        <w:pStyle w:val="ListParagraph"/>
        <w:numPr>
          <w:ilvl w:val="0"/>
          <w:numId w:val="2"/>
        </w:numPr>
        <w:bidi/>
        <w:spacing w:after="110" w:line="330"/>
        <w:jc w:val="right"/>
      </w:pPr>
      <w:r>
        <w:rPr>
          <w:rtl/>
        </w:rPr>
        <w:t xml:space="preserve">اعتماد ملحق التدقيق رسميًّا: الفجوات المحجوزة من 34 إلى 50 تُرفع من مسودة إلى سجل نافذ أو تُدمج في السجل الرسمي بقرار — فلا يبقى سجلان أحدهما غير معتمد.</w:t>
      </w:r>
    </w:p>
    <w:p>
      <w:pPr>
        <w:pStyle w:val="ListParagraph"/>
        <w:numPr>
          <w:ilvl w:val="0"/>
          <w:numId w:val="2"/>
        </w:numPr>
        <w:bidi/>
        <w:spacing w:after="110" w:line="330"/>
        <w:jc w:val="right"/>
      </w:pPr>
      <w:r>
        <w:rPr>
          <w:rtl/>
        </w:rPr>
        <w:t xml:space="preserve">حسم الأساس المكرر: وثيقة المعمارية القديمة تُوسم تاريخية أو يُعاد قياسها على اللقطة الجديدة — لا وثيقتان تدّعيان الحاضر.</w:t>
      </w:r>
    </w:p>
    <w:p>
      <w:pPr>
        <w:pStyle w:val="ListParagraph"/>
        <w:numPr>
          <w:ilvl w:val="0"/>
          <w:numId w:val="2"/>
        </w:numPr>
        <w:bidi/>
        <w:spacing w:after="110" w:line="330"/>
        <w:jc w:val="right"/>
      </w:pPr>
      <w:r>
        <w:rPr>
          <w:rtl/>
        </w:rPr>
        <w:t xml:space="preserve">حسم ترقيم السلاليم وتوثيقه: إما توثيق إعادة استعمال الأرقام رسميًّا أو تصحيح سجل جولة التثبيت — وقد حُسم في وثائق المواءمة بسيادة المحرك.</w:t>
      </w:r>
    </w:p>
    <w:p>
      <w:pPr>
        <w:pStyle w:val="ListParagraph"/>
        <w:numPr>
          <w:ilvl w:val="0"/>
          <w:numId w:val="2"/>
        </w:numPr>
        <w:bidi/>
        <w:spacing w:after="110" w:line="330"/>
        <w:jc w:val="right"/>
      </w:pPr>
      <w:r>
        <w:rPr>
          <w:rtl/>
        </w:rPr>
        <w:t xml:space="preserve">كنس المجموعات الفعلية الستين واللفظ المتقاعد من الدفتر الحي بقاموس الأسماء — قبل تفعيل اشتقاق السايدبار لا بعده.</w:t>
      </w:r>
    </w:p>
    <w:p>
      <w:pPr>
        <w:pStyle w:val="ListParagraph"/>
        <w:numPr>
          <w:ilvl w:val="0"/>
          <w:numId w:val="2"/>
        </w:numPr>
        <w:bidi/>
        <w:spacing w:after="110" w:line="330"/>
        <w:jc w:val="right"/>
      </w:pPr>
      <w:r>
        <w:rPr>
          <w:rtl/>
        </w:rPr>
        <w:t xml:space="preserve">دفترة الهجرات الخمس عشرة الجديدة وقرار سنة التسمية القادمة — فالنمط تكرر مرتين ولن يتوقف بلا قاعدة.</w:t>
      </w:r>
    </w:p>
    <w:p>
      <w:pPr>
        <w:pStyle w:val="ListParagraph"/>
        <w:numPr>
          <w:ilvl w:val="0"/>
          <w:numId w:val="2"/>
        </w:numPr>
        <w:bidi/>
        <w:spacing w:after="110" w:line="330"/>
        <w:jc w:val="right"/>
      </w:pPr>
      <w:r>
        <w:rPr>
          <w:rtl/>
        </w:rPr>
        <w:t xml:space="preserve">قلب نطاق الأطراف المالي إلى الإغلاق الافتراضي — الانفتاح مستهلَك حيًّا في شاشتي الذمم والمدفوعات.</w:t>
      </w:r>
    </w:p>
    <w:p>
      <w:pPr>
        <w:pStyle w:val="ListParagraph"/>
        <w:numPr>
          <w:ilvl w:val="0"/>
          <w:numId w:val="2"/>
        </w:numPr>
        <w:bidi/>
        <w:spacing w:after="110" w:line="330"/>
        <w:jc w:val="right"/>
      </w:pPr>
      <w:r>
        <w:rPr>
          <w:rtl/>
        </w:rPr>
        <w:t xml:space="preserve">إرسال وثائق المواءمة الثلاث بنسختها المحدَّثة في هذا التحديث — فقد صُحِّح فيها ما كشفته اللقطة الجديدة.</w:t>
      </w:r>
    </w:p>
    <w:p>
      <w:pPr>
        <w:spacing w:before="200"/>
      </w:pPr>
    </w:p>
    <w:p>
      <w:pPr>
        <w:bidi/>
        <w:spacing w:after="130" w:line="330"/>
        <w:jc w:val="right"/>
      </w:pPr>
      <w:r>
        <w:rPr>
          <w:b w:val="false"/>
          <w:bCs w:val="false"/>
          <w:i/>
          <w:iCs/>
          <w:color w:val="3F5265"/>
          <w:sz w:val="24"/>
          <w:szCs w:val="24"/>
          <w:rtl/>
        </w:rPr>
        <w:t xml:space="preserve">هذا التقرير مبنيٌّ حصرًا على حزمة اللقطة الجديدة وقياساتٍ آليةٍ أُعيد تشغيلها على مصنَّفها. والسابقُ منه تاريخٌ بلقطته لا يُقرأ حاضرًا — وفق قاعدة الحزمة نفسها. ويحتفظ المستودع داخليًّا بمعرّف الالتزام وتاريخ البناء وبصمة كل ملف.</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777777"/>
        <w:sz w:val="18"/>
        <w:szCs w:val="18"/>
        <w:rtl/>
      </w:rPr>
      <w:t xml:space="preserve">الإصدار 1.0 · صفحة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2" w15:restartNumberingAfterBreak="0">
    <w:multiLevelType w:val="hybridMultilevel"/>
    <w:lvl w:ilvl="0" w15:tentative="1">
      <w:start w:val="1"/>
      <w:numFmt w:val="decimal"/>
      <w:lvlText w:val="%1."/>
      <w:lvlJc w:val="right"/>
      <w:pPr>
        <w:ind w:left="520" w:hanging="300"/>
      </w:pPr>
    </w:lvl>
  </w:abstractNum>
  <w:abstractNum w:abstractNumId="33" w15:restartNumberingAfterBreak="0">
    <w:multiLevelType w:val="hybridMultilevel"/>
    <w:lvl w:ilvl="0" w15:tentative="1">
      <w:start w:val="1"/>
      <w:numFmt w:val="decimal"/>
      <w:lvlText w:val="%1."/>
      <w:lvlJc w:val="right"/>
      <w:pPr>
        <w:ind w:left="520" w:hanging="300"/>
      </w:pPr>
    </w:lvl>
  </w:abstractNum>
  <w:abstractNum w:abstractNumId="34" w15:restartNumberingAfterBreak="0">
    <w:multiLevelType w:val="hybridMultilevel"/>
    <w:lvl w:ilvl="0" w15:tentative="1">
      <w:start w:val="1"/>
      <w:numFmt w:val="decimal"/>
      <w:lvlText w:val="%1."/>
      <w:lvlJc w:val="right"/>
      <w:pPr>
        <w:ind w:left="520" w:hanging="300"/>
      </w:pPr>
    </w:lvl>
  </w:abstractNum>
  <w:abstractNum w:abstractNumId="35" w15:restartNumberingAfterBreak="0">
    <w:multiLevelType w:val="hybridMultilevel"/>
    <w:lvl w:ilvl="0" w15:tentative="1">
      <w:start w:val="1"/>
      <w:numFmt w:val="decimal"/>
      <w:lvlText w:val="%1."/>
      <w:lvlJc w:val="right"/>
      <w:pPr>
        <w:ind w:left="520" w:hanging="300"/>
      </w:pPr>
    </w:lvl>
  </w:abstractNum>
  <w:abstractNum w:abstractNumId="36" w15:restartNumberingAfterBreak="0">
    <w:multiLevelType w:val="hybridMultilevel"/>
    <w:lvl w:ilvl="0" w15:tentative="1">
      <w:start w:val="1"/>
      <w:numFmt w:val="decimal"/>
      <w:lvlText w:val="%1."/>
      <w:lvlJc w:val="right"/>
      <w:pPr>
        <w:ind w:left="520" w:hanging="300"/>
      </w:pPr>
    </w:lvl>
  </w:abstractNum>
  <w:abstractNum w:abstractNumId="37" w15:restartNumberingAfterBreak="0">
    <w:multiLevelType w:val="hybridMultilevel"/>
    <w:lvl w:ilvl="0" w15:tentative="1">
      <w:start w:val="1"/>
      <w:numFmt w:val="decimal"/>
      <w:lvlText w:val="%1."/>
      <w:lvlJc w:val="right"/>
      <w:pPr>
        <w:ind w:left="520" w:hanging="300"/>
      </w:pPr>
    </w:lvl>
  </w:abstractNum>
  <w:abstractNum w:abstractNumId="38" w15:restartNumberingAfterBreak="0">
    <w:multiLevelType w:val="hybridMultilevel"/>
    <w:lvl w:ilvl="0" w15:tentative="1">
      <w:start w:val="1"/>
      <w:numFmt w:val="decimal"/>
      <w:lvlText w:val="%1."/>
      <w:lvlJc w:val="right"/>
      <w:pPr>
        <w:ind w:left="520" w:hanging="300"/>
      </w:pPr>
    </w:lvl>
  </w:abstractNum>
  <w:abstractNum w:abstractNumId="39" w15:restartNumberingAfterBreak="0">
    <w:multiLevelType w:val="hybridMultilevel"/>
    <w:lvl w:ilvl="0" w15:tentative="1">
      <w:start w:val="1"/>
      <w:numFmt w:val="decimal"/>
      <w:lvlText w:val="%1."/>
      <w:lvlJc w:val="right"/>
      <w:pPr>
        <w:ind w:left="520" w:hanging="300"/>
      </w:pPr>
    </w:lvl>
  </w:abstractNum>
  <w:abstractNum w:abstractNumId="40" w15:restartNumberingAfterBreak="0">
    <w:multiLevelType w:val="hybridMultilevel"/>
    <w:lvl w:ilvl="0" w15:tentative="1">
      <w:start w:val="1"/>
      <w:numFmt w:val="decimal"/>
      <w:lvlText w:val="%1."/>
      <w:lvlJc w:val="right"/>
      <w:pPr>
        <w:ind w:left="520" w:hanging="300"/>
      </w:pPr>
    </w:lvl>
  </w:abstractNum>
  <w:abstractNum w:abstractNumId="41" w15:restartNumberingAfterBreak="0">
    <w:multiLevelType w:val="hybridMultilevel"/>
    <w:lvl w:ilvl="0" w15:tentative="1">
      <w:start w:val="1"/>
      <w:numFmt w:val="decimal"/>
      <w:lvlText w:val="%1."/>
      <w:lvlJc w:val="right"/>
      <w:pPr>
        <w:ind w:left="520" w:hanging="300"/>
      </w:pPr>
    </w:lvl>
  </w:abstractNum>
  <w:abstractNum w:abstractNumId="42" w15:restartNumberingAfterBreak="0">
    <w:multiLevelType w:val="hybridMultilevel"/>
    <w:lvl w:ilvl="0" w15:tentative="1">
      <w:start w:val="1"/>
      <w:numFmt w:val="decimal"/>
      <w:lvlText w:val="%1."/>
      <w:lvlJc w:val="right"/>
      <w:pPr>
        <w:ind w:left="520" w:hanging="300"/>
      </w:pPr>
    </w:lvl>
  </w:abstractNum>
  <w:abstractNum w:abstractNumId="43" w15:restartNumberingAfterBreak="0">
    <w:multiLevelType w:val="hybridMultilevel"/>
    <w:lvl w:ilvl="0" w15:tentative="1">
      <w:start w:val="1"/>
      <w:numFmt w:val="decimal"/>
      <w:lvlText w:val="%1."/>
      <w:lvlJc w:val="right"/>
      <w:pPr>
        <w:ind w:left="520" w:hanging="300"/>
      </w:pPr>
    </w:lvl>
  </w:abstractNum>
  <w:abstractNum w:abstractNumId="44" w15:restartNumberingAfterBreak="0">
    <w:multiLevelType w:val="hybridMultilevel"/>
    <w:lvl w:ilvl="0" w15:tentative="1">
      <w:start w:val="1"/>
      <w:numFmt w:val="decimal"/>
      <w:lvlText w:val="%1."/>
      <w:lvlJc w:val="right"/>
      <w:pPr>
        <w:ind w:left="520" w:hanging="300"/>
      </w:pPr>
    </w:lvl>
  </w:abstractNum>
  <w:abstractNum w:abstractNumId="45" w15:restartNumberingAfterBreak="0">
    <w:multiLevelType w:val="hybridMultilevel"/>
    <w:lvl w:ilvl="0" w15:tentative="1">
      <w:start w:val="1"/>
      <w:numFmt w:val="decimal"/>
      <w:lvlText w:val="%1."/>
      <w:lvlJc w:val="right"/>
      <w:pPr>
        <w:ind w:left="520" w:hanging="300"/>
      </w:pPr>
    </w:lvl>
  </w:abstractNum>
  <w:abstractNum w:abstractNumId="46" w15:restartNumberingAfterBreak="0">
    <w:multiLevelType w:val="hybridMultilevel"/>
    <w:lvl w:ilvl="0" w15:tentative="1">
      <w:start w:val="1"/>
      <w:numFmt w:val="decimal"/>
      <w:lvlText w:val="%1."/>
      <w:lvlJc w:val="right"/>
      <w:pPr>
        <w:ind w:left="520" w:hanging="300"/>
      </w:pPr>
    </w:lvl>
  </w:abstractNum>
  <w:num w:numId="1">
    <w:abstractNumId w:val="1"/>
    <w:lvlOverride w:ilvl="0">
      <w:startOverride w:val="1"/>
    </w:lvlOverride>
  </w:num>
  <w:num w:numId="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53A5B"/>
      <w:sz w:val="34"/>
      <w:szCs w:val="34"/>
    </w:rPr>
  </w:style>
  <w:style w:type="paragraph" w:styleId="Heading2">
    <w:name w:val="Heading 2"/>
    <w:basedOn w:val="Normal"/>
    <w:next w:val="Normal"/>
    <w:qFormat/>
    <w:pPr>
      <w:outlineLvl w:val="1"/>
    </w:pPr>
    <w:rPr>
      <w:rFonts w:ascii="Arial" w:cs="Arial" w:eastAsia="Arial" w:hAnsi="Arial"/>
      <w:b/>
      <w:bCs/>
      <w:color w:val="1F5C8B"/>
      <w:sz w:val="28"/>
      <w:szCs w:val="28"/>
    </w:rPr>
  </w:style>
  <w:style w:type="paragraph" w:styleId="Heading3">
    <w:name w:val="Heading 3"/>
    <w:basedOn w:val="Normal"/>
    <w:next w:val="Normal"/>
    <w:qFormat/>
    <w:pPr>
      <w:outlineLvl w:val="2"/>
    </w:pPr>
    <w:rPr>
      <w:rFonts w:ascii="Arial" w:cs="Arial" w:eastAsia="Arial" w:hAnsi="Arial"/>
      <w:b/>
      <w:bCs/>
      <w:color w:val="2E6E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2026-08-22T07:55:14.203Z</dcterms:created>
  <dcterms:modified xsi:type="dcterms:W3CDTF">2026-08-22T07:55:14.203Z</dcterms:modified>
</cp:coreProperties>
</file>

<file path=docProps/custom.xml><?xml version="1.0" encoding="utf-8"?>
<Properties xmlns="http://schemas.openxmlformats.org/officeDocument/2006/custom-properties" xmlns:vt="http://schemas.openxmlformats.org/officeDocument/2006/docPropsVTypes"/>
</file>