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300"/>
      </w:pPr>
    </w:p>
    <w:p>
      <w:pPr>
        <w:bidi w:val="false"/>
        <w:spacing w:after="120"/>
        <w:jc w:val="center"/>
      </w:pPr>
      <w:r>
        <w:rPr>
          <w:b/>
          <w:bCs/>
          <w:color w:val="153A5B"/>
          <w:sz w:val="36"/>
          <w:szCs w:val="36"/>
          <w:rtl w:val="false"/>
        </w:rPr>
        <w:t xml:space="preserve">INJ-CHAIN-CLOSE-01</w:t>
      </w:r>
    </w:p>
    <w:p>
      <w:pPr>
        <w:bidi/>
        <w:spacing w:after="100" w:before="220"/>
        <w:jc w:val="center"/>
      </w:pPr>
      <w:r>
        <w:rPr>
          <w:b/>
          <w:bCs/>
          <w:i w:val="false"/>
          <w:iCs w:val="false"/>
          <w:color w:val="153A5B"/>
          <w:sz w:val="34"/>
          <w:szCs w:val="34"/>
          <w:rtl/>
        </w:rPr>
        <w:t xml:space="preserve">وثيقة إغلاق سلسلة الأثر المشتركة</w:t>
      </w:r>
    </w:p>
    <w:p>
      <w:pPr>
        <w:bidi/>
        <w:spacing w:after="420"/>
        <w:jc w:val="center"/>
      </w:pPr>
      <w:r>
        <w:rPr>
          <w:b/>
          <w:bCs/>
          <w:i w:val="false"/>
          <w:iCs w:val="false"/>
          <w:color w:val="1F5C8B"/>
          <w:sz w:val="24"/>
          <w:szCs w:val="24"/>
          <w:rtl/>
        </w:rPr>
        <w:t xml:space="preserve">من الواقعة اليومية إلى التحصيل والصرف والقيد — تسعٌ وعشرون عقدة بثماني خانات</w:t>
      </w:r>
    </w:p>
    <w:p>
      <w:pPr>
        <w:bidi/>
        <w:spacing w:after="50"/>
        <w:jc w:val="center"/>
      </w:pPr>
      <w:r>
        <w:rPr>
          <w:b w:val="false"/>
          <w:bCs w:val="false"/>
          <w:i w:val="false"/>
          <w:iCs w:val="false"/>
          <w:sz w:val="22"/>
          <w:szCs w:val="22"/>
          <w:rtl/>
        </w:rPr>
        <w:t xml:space="preserve">النطاق: التشغيل والموقع · المالية والمحاسبة · الخزينة · المحاسبون المنتدبون</w:t>
      </w:r>
    </w:p>
    <w:p>
      <w:pPr>
        <w:bidi/>
        <w:spacing w:after="130" w:line="330"/>
        <w:jc w:val="center"/>
      </w:pPr>
      <w:r>
        <w:rPr>
          <w:b w:val="false"/>
          <w:bCs w:val="false"/>
          <w:i w:val="false"/>
          <w:iCs w:val="false"/>
          <w:color w:val="444444"/>
          <w:sz w:val="22"/>
          <w:szCs w:val="22"/>
          <w:rtl/>
        </w:rPr>
        <w:t xml:space="preserve">الوثيقة الثالثة المكمّلة لوثيقتَي مواءمة المبيعات وعقود الموردين</w:t>
      </w:r>
    </w:p>
    <w:p>
      <w:pPr>
        <w:bidi/>
        <w:spacing w:after="70" w:before="520"/>
        <w:jc w:val="center"/>
      </w:pPr>
      <w:r>
        <w:rPr>
          <w:b/>
          <w:bCs/>
          <w:i w:val="false"/>
          <w:iCs w:val="false"/>
          <w:sz w:val="26"/>
          <w:szCs w:val="26"/>
          <w:rtl/>
        </w:rPr>
        <w:t xml:space="preserve">الإصدار 1.0</w:t>
      </w:r>
    </w:p>
    <w:p>
      <w:pPr>
        <w:bidi/>
        <w:spacing w:after="130" w:line="330"/>
        <w:jc w:val="center"/>
      </w:pPr>
      <w:r>
        <w:rPr>
          <w:b w:val="false"/>
          <w:bCs w:val="false"/>
          <w:i w:val="false"/>
          <w:iCs w:val="false"/>
          <w:color w:val="555555"/>
          <w:sz w:val="22"/>
          <w:szCs w:val="22"/>
          <w:rtl/>
        </w:rPr>
        <w:t xml:space="preserve">منصة إنجاز — مجموعة إكوبيشن · </w:t>
      </w:r>
      <w:r>
        <w:rPr>
          <w:b w:val="false"/>
          <w:bCs w:val="false"/>
          <w:i w:val="false"/>
          <w:iCs w:val="false"/>
          <w:color w:val="555555"/>
          <w:sz w:val="22"/>
          <w:szCs w:val="22"/>
          <w:rtl w:val="false"/>
        </w:rPr>
        <w:t xml:space="preserve">2026-08-22</w:t>
      </w:r>
    </w:p>
    <w:p>
      <w:r>
        <w:br w:type="page"/>
      </w:r>
    </w:p>
    <w:p>
      <w:pPr>
        <w:pStyle w:val="Heading1"/>
        <w:keepNext/>
        <w:bidi/>
        <w:spacing w:after="180" w:before="360"/>
        <w:jc w:val="right"/>
      </w:pPr>
      <w:r>
        <w:rPr>
          <w:b/>
          <w:bCs/>
          <w:rtl/>
        </w:rPr>
        <w:t xml:space="preserve">الملخص التنفيذي</w:t>
      </w:r>
    </w:p>
    <w:p>
      <w:pPr>
        <w:bidi/>
        <w:spacing w:after="130" w:line="330"/>
        <w:jc w:val="right"/>
      </w:pPr>
      <w:r>
        <w:rPr>
          <w:b w:val="false"/>
          <w:bCs w:val="false"/>
          <w:i w:val="false"/>
          <w:iCs w:val="false"/>
          <w:sz w:val="24"/>
          <w:szCs w:val="24"/>
          <w:rtl/>
        </w:rPr>
        <w:t xml:space="preserve">هذه ليست دورةً جديدة تُخترع، ولا وثيقةَ تشغيلٍ وماليةٍ فضفاضة. هي وثيقةُ إغلاقٍ لسلسلةٍ قائمةٍ بعينها: تسعٌ وعشرون عقدةً تبدأ من ساعةٍ تُدخَل مرةً واحدة في الموقع وتنتهي عند التحصيل من العميل والصرف للمورد والقيد في دفتر الأستاذ. ثلاثَ عشرةَ عقدةً منها مبنيةٌ وستَّ عشرةَ غير مبنية — وخمسَ عشرةَ من غير المبنية خارج نطاق المبيعات والموردين معًا. فهذه الوثيقة هي العائق الأخير أمام أن تعمل المنصة من الطرف إلى الطرف.</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450"/>
        <w:gridCol w:w="2450"/>
        <w:gridCol w:w="2450"/>
        <w:gridCol w:w="2450"/>
      </w:tblGrid>
      <w:tr>
        <w:trPr>
          <w:cantSplit/>
        </w:trPr>
        <w:tc>
          <w:tcPr>
            <w:tcW w:type="dxa" w:w="2450"/>
            <w:shd w:fill="E3EBF3" w:color="auto" w:val="clear"/>
            <w:tcMar>
              <w:top w:type="dxa" w:w="70"/>
              <w:left w:type="dxa" w:w="95"/>
              <w:bottom w:type="dxa" w:w="70"/>
              <w:right w:type="dxa" w:w="95"/>
            </w:tcMar>
            <w:vAlign w:val="center"/>
          </w:tcPr>
          <w:p>
            <w:pPr>
              <w:bidi/>
              <w:spacing w:after="20" w:line="280"/>
              <w:jc w:val="center"/>
            </w:pPr>
            <w:r>
              <w:rPr>
                <w:b w:val="false"/>
                <w:bCs w:val="false"/>
                <w:color w:val="3F5265"/>
                <w:sz w:val="19"/>
                <w:szCs w:val="19"/>
                <w:rtl/>
              </w:rPr>
              <w:t xml:space="preserve">عقد السلسلة</w:t>
            </w:r>
          </w:p>
          <w:p>
            <w:pPr>
              <w:bidi/>
              <w:spacing w:after="20" w:line="280"/>
              <w:jc w:val="center"/>
            </w:pPr>
            <w:r>
              <w:rPr>
                <w:b/>
                <w:bCs/>
                <w:color w:val="1F3B57"/>
                <w:sz w:val="30"/>
                <w:szCs w:val="30"/>
                <w:rtl/>
              </w:rPr>
              <w:t xml:space="preserve">29</w:t>
            </w:r>
          </w:p>
        </w:tc>
        <w:tc>
          <w:tcPr>
            <w:tcW w:type="dxa" w:w="2450"/>
            <w:shd w:fill="E3EBF3" w:color="auto" w:val="clear"/>
            <w:tcMar>
              <w:top w:type="dxa" w:w="70"/>
              <w:left w:type="dxa" w:w="95"/>
              <w:bottom w:type="dxa" w:w="70"/>
              <w:right w:type="dxa" w:w="95"/>
            </w:tcMar>
            <w:vAlign w:val="center"/>
          </w:tcPr>
          <w:p>
            <w:pPr>
              <w:bidi/>
              <w:spacing w:after="20" w:line="280"/>
              <w:jc w:val="center"/>
            </w:pPr>
            <w:r>
              <w:rPr>
                <w:b w:val="false"/>
                <w:bCs w:val="false"/>
                <w:color w:val="3F5265"/>
                <w:sz w:val="19"/>
                <w:szCs w:val="19"/>
                <w:rtl/>
              </w:rPr>
              <w:t xml:space="preserve">مبنية</w:t>
            </w:r>
          </w:p>
          <w:p>
            <w:pPr>
              <w:bidi/>
              <w:spacing w:after="20" w:line="280"/>
              <w:jc w:val="center"/>
            </w:pPr>
            <w:r>
              <w:rPr>
                <w:b/>
                <w:bCs/>
                <w:color w:val="1F6B3A"/>
                <w:sz w:val="30"/>
                <w:szCs w:val="30"/>
                <w:rtl/>
              </w:rPr>
              <w:t xml:space="preserve">13</w:t>
            </w:r>
          </w:p>
        </w:tc>
        <w:tc>
          <w:tcPr>
            <w:tcW w:type="dxa" w:w="2450"/>
            <w:shd w:fill="E3EBF3" w:color="auto" w:val="clear"/>
            <w:tcMar>
              <w:top w:type="dxa" w:w="70"/>
              <w:left w:type="dxa" w:w="95"/>
              <w:bottom w:type="dxa" w:w="70"/>
              <w:right w:type="dxa" w:w="95"/>
            </w:tcMar>
            <w:vAlign w:val="center"/>
          </w:tcPr>
          <w:p>
            <w:pPr>
              <w:bidi/>
              <w:spacing w:after="20" w:line="280"/>
              <w:jc w:val="center"/>
            </w:pPr>
            <w:r>
              <w:rPr>
                <w:b w:val="false"/>
                <w:bCs w:val="false"/>
                <w:color w:val="3F5265"/>
                <w:sz w:val="19"/>
                <w:szCs w:val="19"/>
                <w:rtl/>
              </w:rPr>
              <w:t xml:space="preserve">غير مبنية</w:t>
            </w:r>
          </w:p>
          <w:p>
            <w:pPr>
              <w:bidi/>
              <w:spacing w:after="20" w:line="280"/>
              <w:jc w:val="center"/>
            </w:pPr>
            <w:r>
              <w:rPr>
                <w:b/>
                <w:bCs/>
                <w:color w:val="A3151F"/>
                <w:sz w:val="30"/>
                <w:szCs w:val="30"/>
                <w:rtl/>
              </w:rPr>
              <w:t xml:space="preserve">16</w:t>
            </w:r>
          </w:p>
        </w:tc>
        <w:tc>
          <w:tcPr>
            <w:tcW w:type="dxa" w:w="2450"/>
            <w:shd w:fill="E3EBF3" w:color="auto" w:val="clear"/>
            <w:tcMar>
              <w:top w:type="dxa" w:w="70"/>
              <w:left w:type="dxa" w:w="95"/>
              <w:bottom w:type="dxa" w:w="70"/>
              <w:right w:type="dxa" w:w="95"/>
            </w:tcMar>
            <w:vAlign w:val="center"/>
          </w:tcPr>
          <w:p>
            <w:pPr>
              <w:bidi/>
              <w:spacing w:after="20" w:line="280"/>
              <w:jc w:val="center"/>
            </w:pPr>
            <w:r>
              <w:rPr>
                <w:b w:val="false"/>
                <w:bCs w:val="false"/>
                <w:color w:val="3F5265"/>
                <w:sz w:val="19"/>
                <w:szCs w:val="19"/>
                <w:rtl/>
              </w:rPr>
              <w:t xml:space="preserve">موجات البناء</w:t>
            </w:r>
          </w:p>
          <w:p>
            <w:pPr>
              <w:bidi/>
              <w:spacing w:after="20" w:line="280"/>
              <w:jc w:val="center"/>
            </w:pPr>
            <w:r>
              <w:rPr>
                <w:b/>
                <w:bCs/>
                <w:color w:val="1F3B57"/>
                <w:sz w:val="30"/>
                <w:szCs w:val="30"/>
                <w:rtl/>
              </w:rPr>
              <w:t xml:space="preserve">7</w:t>
            </w:r>
          </w:p>
        </w:tc>
      </w:tr>
    </w:tbl>
    <w:p>
      <w:pPr>
        <w:spacing w:after="150"/>
      </w:pPr>
    </w:p>
    <w:p>
      <w:pPr>
        <w:bidi/>
        <w:spacing w:after="130" w:line="330"/>
        <w:jc w:val="right"/>
      </w:pPr>
      <w:r>
        <w:rPr>
          <w:b/>
          <w:bCs/>
          <w:i w:val="false"/>
          <w:iCs w:val="false"/>
          <w:sz w:val="24"/>
          <w:szCs w:val="24"/>
          <w:rtl/>
        </w:rPr>
        <w:t xml:space="preserve">والحكم الحاكم لهذه الوثيقة: الموضعُ التقني لا يُنشئ ملكية، والمحاسبةُ ليست الخزينة، ولا يُكتب اسمُ معتمِدٍ في وثيقةٍ بل معرّفُ سلّمٍ يُحَلّ من محركه، ولا كاتبَ بشريٌّ مباشرٌ إلى دفتر الأستاذ.</w:t>
      </w:r>
    </w:p>
    <w:p>
      <w:r>
        <w:br w:type="page"/>
      </w:r>
    </w:p>
    <w:p>
      <w:pPr>
        <w:pStyle w:val="Heading1"/>
        <w:keepNext/>
        <w:bidi/>
        <w:spacing w:after="180" w:before="360"/>
        <w:jc w:val="right"/>
      </w:pPr>
      <w:r>
        <w:rPr>
          <w:b/>
          <w:bCs/>
          <w:rtl/>
        </w:rPr>
        <w:t xml:space="preserve">جدول المحتويات</w:t>
      </w:r>
    </w:p>
    <w:sdt>
      <w:sdtPr>
        <w:alias w:val="جدول المحتويات"/>
      </w:sdtPr>
      <w:sdtContent>
        <w:p>
          <w:r>
            <w:fldChar w:fldCharType="begin" w:dirty="true"/>
            <w:instrText xml:space="preserve">TOC \h \o "1-2"</w:instrText>
            <w:fldChar w:fldCharType="separate"/>
          </w:r>
        </w:p>
        <w:p>
          <w:r>
            <w:fldChar w:fldCharType="end"/>
          </w:r>
        </w:p>
      </w:sdtContent>
    </w:sdt>
    <w:p>
      <w:r>
        <w:br w:type="page"/>
      </w:r>
    </w:p>
    <w:p>
      <w:pPr>
        <w:pStyle w:val="Heading1"/>
        <w:keepNext/>
        <w:bidi/>
        <w:spacing w:after="180" w:before="360"/>
        <w:jc w:val="right"/>
      </w:pPr>
      <w:r>
        <w:rPr>
          <w:b/>
          <w:bCs/>
          <w:rtl/>
        </w:rPr>
        <w:t xml:space="preserve">الباب الأول — قواعد الوثيقة</w:t>
      </w:r>
    </w:p>
    <w:p>
      <w:pPr>
        <w:bidi/>
        <w:spacing w:after="130" w:line="330"/>
        <w:jc w:val="right"/>
      </w:pPr>
      <w:r>
        <w:rPr>
          <w:b w:val="false"/>
          <w:bCs w:val="false"/>
          <w:i w:val="false"/>
          <w:iCs w:val="false"/>
          <w:sz w:val="24"/>
          <w:szCs w:val="24"/>
          <w:rtl/>
        </w:rPr>
        <w:t xml:space="preserve">هذه الوثيقة تحكم موضعَ كل عقدةٍ وملكيتَها وسلّمها ودليلَ إغلاقها. ولا تنشئ خطوةَ اعتمادٍ ولا تسمّي جهةً، ولا تغيّر دورةً قائمة، ولا تمسّ شكل الواجهة.</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3000"/>
        <w:gridCol w:w="6800"/>
      </w:tblGrid>
      <w:tr>
        <w:trPr>
          <w:cantSplit/>
          <w:tblHeader/>
        </w:trPr>
        <w:tc>
          <w:tcPr>
            <w:tcW w:type="dxa" w:w="3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القاعدة</w:t>
            </w:r>
          </w:p>
        </w:tc>
        <w:tc>
          <w:tcPr>
            <w:tcW w:type="dxa" w:w="68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مضمونها</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لا اسمَ معتمِدٍ يُكتب هنا</w:t>
            </w:r>
          </w:p>
        </w:tc>
        <w:tc>
          <w:tcPr>
            <w:tcW w:type="dxa" w:w="6800"/>
            <w:tcMar>
              <w:top w:type="dxa" w:w="70"/>
              <w:left w:type="dxa" w:w="95"/>
              <w:bottom w:type="dxa" w:w="70"/>
              <w:right w:type="dxa" w:w="95"/>
            </w:tcMar>
            <w:vAlign w:val="center"/>
          </w:tcPr>
          <w:p>
            <w:pPr>
              <w:bidi/>
              <w:spacing w:after="20" w:line="280"/>
              <w:jc w:val="right"/>
            </w:pPr>
            <w:r>
              <w:rPr>
                <w:b w:val="false"/>
                <w:bCs w:val="false"/>
                <w:sz w:val="20"/>
                <w:szCs w:val="20"/>
                <w:rtl/>
              </w:rPr>
              <w:t xml:space="preserve">هذه الوثيقة لا تسمّي جهة اعتمادٍ ولا تنشئ خطوةَ سلّمٍ جديدة. تكتب معرّف السلّم فقط، وتُحَلّ الجهةُ من محرك السلاليم الحاكم عرضًا وقت التنفيذ. وأيُّ تعديلٍ في السلّم يقع في المحرك نفسه لا في وثيقة إدارة.</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لا يدَ واحدة تجمع أربعًا</w:t>
            </w:r>
          </w:p>
        </w:tc>
        <w:tc>
          <w:tcPr>
            <w:tcW w:type="dxa" w:w="68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لا يجمع شخصٌ واحد بين إنشاء الطلب واعتماده وتنفيذ النقد وتسجيل القيد — ولو ملك الصلاحيات الأربع تقنيًّا.</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المحاسبة ليست الخزينة</w:t>
            </w:r>
          </w:p>
        </w:tc>
        <w:tc>
          <w:tcPr>
            <w:tcW w:type="dxa" w:w="6800"/>
            <w:tcMar>
              <w:top w:type="dxa" w:w="70"/>
              <w:left w:type="dxa" w:w="95"/>
              <w:bottom w:type="dxa" w:w="70"/>
              <w:right w:type="dxa" w:w="95"/>
            </w:tcMar>
            <w:vAlign w:val="center"/>
          </w:tcPr>
          <w:p>
            <w:pPr>
              <w:bidi/>
              <w:spacing w:after="20" w:line="280"/>
              <w:jc w:val="right"/>
            </w:pPr>
            <w:r>
              <w:rPr>
                <w:b w:val="false"/>
                <w:bCs w:val="false"/>
                <w:sz w:val="20"/>
                <w:szCs w:val="20"/>
                <w:rtl/>
              </w:rPr>
              <w:t xml:space="preserve">المحاسبة تملك الاعتراف والمعالجة ودفتر الأستاذ والرقابة والقيد؛ والخزينة تملك تنفيذ القبض والدفع والتعامل البنكي ومرجع الحركة. ولا تملك الخزينة قيدًا ولا اعتمادًا ماليًّا للوحدة.</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الإعداد لا يُنشئ اعتمادًا</w:t>
            </w:r>
          </w:p>
        </w:tc>
        <w:tc>
          <w:tcPr>
            <w:tcW w:type="dxa" w:w="68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إعدادُ أمر التحصيل أو الدفع أو بيانات القيد لا يُرحّل شيئًا — والترحيل لا يقع إلا بعد إجازة الرقابة المحاسبية.</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الموضع التقني لا يُنشئ ملكية</w:t>
            </w:r>
          </w:p>
        </w:tc>
        <w:tc>
          <w:tcPr>
            <w:tcW w:type="dxa" w:w="6800"/>
            <w:tcMar>
              <w:top w:type="dxa" w:w="70"/>
              <w:left w:type="dxa" w:w="95"/>
              <w:bottom w:type="dxa" w:w="70"/>
              <w:right w:type="dxa" w:w="95"/>
            </w:tcMar>
            <w:vAlign w:val="center"/>
          </w:tcPr>
          <w:p>
            <w:pPr>
              <w:bidi/>
              <w:spacing w:after="20" w:line="280"/>
              <w:jc w:val="right"/>
            </w:pPr>
            <w:r>
              <w:rPr>
                <w:b w:val="false"/>
                <w:bCs w:val="false"/>
                <w:sz w:val="20"/>
                <w:szCs w:val="20"/>
                <w:rtl/>
              </w:rPr>
              <w:t xml:space="preserve">وجودُ محرك الوحدات في نطاق التشغيل لا يجعل الاعتماد التجاري أو المالي مملوكًا للتشغيل — الموضع هندسةٌ والملكية حوكمة.</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ترتيب النقد والقيد ليس ثابتًا</w:t>
            </w:r>
          </w:p>
        </w:tc>
        <w:tc>
          <w:tcPr>
            <w:tcW w:type="dxa" w:w="68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تسلسلُ التنفيذ النقدي والقيد يحكمه نوع الحدث المحاسبي والسياسة، فلا يُفترض أن أحدهما يسبق الآخر دائمًا.</w:t>
            </w:r>
          </w:p>
        </w:tc>
      </w:tr>
    </w:tbl>
    <w:p>
      <w:pPr>
        <w:pStyle w:val="Heading2"/>
        <w:keepNext/>
        <w:bidi/>
        <w:spacing w:after="140" w:before="280"/>
        <w:jc w:val="right"/>
      </w:pPr>
      <w:r>
        <w:rPr>
          <w:b/>
          <w:bCs/>
          <w:rtl/>
        </w:rPr>
        <w:t xml:space="preserve">رموز عمود السلّم — ثلاثةٌ لا غير</w:t>
      </w:r>
    </w:p>
    <w:p>
      <w:pPr>
        <w:bidi/>
        <w:spacing w:after="130" w:line="330"/>
        <w:jc w:val="right"/>
      </w:pPr>
      <w:r>
        <w:rPr>
          <w:b w:val="false"/>
          <w:bCs w:val="false"/>
          <w:i w:val="false"/>
          <w:iCs w:val="false"/>
          <w:sz w:val="24"/>
          <w:szCs w:val="24"/>
          <w:rtl/>
        </w:rPr>
        <w:t xml:space="preserve">عمودُ السلّم عقدٌ تقنيٌّ يُقرأ آليًّا، فلا يحمل نصًّا وصفيًّا حرًّا. وله ثلاثةُ رموزٍ قانونيةٍ لا رابع لها:</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3200"/>
        <w:gridCol w:w="6600"/>
      </w:tblGrid>
      <w:tr>
        <w:trPr>
          <w:cantSplit/>
          <w:tblHeader/>
        </w:trPr>
        <w:tc>
          <w:tcPr>
            <w:tcW w:type="dxa" w:w="3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الرمز</w:t>
            </w:r>
          </w:p>
        </w:tc>
        <w:tc>
          <w:tcPr>
            <w:tcW w:type="dxa" w:w="6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متى يُستعمل</w:t>
            </w:r>
          </w:p>
        </w:tc>
      </w:tr>
      <w:tr>
        <w:trPr>
          <w:cantSplit/>
        </w:trPr>
        <w:tc>
          <w:tcPr>
            <w:tcW w:type="dxa" w:w="3200"/>
            <w:tcMar>
              <w:top w:type="dxa" w:w="70"/>
              <w:left w:type="dxa" w:w="95"/>
              <w:bottom w:type="dxa" w:w="70"/>
              <w:right w:type="dxa" w:w="95"/>
            </w:tcMar>
            <w:vAlign w:val="center"/>
          </w:tcPr>
          <w:p>
            <w:pPr>
              <w:bidi w:val="false"/>
              <w:spacing w:after="20" w:line="280"/>
              <w:jc w:val="left"/>
            </w:pPr>
            <w:r>
              <w:rPr>
                <w:b/>
                <w:bCs/>
                <w:color w:val="1F3B57"/>
                <w:sz w:val="20"/>
                <w:szCs w:val="20"/>
                <w:rtl w:val="false"/>
              </w:rPr>
              <w:t xml:space="preserve">LD-nn</w:t>
            </w:r>
          </w:p>
        </w:tc>
        <w:tc>
          <w:tcPr>
            <w:tcW w:type="dxa" w:w="6600"/>
            <w:tcMar>
              <w:top w:type="dxa" w:w="70"/>
              <w:left w:type="dxa" w:w="95"/>
              <w:bottom w:type="dxa" w:w="70"/>
              <w:right w:type="dxa" w:w="95"/>
            </w:tcMar>
            <w:vAlign w:val="center"/>
          </w:tcPr>
          <w:p>
            <w:pPr>
              <w:bidi/>
              <w:spacing w:after="20" w:line="280"/>
              <w:jc w:val="right"/>
            </w:pPr>
            <w:r>
              <w:rPr>
                <w:b w:val="false"/>
                <w:bCs w:val="false"/>
                <w:sz w:val="20"/>
                <w:szCs w:val="20"/>
                <w:rtl/>
              </w:rPr>
              <w:t xml:space="preserve">للخطوة التي لها سلّمٌ في محرك السلاليم — وتُحَلّ خطواتُه وجهاتُه من المحرك وقت التنفيذ.</w:t>
            </w:r>
          </w:p>
        </w:tc>
      </w:tr>
      <w:tr>
        <w:trPr>
          <w:cantSplit/>
        </w:trPr>
        <w:tc>
          <w:tcPr>
            <w:tcW w:type="dxa" w:w="3200"/>
            <w:shd w:fill="F2F6FA" w:color="auto" w:val="clear"/>
            <w:tcMar>
              <w:top w:type="dxa" w:w="70"/>
              <w:left w:type="dxa" w:w="95"/>
              <w:bottom w:type="dxa" w:w="70"/>
              <w:right w:type="dxa" w:w="95"/>
            </w:tcMar>
            <w:vAlign w:val="center"/>
          </w:tcPr>
          <w:p>
            <w:pPr>
              <w:bidi w:val="false"/>
              <w:spacing w:after="20" w:line="280"/>
              <w:jc w:val="left"/>
            </w:pPr>
            <w:r>
              <w:rPr>
                <w:b/>
                <w:bCs/>
                <w:color w:val="1F3B57"/>
                <w:sz w:val="20"/>
                <w:szCs w:val="20"/>
                <w:rtl w:val="false"/>
              </w:rPr>
              <w:t xml:space="preserve">NO_LADDER_REQUIRED</w:t>
            </w:r>
          </w:p>
        </w:tc>
        <w:tc>
          <w:tcPr>
            <w:tcW w:type="dxa" w:w="6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للخطوة التي لا اعتمادَ فيها أصلًا: تسجيلٌ أو كشفٌ أو قراءة.</w:t>
            </w:r>
          </w:p>
        </w:tc>
      </w:tr>
      <w:tr>
        <w:trPr>
          <w:cantSplit/>
        </w:trPr>
        <w:tc>
          <w:tcPr>
            <w:tcW w:type="dxa" w:w="3200"/>
            <w:tcMar>
              <w:top w:type="dxa" w:w="70"/>
              <w:left w:type="dxa" w:w="95"/>
              <w:bottom w:type="dxa" w:w="70"/>
              <w:right w:type="dxa" w:w="95"/>
            </w:tcMar>
            <w:vAlign w:val="center"/>
          </w:tcPr>
          <w:p>
            <w:pPr>
              <w:bidi w:val="false"/>
              <w:spacing w:after="20" w:line="280"/>
              <w:jc w:val="left"/>
            </w:pPr>
            <w:r>
              <w:rPr>
                <w:b/>
                <w:bCs/>
                <w:color w:val="1F3B57"/>
                <w:sz w:val="20"/>
                <w:szCs w:val="20"/>
                <w:rtl w:val="false"/>
              </w:rPr>
              <w:t xml:space="preserve">RESOLVE_FROM_POLICY:key</w:t>
            </w:r>
          </w:p>
        </w:tc>
        <w:tc>
          <w:tcPr>
            <w:tcW w:type="dxa" w:w="6600"/>
            <w:tcMar>
              <w:top w:type="dxa" w:w="70"/>
              <w:left w:type="dxa" w:w="95"/>
              <w:bottom w:type="dxa" w:w="70"/>
              <w:right w:type="dxa" w:w="95"/>
            </w:tcMar>
            <w:vAlign w:val="center"/>
          </w:tcPr>
          <w:p>
            <w:pPr>
              <w:bidi/>
              <w:spacing w:after="20" w:line="280"/>
              <w:jc w:val="right"/>
            </w:pPr>
            <w:r>
              <w:rPr>
                <w:b w:val="false"/>
                <w:bCs w:val="false"/>
                <w:sz w:val="20"/>
                <w:szCs w:val="20"/>
                <w:rtl/>
              </w:rPr>
              <w:t xml:space="preserve">للخطوة التي تحكمها سياسةٌ لا سلّمٌ — كالخزينة والترحيل — ويُحمل معها مفتاحُ السياسة صراحةً.</w:t>
            </w:r>
          </w:p>
        </w:tc>
      </w:tr>
    </w:tbl>
    <w:p>
      <w:pPr>
        <w:pStyle w:val="Heading2"/>
        <w:keepNext/>
        <w:bidi/>
        <w:spacing w:after="140" w:before="280"/>
        <w:jc w:val="right"/>
      </w:pPr>
      <w:r>
        <w:rPr>
          <w:b/>
          <w:bCs/>
          <w:rtl/>
        </w:rPr>
        <w:t xml:space="preserve">طبقات الملكية الثماني</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400"/>
        <w:gridCol w:w="5400"/>
        <w:gridCol w:w="2000"/>
      </w:tblGrid>
      <w:tr>
        <w:trPr>
          <w:cantSplit/>
          <w:tblHeader/>
        </w:trPr>
        <w:tc>
          <w:tcPr>
            <w:tcW w:type="dxa" w:w="24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الطبقة</w:t>
            </w:r>
          </w:p>
        </w:tc>
        <w:tc>
          <w:tcPr>
            <w:tcW w:type="dxa" w:w="54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مضمونها</w:t>
            </w:r>
          </w:p>
        </w:tc>
        <w:tc>
          <w:tcPr>
            <w:tcW w:type="dxa" w:w="2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الحقل</w:t>
            </w:r>
          </w:p>
        </w:tc>
      </w:tr>
      <w:tr>
        <w:trPr>
          <w:cantSplit/>
        </w:trPr>
        <w:tc>
          <w:tcPr>
            <w:tcW w:type="dxa" w:w="2400"/>
            <w:tcMar>
              <w:top w:type="dxa" w:w="70"/>
              <w:left w:type="dxa" w:w="95"/>
              <w:bottom w:type="dxa" w:w="70"/>
              <w:right w:type="dxa" w:w="95"/>
            </w:tcMar>
            <w:vAlign w:val="center"/>
          </w:tcPr>
          <w:p>
            <w:pPr>
              <w:bidi/>
              <w:spacing w:after="20" w:line="280"/>
              <w:jc w:val="right"/>
            </w:pPr>
            <w:r>
              <w:rPr>
                <w:b/>
                <w:bCs/>
                <w:sz w:val="21"/>
                <w:szCs w:val="21"/>
                <w:rtl/>
              </w:rPr>
              <w:t xml:space="preserve">الموضع التقني</w:t>
            </w:r>
          </w:p>
        </w:tc>
        <w:tc>
          <w:tcPr>
            <w:tcW w:type="dxa" w:w="5400"/>
            <w:tcMar>
              <w:top w:type="dxa" w:w="70"/>
              <w:left w:type="dxa" w:w="95"/>
              <w:bottom w:type="dxa" w:w="70"/>
              <w:right w:type="dxa" w:w="95"/>
            </w:tcMar>
            <w:vAlign w:val="center"/>
          </w:tcPr>
          <w:p>
            <w:pPr>
              <w:bidi/>
              <w:spacing w:after="20" w:line="280"/>
              <w:jc w:val="right"/>
            </w:pPr>
            <w:r>
              <w:rPr>
                <w:b w:val="false"/>
                <w:bCs w:val="false"/>
                <w:sz w:val="20"/>
                <w:szCs w:val="20"/>
                <w:rtl/>
              </w:rPr>
              <w:t xml:space="preserve">أين تعيش الخدمة أو الواقعة في النظام — وصفٌ هندسيٌّ لا يُنشئ ملكيةً لأحد.</w:t>
            </w:r>
          </w:p>
        </w:tc>
        <w:tc>
          <w:tcPr>
            <w:tcW w:type="dxa" w:w="2000"/>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Technical_Runtime</w:t>
            </w:r>
          </w:p>
        </w:tc>
      </w:tr>
      <w:tr>
        <w:trPr>
          <w:cantSplit/>
        </w:trPr>
        <w:tc>
          <w:tcPr>
            <w:tcW w:type="dxa" w:w="24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مالك العملية</w:t>
            </w:r>
          </w:p>
        </w:tc>
        <w:tc>
          <w:tcPr>
            <w:tcW w:type="dxa" w:w="5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من يملك الحدث أو المستند التجاري أو التشغيلي ويجيب عنه أمام الحوكمة.</w:t>
            </w:r>
          </w:p>
        </w:tc>
        <w:tc>
          <w:tcPr>
            <w:tcW w:type="dxa" w:w="20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Process_Owner</w:t>
            </w:r>
          </w:p>
        </w:tc>
      </w:tr>
      <w:tr>
        <w:trPr>
          <w:cantSplit/>
        </w:trPr>
        <w:tc>
          <w:tcPr>
            <w:tcW w:type="dxa" w:w="2400"/>
            <w:tcMar>
              <w:top w:type="dxa" w:w="70"/>
              <w:left w:type="dxa" w:w="95"/>
              <w:bottom w:type="dxa" w:w="70"/>
              <w:right w:type="dxa" w:w="95"/>
            </w:tcMar>
            <w:vAlign w:val="center"/>
          </w:tcPr>
          <w:p>
            <w:pPr>
              <w:bidi/>
              <w:spacing w:after="20" w:line="280"/>
              <w:jc w:val="right"/>
            </w:pPr>
            <w:r>
              <w:rPr>
                <w:b/>
                <w:bCs/>
                <w:sz w:val="21"/>
                <w:szCs w:val="21"/>
                <w:rtl/>
              </w:rPr>
              <w:t xml:space="preserve">المحاسب المنتدب</w:t>
            </w:r>
          </w:p>
        </w:tc>
        <w:tc>
          <w:tcPr>
            <w:tcW w:type="dxa" w:w="5400"/>
            <w:tcMar>
              <w:top w:type="dxa" w:w="70"/>
              <w:left w:type="dxa" w:w="95"/>
              <w:bottom w:type="dxa" w:w="70"/>
              <w:right w:type="dxa" w:w="95"/>
            </w:tcMar>
            <w:vAlign w:val="center"/>
          </w:tcPr>
          <w:p>
            <w:pPr>
              <w:bidi/>
              <w:spacing w:after="20" w:line="280"/>
              <w:jc w:val="right"/>
            </w:pPr>
            <w:r>
              <w:rPr>
                <w:b w:val="false"/>
                <w:bCs w:val="false"/>
                <w:sz w:val="20"/>
                <w:szCs w:val="20"/>
                <w:rtl/>
              </w:rPr>
              <w:t xml:space="preserve">محاسب الإدارة المنتدب من المالية: يراجع الأثر ويهيّئ المستند المالي، ولا يعتمد ولا ينفّذ نقدًا ولا يُرحّل.</w:t>
            </w:r>
          </w:p>
        </w:tc>
        <w:tc>
          <w:tcPr>
            <w:tcW w:type="dxa" w:w="2000"/>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Embedded_Accountant</w:t>
            </w:r>
          </w:p>
        </w:tc>
      </w:tr>
      <w:tr>
        <w:trPr>
          <w:cantSplit/>
        </w:trPr>
        <w:tc>
          <w:tcPr>
            <w:tcW w:type="dxa" w:w="24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سلطة الاعتماد</w:t>
            </w:r>
          </w:p>
        </w:tc>
        <w:tc>
          <w:tcPr>
            <w:tcW w:type="dxa" w:w="5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لا تُكتب اسمًا هنا: يُكتب رمزٌ قانونيٌّ واحدٌ من ثلاثة — معرّفُ سلّمٍ، أو «لا سلّم مطلوب»، أو «يُحَلّ من سياسة» بمفتاحها — وتُحَلّ الجهةُ من المحرك وقت التنفيذ.</w:t>
            </w:r>
          </w:p>
        </w:tc>
        <w:tc>
          <w:tcPr>
            <w:tcW w:type="dxa" w:w="20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Ladder_ID</w:t>
            </w:r>
          </w:p>
        </w:tc>
      </w:tr>
      <w:tr>
        <w:trPr>
          <w:cantSplit/>
        </w:trPr>
        <w:tc>
          <w:tcPr>
            <w:tcW w:type="dxa" w:w="2400"/>
            <w:tcMar>
              <w:top w:type="dxa" w:w="70"/>
              <w:left w:type="dxa" w:w="95"/>
              <w:bottom w:type="dxa" w:w="70"/>
              <w:right w:type="dxa" w:w="95"/>
            </w:tcMar>
            <w:vAlign w:val="center"/>
          </w:tcPr>
          <w:p>
            <w:pPr>
              <w:bidi/>
              <w:spacing w:after="20" w:line="280"/>
              <w:jc w:val="right"/>
            </w:pPr>
            <w:r>
              <w:rPr>
                <w:b/>
                <w:bCs/>
                <w:sz w:val="21"/>
                <w:szCs w:val="21"/>
                <w:rtl/>
              </w:rPr>
              <w:t xml:space="preserve">الرقابة المحاسبية</w:t>
            </w:r>
          </w:p>
        </w:tc>
        <w:tc>
          <w:tcPr>
            <w:tcW w:type="dxa" w:w="5400"/>
            <w:tcMar>
              <w:top w:type="dxa" w:w="70"/>
              <w:left w:type="dxa" w:w="95"/>
              <w:bottom w:type="dxa" w:w="70"/>
              <w:right w:type="dxa" w:w="95"/>
            </w:tcMar>
            <w:vAlign w:val="center"/>
          </w:tcPr>
          <w:p>
            <w:pPr>
              <w:bidi/>
              <w:spacing w:after="20" w:line="280"/>
              <w:jc w:val="right"/>
            </w:pPr>
            <w:r>
              <w:rPr>
                <w:b w:val="false"/>
                <w:bCs w:val="false"/>
                <w:sz w:val="20"/>
                <w:szCs w:val="20"/>
                <w:rtl/>
              </w:rPr>
              <w:t xml:space="preserve">رئيس الحسابات أو الدور الرقابي المفوَّض: إجازةٌ مستقلة تسبق الترحيل ولا تُختصر.</w:t>
            </w:r>
          </w:p>
        </w:tc>
        <w:tc>
          <w:tcPr>
            <w:tcW w:type="dxa" w:w="2000"/>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Accounting_Control</w:t>
            </w:r>
          </w:p>
        </w:tc>
      </w:tr>
      <w:tr>
        <w:trPr>
          <w:cantSplit/>
        </w:trPr>
        <w:tc>
          <w:tcPr>
            <w:tcW w:type="dxa" w:w="24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تنفيذ النقد</w:t>
            </w:r>
          </w:p>
        </w:tc>
        <w:tc>
          <w:tcPr>
            <w:tcW w:type="dxa" w:w="5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الخزينة والبنوك: تنفّذ القبض أو الصرف وتنتج مرجع الحركة — ولا تملك قيدًا ولا اعتمادًا ماليًّا للوحدة.</w:t>
            </w:r>
          </w:p>
        </w:tc>
        <w:tc>
          <w:tcPr>
            <w:tcW w:type="dxa" w:w="20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Cash_Execution</w:t>
            </w:r>
          </w:p>
        </w:tc>
      </w:tr>
      <w:tr>
        <w:trPr>
          <w:cantSplit/>
        </w:trPr>
        <w:tc>
          <w:tcPr>
            <w:tcW w:type="dxa" w:w="2400"/>
            <w:tcMar>
              <w:top w:type="dxa" w:w="70"/>
              <w:left w:type="dxa" w:w="95"/>
              <w:bottom w:type="dxa" w:w="70"/>
              <w:right w:type="dxa" w:w="95"/>
            </w:tcMar>
            <w:vAlign w:val="center"/>
          </w:tcPr>
          <w:p>
            <w:pPr>
              <w:bidi/>
              <w:spacing w:after="20" w:line="280"/>
              <w:jc w:val="right"/>
            </w:pPr>
            <w:r>
              <w:rPr>
                <w:b/>
                <w:bCs/>
                <w:sz w:val="21"/>
                <w:szCs w:val="21"/>
                <w:rtl/>
              </w:rPr>
              <w:t xml:space="preserve">إجازة الترحيل</w:t>
            </w:r>
          </w:p>
        </w:tc>
        <w:tc>
          <w:tcPr>
            <w:tcW w:type="dxa" w:w="5400"/>
            <w:tcMar>
              <w:top w:type="dxa" w:w="70"/>
              <w:left w:type="dxa" w:w="95"/>
              <w:bottom w:type="dxa" w:w="70"/>
              <w:right w:type="dxa" w:w="95"/>
            </w:tcMar>
            <w:vAlign w:val="center"/>
          </w:tcPr>
          <w:p>
            <w:pPr>
              <w:bidi/>
              <w:spacing w:after="20" w:line="280"/>
              <w:jc w:val="right"/>
            </w:pPr>
            <w:r>
              <w:rPr>
                <w:b w:val="false"/>
                <w:bCs w:val="false"/>
                <w:sz w:val="20"/>
                <w:szCs w:val="20"/>
                <w:rtl/>
              </w:rPr>
              <w:t xml:space="preserve">السلطة البشرية التي تُجيز المعالجة والترحيل — رئيس الحسابات أو المفوَّض عنه.</w:t>
            </w:r>
          </w:p>
        </w:tc>
        <w:tc>
          <w:tcPr>
            <w:tcW w:type="dxa" w:w="2000"/>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GL_Posting_Approval</w:t>
            </w:r>
          </w:p>
        </w:tc>
      </w:tr>
      <w:tr>
        <w:trPr>
          <w:cantSplit/>
        </w:trPr>
        <w:tc>
          <w:tcPr>
            <w:tcW w:type="dxa" w:w="24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تنفيذ الترحيل</w:t>
            </w:r>
          </w:p>
        </w:tc>
        <w:tc>
          <w:tcPr>
            <w:tcW w:type="dxa" w:w="5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محرّك الترحيل وحده ينشئ القيد بعد الإجازة — ولا كاتبَ بشريًّا مباشرًا إلى دفتر الأستاذ.</w:t>
            </w:r>
          </w:p>
        </w:tc>
        <w:tc>
          <w:tcPr>
            <w:tcW w:type="dxa" w:w="20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GL_Posting_Executor</w:t>
            </w:r>
          </w:p>
        </w:tc>
      </w:tr>
    </w:tbl>
    <w:p>
      <w:pPr>
        <w:pStyle w:val="Heading2"/>
        <w:keepNext/>
        <w:bidi/>
        <w:spacing w:after="140" w:before="280"/>
        <w:jc w:val="right"/>
      </w:pPr>
      <w:r>
        <w:rPr>
          <w:b/>
          <w:bCs/>
          <w:rtl/>
        </w:rPr>
        <w:t xml:space="preserve">المحاسب المنتدب من المالية</w:t>
      </w:r>
    </w:p>
    <w:p>
      <w:pPr>
        <w:bidi/>
        <w:spacing w:after="130" w:line="330"/>
        <w:jc w:val="right"/>
      </w:pPr>
      <w:r>
        <w:rPr>
          <w:b w:val="false"/>
          <w:bCs w:val="false"/>
          <w:i w:val="false"/>
          <w:iCs w:val="false"/>
          <w:sz w:val="24"/>
          <w:szCs w:val="24"/>
          <w:rtl/>
        </w:rPr>
        <w:t xml:space="preserve">لكل إدارةٍ محاسبٌ مختصٌّ منتدبٌ من المالية يعمل داخل دورتها: محاسب المبيعات ومحاسب الموردين ومحاسب الأجور، والمحاسب المقيم بالموقع. تبعيتُه الوظيفيةُ والمهنيةُ للإدارة المالية، وانتدابُه تشغيليٌّ: مديرُ الإدارة يحدد أولويات العمل ومستنداته ولا يوجّه الحكم المحاسبي ولا يغيّر السياسة. يراجع الأثر ويهيّئ المستند المالي ويُعدّ بيانات القيد — ولا يعتمد نهائيًّا ولا ينفّذ نقدًا ولا يُرحّل.</w:t>
      </w:r>
    </w:p>
    <w:p>
      <w:r>
        <w:br w:type="page"/>
      </w:r>
    </w:p>
    <w:p>
      <w:pPr>
        <w:bidi/>
        <w:spacing w:after="130" w:line="330"/>
        <w:jc w:val="right"/>
      </w:pPr>
      <w:r>
        <w:rPr>
          <w:b/>
          <w:bCs/>
          <w:i w:val="false"/>
          <w:iCs w:val="false"/>
          <w:sz w:val="24"/>
          <w:szCs w:val="24"/>
          <w:rtl/>
        </w:rPr>
        <w:t xml:space="preserve">وقرارُ تثبيت السلاليم النافذ يحكم موضعَه في السلسلة: حُذف محاسبُ الموردين من مراجعة السلّم الثالث ومحاسبُ الرواتب من الرابع وصار الفحصُ آليًّا من المحرك المختص؛ وبقي المحاسبُ المقيم بالموقع يدًا ثانيةً مع مدير الموقع في السلّم الأول؛ وبقاءُ محاسب الموردين في سلاليم التسويات صحيحٌ لأنها سلاليمُ تسويةٍ لا اعتمادِ وحدات.</w:t>
      </w:r>
    </w:p>
    <w:p>
      <w:pPr>
        <w:bidi/>
        <w:spacing w:after="130" w:line="330"/>
        <w:jc w:val="right"/>
      </w:pPr>
      <w:r>
        <w:rPr>
          <w:b w:val="false"/>
          <w:bCs w:val="false"/>
          <w:i w:val="false"/>
          <w:iCs w:val="false"/>
          <w:sz w:val="24"/>
          <w:szCs w:val="24"/>
          <w:rtl/>
        </w:rPr>
        <w:t xml:space="preserve">وموضعُ المحاسب المقيم بالموقع في السلّم الأول محسومٌ بمرجعٍ نافذ: جولةُ تصحيح السلاليم — البند الأول، المنفَّذ على ملف تعريف السلاليم، وفحصُ القبول الثامن الذي يشترط بقاءَه في السلّم الأول وغيابَ محاسب الموردين من الثالث ومحاسب الرواتب من الرابع. ودورُه هناك يدٌ ثانيةٌ للمراجعة المستندية لا اعتمادٌ ماليّ — فبوابةُ المالية تبدأ في السلّم الخامس ولا قبله. وإن خالف محرّكُ السلاليم الحيُّ هذا النص فالمحرّك هو الحاكم ويُصحَّح النص لا العكس.</w:t>
      </w:r>
    </w:p>
    <w:p>
      <w:pPr>
        <w:pStyle w:val="Heading2"/>
        <w:keepNext/>
        <w:bidi/>
        <w:spacing w:after="140" w:before="280"/>
        <w:jc w:val="right"/>
      </w:pPr>
      <w:r>
        <w:rPr>
          <w:b/>
          <w:bCs/>
          <w:rtl/>
        </w:rPr>
        <w:t xml:space="preserve">التحقق على اللقطة الجديدة</w:t>
      </w:r>
    </w:p>
    <w:p>
      <w:pPr>
        <w:bidi/>
        <w:spacing w:after="130" w:line="330"/>
        <w:jc w:val="right"/>
      </w:pPr>
      <w:r>
        <w:rPr>
          <w:b/>
          <w:bCs/>
          <w:i w:val="false"/>
          <w:iCs w:val="false"/>
          <w:sz w:val="24"/>
          <w:szCs w:val="24"/>
          <w:rtl/>
        </w:rPr>
        <w:t xml:space="preserve">جرى تحقُّقٌ آليٌّ لاحقٌ على اللقطة </w:t>
      </w:r>
      <w:r>
        <w:rPr>
          <w:b/>
          <w:bCs/>
          <w:i w:val="false"/>
          <w:iCs w:val="false"/>
          <w:sz w:val="24"/>
          <w:szCs w:val="24"/>
          <w:rtl w:val="false"/>
        </w:rPr>
        <w:t xml:space="preserve">BL-20260821b</w:t>
      </w:r>
      <w:r>
        <w:rPr>
          <w:b/>
          <w:bCs/>
          <w:i w:val="false"/>
          <w:iCs w:val="false"/>
          <w:sz w:val="24"/>
          <w:szCs w:val="24"/>
          <w:rtl/>
        </w:rPr>
        <w:t xml:space="preserve"> بعد ثلاثةٍ وأربعين التزامًا من جولتَي الإصلاح: العقدُ الستَّ عشرةَ غير المبنية بقيت غير مبنيةٍ كلُّها، وأنماط الفوترة صفرٌ مطلقٌ على القرص. وسلاليمُ المحرك صارت سبعةَ عشرَ نشطًا بإضافة سلاليم الكيانات — العقد </w:t>
      </w:r>
      <w:r>
        <w:rPr>
          <w:b/>
          <w:bCs/>
          <w:i w:val="false"/>
          <w:iCs w:val="false"/>
          <w:sz w:val="24"/>
          <w:szCs w:val="24"/>
          <w:rtl w:val="false"/>
        </w:rPr>
        <w:t xml:space="preserve">LD-14</w:t>
      </w:r>
      <w:r>
        <w:rPr>
          <w:b/>
          <w:bCs/>
          <w:i w:val="false"/>
          <w:iCs w:val="false"/>
          <w:sz w:val="24"/>
          <w:szCs w:val="24"/>
          <w:rtl/>
        </w:rPr>
        <w:t xml:space="preserve"> والسائق </w:t>
      </w:r>
      <w:r>
        <w:rPr>
          <w:b/>
          <w:bCs/>
          <w:i w:val="false"/>
          <w:iCs w:val="false"/>
          <w:sz w:val="24"/>
          <w:szCs w:val="24"/>
          <w:rtl w:val="false"/>
        </w:rPr>
        <w:t xml:space="preserve">LD-15</w:t>
      </w:r>
      <w:r>
        <w:rPr>
          <w:b/>
          <w:bCs/>
          <w:i w:val="false"/>
          <w:iCs w:val="false"/>
          <w:sz w:val="24"/>
          <w:szCs w:val="24"/>
          <w:rtl/>
        </w:rPr>
        <w:t xml:space="preserve"> والمعدة </w:t>
      </w:r>
      <w:r>
        <w:rPr>
          <w:b/>
          <w:bCs/>
          <w:i w:val="false"/>
          <w:iCs w:val="false"/>
          <w:sz w:val="24"/>
          <w:szCs w:val="24"/>
          <w:rtl w:val="false"/>
        </w:rPr>
        <w:t xml:space="preserve">LD-16</w:t>
      </w:r>
      <w:r>
        <w:rPr>
          <w:b/>
          <w:bCs/>
          <w:i w:val="false"/>
          <w:iCs w:val="false"/>
          <w:sz w:val="24"/>
          <w:szCs w:val="24"/>
          <w:rtl/>
        </w:rPr>
        <w:t xml:space="preserve"> والخصم </w:t>
      </w:r>
      <w:r>
        <w:rPr>
          <w:b/>
          <w:bCs/>
          <w:i w:val="false"/>
          <w:iCs w:val="false"/>
          <w:sz w:val="24"/>
          <w:szCs w:val="24"/>
          <w:rtl w:val="false"/>
        </w:rPr>
        <w:t xml:space="preserve">LD-17</w:t>
      </w:r>
      <w:r>
        <w:rPr>
          <w:b/>
          <w:bCs/>
          <w:i w:val="false"/>
          <w:iCs w:val="false"/>
          <w:sz w:val="24"/>
          <w:szCs w:val="24"/>
          <w:rtl/>
        </w:rPr>
        <w:t xml:space="preserve"> — وسلّمُ التسوية </w:t>
      </w:r>
      <w:r>
        <w:rPr>
          <w:b/>
          <w:bCs/>
          <w:i w:val="false"/>
          <w:iCs w:val="false"/>
          <w:sz w:val="24"/>
          <w:szCs w:val="24"/>
          <w:rtl w:val="false"/>
        </w:rPr>
        <w:t xml:space="preserve">LD-13</w:t>
      </w:r>
      <w:r>
        <w:rPr>
          <w:b/>
          <w:bCs/>
          <w:i w:val="false"/>
          <w:iCs w:val="false"/>
          <w:sz w:val="24"/>
          <w:szCs w:val="24"/>
          <w:rtl/>
        </w:rPr>
        <w:t xml:space="preserve"> وهو غير موصول، والرحلاتُ الأربعَ عشرةَ كلُّها بلا وصلٍ ضمن </w:t>
      </w:r>
      <w:r>
        <w:rPr>
          <w:b/>
          <w:bCs/>
          <w:i w:val="false"/>
          <w:iCs w:val="false"/>
          <w:sz w:val="24"/>
          <w:szCs w:val="24"/>
          <w:rtl w:val="false"/>
        </w:rPr>
        <w:t xml:space="preserve">GAP-01.</w:t>
      </w:r>
      <w:r>
        <w:rPr>
          <w:b/>
          <w:bCs/>
          <w:i w:val="false"/>
          <w:iCs w:val="false"/>
          <w:sz w:val="24"/>
          <w:szCs w:val="24"/>
          <w:rtl/>
        </w:rPr>
        <w:t xml:space="preserve"> فبنيةُ هذه الوثيقة صالحةٌ على اللقطتين، ومعرّفاتُ سلاليمها محدَّثةٌ على المحرك الحي.</w:t>
      </w:r>
    </w:p>
    <w:p>
      <w:pPr>
        <w:pStyle w:val="Heading1"/>
        <w:keepNext/>
        <w:bidi/>
        <w:spacing w:after="180" w:before="360"/>
        <w:jc w:val="right"/>
      </w:pPr>
      <w:r>
        <w:rPr>
          <w:b/>
          <w:bCs/>
          <w:rtl/>
        </w:rPr>
        <w:t xml:space="preserve">الباب الثاني — العقد التسع والعشرون بملكيتها</w:t>
      </w:r>
    </w:p>
    <w:p>
      <w:pPr>
        <w:bidi/>
        <w:spacing w:after="130" w:line="330"/>
        <w:jc w:val="right"/>
      </w:pPr>
      <w:r>
        <w:rPr>
          <w:b w:val="false"/>
          <w:bCs w:val="false"/>
          <w:i w:val="false"/>
          <w:iCs w:val="false"/>
          <w:sz w:val="24"/>
          <w:szCs w:val="24"/>
          <w:rtl/>
        </w:rPr>
        <w:t xml:space="preserve">لكل عقدةٍ: حالتُها، وموضعُها التقني، ومالكُ عمليتها، ودورُ المحاسب المنتدب فيها، ومعرّفُ سلّمها، وما يليها من رقابةٍ ونقدٍ وترحيل. وعمودُ السلّم لا يحمل اسمَ جهةٍ بحال — يحمل المعرّف، وتُحَلّ الجهةُ من محرك السلاليم وقت التنفيذ.</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500"/>
        <w:gridCol w:w="2200"/>
        <w:gridCol w:w="2900"/>
        <w:gridCol w:w="2200"/>
      </w:tblGrid>
      <w:tr>
        <w:trPr>
          <w:cantSplit/>
          <w:tblHeader/>
        </w:trPr>
        <w:tc>
          <w:tcPr>
            <w:tcW w:type="dxa" w:w="2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العقدة وحالتها</w:t>
            </w:r>
          </w:p>
        </w:tc>
        <w:tc>
          <w:tcPr>
            <w:tcW w:type="dxa" w:w="2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الموضع التقني ومالك العملية</w:t>
            </w:r>
          </w:p>
        </w:tc>
        <w:tc>
          <w:tcPr>
            <w:tcW w:type="dxa" w:w="2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الدور المنتدب والسلّم</w:t>
            </w:r>
          </w:p>
        </w:tc>
        <w:tc>
          <w:tcPr>
            <w:tcW w:type="dxa" w:w="2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الرقابة والنقد والترحيل</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0"/>
                <w:szCs w:val="20"/>
                <w:rtl/>
              </w:rPr>
              <w:t xml:space="preserve">1. تسجيل التايم شيت والإنتاج</w:t>
            </w:r>
          </w:p>
          <w:p>
            <w:pPr>
              <w:bidi w:val="false"/>
              <w:spacing w:after="20" w:line="280"/>
              <w:jc w:val="left"/>
            </w:pPr>
            <w:r>
              <w:rPr>
                <w:b w:val="false"/>
                <w:bCs w:val="false"/>
                <w:color w:val="5A6B7B"/>
                <w:sz w:val="17"/>
                <w:szCs w:val="17"/>
                <w:rtl w:val="false"/>
              </w:rPr>
              <w:t xml:space="preserve">timesheet.php</w:t>
            </w:r>
          </w:p>
          <w:p>
            <w:pPr>
              <w:bidi/>
              <w:spacing w:after="20" w:line="280"/>
              <w:jc w:val="right"/>
            </w:pPr>
            <w:r>
              <w:rPr>
                <w:b w:val="false"/>
                <w:bCs w:val="false"/>
                <w:color w:val="1F6B3A"/>
                <w:sz w:val="18"/>
                <w:szCs w:val="18"/>
                <w:rtl/>
              </w:rPr>
              <w:t xml:space="preserve">مبنية</w:t>
            </w:r>
          </w:p>
        </w:tc>
        <w:tc>
          <w:tcPr>
            <w:tcW w:type="dxa" w:w="22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نطاق الموقع</w:t>
            </w:r>
          </w:p>
          <w:p>
            <w:pPr>
              <w:bidi/>
              <w:spacing w:after="20" w:line="280"/>
              <w:jc w:val="right"/>
            </w:pPr>
            <w:r>
              <w:rPr>
                <w:b/>
                <w:bCs/>
                <w:color w:val="1F3B57"/>
                <w:sz w:val="19"/>
                <w:szCs w:val="19"/>
                <w:rtl/>
              </w:rPr>
              <w:t xml:space="preserve">إدارة الموقع</w:t>
            </w:r>
          </w:p>
        </w:tc>
        <w:tc>
          <w:tcPr>
            <w:tcW w:type="dxa" w:w="2900"/>
            <w:tcMar>
              <w:top w:type="dxa" w:w="70"/>
              <w:left w:type="dxa" w:w="95"/>
              <w:bottom w:type="dxa" w:w="70"/>
              <w:right w:type="dxa" w:w="95"/>
            </w:tcMar>
            <w:vAlign w:val="center"/>
          </w:tcPr>
          <w:p>
            <w:pPr>
              <w:bidi/>
              <w:spacing w:after="20" w:line="280"/>
              <w:jc w:val="right"/>
            </w:pPr>
            <w:r>
              <w:rPr>
                <w:b w:val="false"/>
                <w:bCs w:val="false"/>
                <w:sz w:val="18"/>
                <w:szCs w:val="18"/>
                <w:rtl/>
              </w:rPr>
              <w:t xml:space="preserve">—</w:t>
            </w:r>
          </w:p>
          <w:p>
            <w:pPr>
              <w:bidi w:val="false"/>
              <w:spacing w:after="20" w:line="280"/>
              <w:jc w:val="left"/>
            </w:pPr>
            <w:r>
              <w:rPr>
                <w:b/>
                <w:bCs/>
                <w:color w:val="2E4A63"/>
                <w:sz w:val="17"/>
                <w:szCs w:val="17"/>
                <w:rtl w:val="false"/>
              </w:rPr>
              <w:t xml:space="preserve">NO_LADDER_REQUIRED</w:t>
            </w:r>
          </w:p>
        </w:tc>
        <w:tc>
          <w:tcPr>
            <w:tcW w:type="dxa" w:w="2200"/>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لا أثر محاسبي</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2. إدخال وحدات العمل اليومية</w:t>
            </w:r>
          </w:p>
          <w:p>
            <w:pPr>
              <w:bidi w:val="false"/>
              <w:spacing w:after="20" w:line="280"/>
              <w:jc w:val="left"/>
            </w:pPr>
            <w:r>
              <w:rPr>
                <w:b w:val="false"/>
                <w:bCs w:val="false"/>
                <w:color w:val="5A6B7B"/>
                <w:sz w:val="17"/>
                <w:szCs w:val="17"/>
                <w:rtl w:val="false"/>
              </w:rPr>
              <w:t xml:space="preserve">unit_entry.php</w:t>
            </w:r>
          </w:p>
          <w:p>
            <w:pPr>
              <w:bidi/>
              <w:spacing w:after="20" w:line="280"/>
              <w:jc w:val="right"/>
            </w:pPr>
            <w:r>
              <w:rPr>
                <w:b/>
                <w:bCs/>
                <w:color w:val="A3151F"/>
                <w:sz w:val="18"/>
                <w:szCs w:val="18"/>
                <w:rtl/>
              </w:rPr>
              <w:t xml:space="preserve">غير مبنية</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محرك الوحدات</w:t>
            </w:r>
          </w:p>
          <w:p>
            <w:pPr>
              <w:bidi/>
              <w:spacing w:after="20" w:line="280"/>
              <w:jc w:val="right"/>
            </w:pPr>
            <w:r>
              <w:rPr>
                <w:b/>
                <w:bCs/>
                <w:color w:val="1F3B57"/>
                <w:sz w:val="19"/>
                <w:szCs w:val="19"/>
                <w:rtl/>
              </w:rPr>
              <w:t xml:space="preserve">إدارة الموقع</w:t>
            </w:r>
          </w:p>
        </w:tc>
        <w:tc>
          <w:tcPr>
            <w:tcW w:type="dxa" w:w="2900"/>
            <w:shd w:fill="F2F6FA" w:color="auto" w:val="clear"/>
            <w:tcMar>
              <w:top w:type="dxa" w:w="70"/>
              <w:left w:type="dxa" w:w="95"/>
              <w:bottom w:type="dxa" w:w="70"/>
              <w:right w:type="dxa" w:w="95"/>
            </w:tcMar>
            <w:vAlign w:val="center"/>
          </w:tcPr>
          <w:p>
            <w:pPr>
              <w:bidi/>
              <w:spacing w:after="20" w:line="280"/>
              <w:jc w:val="right"/>
            </w:pPr>
            <w:r>
              <w:rPr>
                <w:b w:val="false"/>
                <w:bCs w:val="false"/>
                <w:sz w:val="18"/>
                <w:szCs w:val="18"/>
                <w:rtl/>
              </w:rPr>
              <w:t xml:space="preserve">—</w:t>
            </w:r>
          </w:p>
          <w:p>
            <w:pPr>
              <w:bidi w:val="false"/>
              <w:spacing w:after="20" w:line="280"/>
              <w:jc w:val="left"/>
            </w:pPr>
            <w:r>
              <w:rPr>
                <w:b/>
                <w:bCs/>
                <w:color w:val="2E4A63"/>
                <w:sz w:val="17"/>
                <w:szCs w:val="17"/>
                <w:rtl w:val="false"/>
              </w:rPr>
              <w:t xml:space="preserve">NO_LADDER_REQUIRED</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لا أثر محاسبي</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0"/>
                <w:szCs w:val="20"/>
                <w:rtl/>
              </w:rPr>
              <w:t xml:space="preserve">3. الاعتماد اليومي لرفع الوحدات</w:t>
            </w:r>
          </w:p>
          <w:p>
            <w:pPr>
              <w:bidi w:val="false"/>
              <w:spacing w:after="20" w:line="280"/>
              <w:jc w:val="left"/>
            </w:pPr>
            <w:r>
              <w:rPr>
                <w:b w:val="false"/>
                <w:bCs w:val="false"/>
                <w:color w:val="5A6B7B"/>
                <w:sz w:val="17"/>
                <w:szCs w:val="17"/>
                <w:rtl w:val="false"/>
              </w:rPr>
              <w:t xml:space="preserve">unit_daily_approve.php</w:t>
            </w:r>
          </w:p>
          <w:p>
            <w:pPr>
              <w:bidi/>
              <w:spacing w:after="20" w:line="280"/>
              <w:jc w:val="right"/>
            </w:pPr>
            <w:r>
              <w:rPr>
                <w:b/>
                <w:bCs/>
                <w:color w:val="A3151F"/>
                <w:sz w:val="18"/>
                <w:szCs w:val="18"/>
                <w:rtl/>
              </w:rPr>
              <w:t xml:space="preserve">غير مبنية</w:t>
            </w:r>
          </w:p>
        </w:tc>
        <w:tc>
          <w:tcPr>
            <w:tcW w:type="dxa" w:w="22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محرك الوحدات</w:t>
            </w:r>
          </w:p>
          <w:p>
            <w:pPr>
              <w:bidi/>
              <w:spacing w:after="20" w:line="280"/>
              <w:jc w:val="right"/>
            </w:pPr>
            <w:r>
              <w:rPr>
                <w:b/>
                <w:bCs/>
                <w:color w:val="1F3B57"/>
                <w:sz w:val="19"/>
                <w:szCs w:val="19"/>
                <w:rtl/>
              </w:rPr>
              <w:t xml:space="preserve">إدارة الموقع والتشغيل</w:t>
            </w:r>
          </w:p>
        </w:tc>
        <w:tc>
          <w:tcPr>
            <w:tcW w:type="dxa" w:w="2900"/>
            <w:tcMar>
              <w:top w:type="dxa" w:w="70"/>
              <w:left w:type="dxa" w:w="95"/>
              <w:bottom w:type="dxa" w:w="70"/>
              <w:right w:type="dxa" w:w="95"/>
            </w:tcMar>
            <w:vAlign w:val="center"/>
          </w:tcPr>
          <w:p>
            <w:pPr>
              <w:bidi/>
              <w:spacing w:after="20" w:line="280"/>
              <w:jc w:val="right"/>
            </w:pPr>
            <w:r>
              <w:rPr>
                <w:b w:val="false"/>
                <w:bCs w:val="false"/>
                <w:sz w:val="18"/>
                <w:szCs w:val="18"/>
                <w:rtl/>
              </w:rPr>
              <w:t xml:space="preserve">المحاسب المقيم يدٌ ثانية في هذا السلّم وحده</w:t>
            </w:r>
          </w:p>
          <w:p>
            <w:pPr>
              <w:bidi w:val="false"/>
              <w:spacing w:after="20" w:line="280"/>
              <w:jc w:val="left"/>
            </w:pPr>
            <w:r>
              <w:rPr>
                <w:b/>
                <w:bCs/>
                <w:color w:val="2E4A63"/>
                <w:sz w:val="17"/>
                <w:szCs w:val="17"/>
                <w:rtl w:val="false"/>
              </w:rPr>
              <w:t xml:space="preserve">LD-01</w:t>
            </w:r>
          </w:p>
        </w:tc>
        <w:tc>
          <w:tcPr>
            <w:tcW w:type="dxa" w:w="2200"/>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لا أثر محاسبي</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4. مطابقة بيانات العميل</w:t>
            </w:r>
          </w:p>
          <w:p>
            <w:pPr>
              <w:bidi w:val="false"/>
              <w:spacing w:after="20" w:line="280"/>
              <w:jc w:val="left"/>
            </w:pPr>
            <w:r>
              <w:rPr>
                <w:b w:val="false"/>
                <w:bCs w:val="false"/>
                <w:color w:val="5A6B7B"/>
                <w:sz w:val="17"/>
                <w:szCs w:val="17"/>
                <w:rtl w:val="false"/>
              </w:rPr>
              <w:t xml:space="preserve">unit_client_match.php</w:t>
            </w:r>
          </w:p>
          <w:p>
            <w:pPr>
              <w:bidi/>
              <w:spacing w:after="20" w:line="280"/>
              <w:jc w:val="right"/>
            </w:pPr>
            <w:r>
              <w:rPr>
                <w:b w:val="false"/>
                <w:bCs w:val="false"/>
                <w:color w:val="1F6B3A"/>
                <w:sz w:val="18"/>
                <w:szCs w:val="18"/>
                <w:rtl/>
              </w:rPr>
              <w:t xml:space="preserve">مبنية</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محرك الوحدات</w:t>
            </w:r>
          </w:p>
          <w:p>
            <w:pPr>
              <w:bidi/>
              <w:spacing w:after="20" w:line="280"/>
              <w:jc w:val="right"/>
            </w:pPr>
            <w:r>
              <w:rPr>
                <w:b/>
                <w:bCs/>
                <w:color w:val="1F3B57"/>
                <w:sz w:val="19"/>
                <w:szCs w:val="19"/>
                <w:rtl/>
              </w:rPr>
              <w:t xml:space="preserve">المبيعات والعقود</w:t>
            </w:r>
          </w:p>
        </w:tc>
        <w:tc>
          <w:tcPr>
            <w:tcW w:type="dxa" w:w="2900"/>
            <w:shd w:fill="F2F6FA" w:color="auto" w:val="clear"/>
            <w:tcMar>
              <w:top w:type="dxa" w:w="70"/>
              <w:left w:type="dxa" w:w="95"/>
              <w:bottom w:type="dxa" w:w="70"/>
              <w:right w:type="dxa" w:w="95"/>
            </w:tcMar>
            <w:vAlign w:val="center"/>
          </w:tcPr>
          <w:p>
            <w:pPr>
              <w:bidi/>
              <w:spacing w:after="20" w:line="280"/>
              <w:jc w:val="right"/>
            </w:pPr>
            <w:r>
              <w:rPr>
                <w:b w:val="false"/>
                <w:bCs w:val="false"/>
                <w:sz w:val="18"/>
                <w:szCs w:val="18"/>
                <w:rtl/>
              </w:rPr>
              <w:t xml:space="preserve">—</w:t>
            </w:r>
          </w:p>
          <w:p>
            <w:pPr>
              <w:bidi w:val="false"/>
              <w:spacing w:after="20" w:line="280"/>
              <w:jc w:val="left"/>
            </w:pPr>
            <w:r>
              <w:rPr>
                <w:b/>
                <w:bCs/>
                <w:color w:val="2E4A63"/>
                <w:sz w:val="17"/>
                <w:szCs w:val="17"/>
                <w:rtl w:val="false"/>
              </w:rPr>
              <w:t xml:space="preserve">LD-02</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لا أثر محاسبي</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0"/>
                <w:szCs w:val="20"/>
                <w:rtl/>
              </w:rPr>
              <w:t xml:space="preserve">5. بوابة اعتماد المبيعات</w:t>
            </w:r>
          </w:p>
          <w:p>
            <w:pPr>
              <w:bidi w:val="false"/>
              <w:spacing w:after="20" w:line="280"/>
              <w:jc w:val="left"/>
            </w:pPr>
            <w:r>
              <w:rPr>
                <w:b w:val="false"/>
                <w:bCs w:val="false"/>
                <w:color w:val="5A6B7B"/>
                <w:sz w:val="17"/>
                <w:szCs w:val="17"/>
                <w:rtl w:val="false"/>
              </w:rPr>
              <w:t xml:space="preserve">unit_sales_gate.php</w:t>
            </w:r>
          </w:p>
          <w:p>
            <w:pPr>
              <w:bidi/>
              <w:spacing w:after="20" w:line="280"/>
              <w:jc w:val="right"/>
            </w:pPr>
            <w:r>
              <w:rPr>
                <w:b/>
                <w:bCs/>
                <w:color w:val="A3151F"/>
                <w:sz w:val="18"/>
                <w:szCs w:val="18"/>
                <w:rtl/>
              </w:rPr>
              <w:t xml:space="preserve">غير مبنية</w:t>
            </w:r>
          </w:p>
        </w:tc>
        <w:tc>
          <w:tcPr>
            <w:tcW w:type="dxa" w:w="22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محرك الوحدات</w:t>
            </w:r>
          </w:p>
          <w:p>
            <w:pPr>
              <w:bidi/>
              <w:spacing w:after="20" w:line="280"/>
              <w:jc w:val="right"/>
            </w:pPr>
            <w:r>
              <w:rPr>
                <w:b/>
                <w:bCs/>
                <w:color w:val="1F3B57"/>
                <w:sz w:val="19"/>
                <w:szCs w:val="19"/>
                <w:rtl/>
              </w:rPr>
              <w:t xml:space="preserve">المبيعات والعقود</w:t>
            </w:r>
          </w:p>
        </w:tc>
        <w:tc>
          <w:tcPr>
            <w:tcW w:type="dxa" w:w="2900"/>
            <w:tcMar>
              <w:top w:type="dxa" w:w="70"/>
              <w:left w:type="dxa" w:w="95"/>
              <w:bottom w:type="dxa" w:w="70"/>
              <w:right w:type="dxa" w:w="95"/>
            </w:tcMar>
            <w:vAlign w:val="center"/>
          </w:tcPr>
          <w:p>
            <w:pPr>
              <w:bidi/>
              <w:spacing w:after="20" w:line="280"/>
              <w:jc w:val="right"/>
            </w:pPr>
            <w:r>
              <w:rPr>
                <w:b w:val="false"/>
                <w:bCs w:val="false"/>
                <w:sz w:val="18"/>
                <w:szCs w:val="18"/>
                <w:rtl/>
              </w:rPr>
              <w:t xml:space="preserve">محاسب المبيعات يراجع الأثر ولا يعتمد</w:t>
            </w:r>
          </w:p>
          <w:p>
            <w:pPr>
              <w:bidi w:val="false"/>
              <w:spacing w:after="20" w:line="280"/>
              <w:jc w:val="left"/>
            </w:pPr>
            <w:r>
              <w:rPr>
                <w:b/>
                <w:bCs/>
                <w:color w:val="2E4A63"/>
                <w:sz w:val="17"/>
                <w:szCs w:val="17"/>
                <w:rtl w:val="false"/>
              </w:rPr>
              <w:t xml:space="preserve">LD-02</w:t>
            </w:r>
          </w:p>
        </w:tc>
        <w:tc>
          <w:tcPr>
            <w:tcW w:type="dxa" w:w="2200"/>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مشرف العميل خطوةٌ في السلّم ويُتجاوَز بقرار موثَّق</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6. اعتماد وحدات الموردين</w:t>
            </w:r>
          </w:p>
          <w:p>
            <w:pPr>
              <w:bidi w:val="false"/>
              <w:spacing w:after="20" w:line="280"/>
              <w:jc w:val="left"/>
            </w:pPr>
            <w:r>
              <w:rPr>
                <w:b w:val="false"/>
                <w:bCs w:val="false"/>
                <w:color w:val="5A6B7B"/>
                <w:sz w:val="17"/>
                <w:szCs w:val="17"/>
                <w:rtl w:val="false"/>
              </w:rPr>
              <w:t xml:space="preserve">unit_supplier_approve.php</w:t>
            </w:r>
          </w:p>
          <w:p>
            <w:pPr>
              <w:bidi/>
              <w:spacing w:after="20" w:line="280"/>
              <w:jc w:val="right"/>
            </w:pPr>
            <w:r>
              <w:rPr>
                <w:b/>
                <w:bCs/>
                <w:color w:val="A3151F"/>
                <w:sz w:val="18"/>
                <w:szCs w:val="18"/>
                <w:rtl/>
              </w:rPr>
              <w:t xml:space="preserve">غير مبنية</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محرك الوحدات</w:t>
            </w:r>
          </w:p>
          <w:p>
            <w:pPr>
              <w:bidi/>
              <w:spacing w:after="20" w:line="280"/>
              <w:jc w:val="right"/>
            </w:pPr>
            <w:r>
              <w:rPr>
                <w:b/>
                <w:bCs/>
                <w:color w:val="1F3B57"/>
                <w:sz w:val="19"/>
                <w:szCs w:val="19"/>
                <w:rtl/>
              </w:rPr>
              <w:t xml:space="preserve">إدارة الموردين</w:t>
            </w:r>
          </w:p>
        </w:tc>
        <w:tc>
          <w:tcPr>
            <w:tcW w:type="dxa" w:w="2900"/>
            <w:shd w:fill="F2F6FA" w:color="auto" w:val="clear"/>
            <w:tcMar>
              <w:top w:type="dxa" w:w="70"/>
              <w:left w:type="dxa" w:w="95"/>
              <w:bottom w:type="dxa" w:w="70"/>
              <w:right w:type="dxa" w:w="95"/>
            </w:tcMar>
            <w:vAlign w:val="center"/>
          </w:tcPr>
          <w:p>
            <w:pPr>
              <w:bidi/>
              <w:spacing w:after="20" w:line="280"/>
              <w:jc w:val="right"/>
            </w:pPr>
            <w:r>
              <w:rPr>
                <w:b w:val="false"/>
                <w:bCs w:val="false"/>
                <w:sz w:val="18"/>
                <w:szCs w:val="18"/>
                <w:rtl/>
              </w:rPr>
              <w:t xml:space="preserve">لا محاسب — الفحص آليٌّ من المحرك</w:t>
            </w:r>
          </w:p>
          <w:p>
            <w:pPr>
              <w:bidi w:val="false"/>
              <w:spacing w:after="20" w:line="280"/>
              <w:jc w:val="left"/>
            </w:pPr>
            <w:r>
              <w:rPr>
                <w:b/>
                <w:bCs/>
                <w:color w:val="2E4A63"/>
                <w:sz w:val="17"/>
                <w:szCs w:val="17"/>
                <w:rtl w:val="false"/>
              </w:rPr>
              <w:t xml:space="preserve">LD-03</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لا ترحيل — المرحلة تشغيلية</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0"/>
                <w:szCs w:val="20"/>
                <w:rtl/>
              </w:rPr>
              <w:t xml:space="preserve">7. اعتماد وحدات المشغّلين</w:t>
            </w:r>
          </w:p>
          <w:p>
            <w:pPr>
              <w:bidi w:val="false"/>
              <w:spacing w:after="20" w:line="280"/>
              <w:jc w:val="left"/>
            </w:pPr>
            <w:r>
              <w:rPr>
                <w:b w:val="false"/>
                <w:bCs w:val="false"/>
                <w:color w:val="5A6B7B"/>
                <w:sz w:val="17"/>
                <w:szCs w:val="17"/>
                <w:rtl w:val="false"/>
              </w:rPr>
              <w:t xml:space="preserve">unit_workforce_approve.php</w:t>
            </w:r>
          </w:p>
          <w:p>
            <w:pPr>
              <w:bidi/>
              <w:spacing w:after="20" w:line="280"/>
              <w:jc w:val="right"/>
            </w:pPr>
            <w:r>
              <w:rPr>
                <w:b/>
                <w:bCs/>
                <w:color w:val="A3151F"/>
                <w:sz w:val="18"/>
                <w:szCs w:val="18"/>
                <w:rtl/>
              </w:rPr>
              <w:t xml:space="preserve">غير مبنية</w:t>
            </w:r>
          </w:p>
        </w:tc>
        <w:tc>
          <w:tcPr>
            <w:tcW w:type="dxa" w:w="22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محرك الوحدات</w:t>
            </w:r>
          </w:p>
          <w:p>
            <w:pPr>
              <w:bidi/>
              <w:spacing w:after="20" w:line="280"/>
              <w:jc w:val="right"/>
            </w:pPr>
            <w:r>
              <w:rPr>
                <w:b/>
                <w:bCs/>
                <w:color w:val="1F3B57"/>
                <w:sz w:val="19"/>
                <w:szCs w:val="19"/>
                <w:rtl/>
              </w:rPr>
              <w:t xml:space="preserve">القوى التشغيلية</w:t>
            </w:r>
          </w:p>
        </w:tc>
        <w:tc>
          <w:tcPr>
            <w:tcW w:type="dxa" w:w="2900"/>
            <w:tcMar>
              <w:top w:type="dxa" w:w="70"/>
              <w:left w:type="dxa" w:w="95"/>
              <w:bottom w:type="dxa" w:w="70"/>
              <w:right w:type="dxa" w:w="95"/>
            </w:tcMar>
            <w:vAlign w:val="center"/>
          </w:tcPr>
          <w:p>
            <w:pPr>
              <w:bidi/>
              <w:spacing w:after="20" w:line="280"/>
              <w:jc w:val="right"/>
            </w:pPr>
            <w:r>
              <w:rPr>
                <w:b w:val="false"/>
                <w:bCs w:val="false"/>
                <w:sz w:val="18"/>
                <w:szCs w:val="18"/>
                <w:rtl/>
              </w:rPr>
              <w:t xml:space="preserve">لا محاسب — الفحص آليٌّ من المحرك</w:t>
            </w:r>
          </w:p>
          <w:p>
            <w:pPr>
              <w:bidi w:val="false"/>
              <w:spacing w:after="20" w:line="280"/>
              <w:jc w:val="left"/>
            </w:pPr>
            <w:r>
              <w:rPr>
                <w:b/>
                <w:bCs/>
                <w:color w:val="2E4A63"/>
                <w:sz w:val="17"/>
                <w:szCs w:val="17"/>
                <w:rtl w:val="false"/>
              </w:rPr>
              <w:t xml:space="preserve">LD-04</w:t>
            </w:r>
          </w:p>
        </w:tc>
        <w:tc>
          <w:tcPr>
            <w:tcW w:type="dxa" w:w="2200"/>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لا ترحيل — المرحلة تشغيلية</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8. الاعتماد المالي الأولي</w:t>
            </w:r>
          </w:p>
          <w:p>
            <w:pPr>
              <w:bidi w:val="false"/>
              <w:spacing w:after="20" w:line="280"/>
              <w:jc w:val="left"/>
            </w:pPr>
            <w:r>
              <w:rPr>
                <w:b w:val="false"/>
                <w:bCs w:val="false"/>
                <w:color w:val="5A6B7B"/>
                <w:sz w:val="17"/>
                <w:szCs w:val="17"/>
                <w:rtl w:val="false"/>
              </w:rPr>
              <w:t xml:space="preserve">unit_fin_prelim.php</w:t>
            </w:r>
          </w:p>
          <w:p>
            <w:pPr>
              <w:bidi/>
              <w:spacing w:after="20" w:line="280"/>
              <w:jc w:val="right"/>
            </w:pPr>
            <w:r>
              <w:rPr>
                <w:b/>
                <w:bCs/>
                <w:color w:val="A3151F"/>
                <w:sz w:val="18"/>
                <w:szCs w:val="18"/>
                <w:rtl/>
              </w:rPr>
              <w:t xml:space="preserve">غير مبنية</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محرك الوحدات المشترك</w:t>
            </w:r>
          </w:p>
          <w:p>
            <w:pPr>
              <w:bidi/>
              <w:spacing w:after="20" w:line="280"/>
              <w:jc w:val="right"/>
            </w:pPr>
            <w:r>
              <w:rPr>
                <w:b/>
                <w:bCs/>
                <w:color w:val="1F3B57"/>
                <w:sz w:val="19"/>
                <w:szCs w:val="19"/>
                <w:rtl/>
              </w:rPr>
              <w:t xml:space="preserve">المالية والمحاسبة</w:t>
            </w:r>
          </w:p>
        </w:tc>
        <w:tc>
          <w:tcPr>
            <w:tcW w:type="dxa" w:w="2900"/>
            <w:shd w:fill="F2F6FA" w:color="auto" w:val="clear"/>
            <w:tcMar>
              <w:top w:type="dxa" w:w="70"/>
              <w:left w:type="dxa" w:w="95"/>
              <w:bottom w:type="dxa" w:w="70"/>
              <w:right w:type="dxa" w:w="95"/>
            </w:tcMar>
            <w:vAlign w:val="center"/>
          </w:tcPr>
          <w:p>
            <w:pPr>
              <w:bidi/>
              <w:spacing w:after="20" w:line="280"/>
              <w:jc w:val="right"/>
            </w:pPr>
            <w:r>
              <w:rPr>
                <w:b w:val="false"/>
                <w:bCs w:val="false"/>
                <w:sz w:val="18"/>
                <w:szCs w:val="18"/>
                <w:rtl/>
              </w:rPr>
              <w:t xml:space="preserve">محاسب الإدارة يُعدّ بيانات الأثر</w:t>
            </w:r>
          </w:p>
          <w:p>
            <w:pPr>
              <w:bidi w:val="false"/>
              <w:spacing w:after="20" w:line="280"/>
              <w:jc w:val="left"/>
            </w:pPr>
            <w:r>
              <w:rPr>
                <w:b/>
                <w:bCs/>
                <w:color w:val="2E4A63"/>
                <w:sz w:val="17"/>
                <w:szCs w:val="17"/>
                <w:rtl w:val="false"/>
              </w:rPr>
              <w:t xml:space="preserve">LD-05</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بوابة المالية تبدأ هنا ولا قبلها</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0"/>
                <w:szCs w:val="20"/>
                <w:rtl/>
              </w:rPr>
              <w:t xml:space="preserve">9. الاعتماد المالي النهائي</w:t>
            </w:r>
          </w:p>
          <w:p>
            <w:pPr>
              <w:bidi w:val="false"/>
              <w:spacing w:after="20" w:line="280"/>
              <w:jc w:val="left"/>
            </w:pPr>
            <w:r>
              <w:rPr>
                <w:b w:val="false"/>
                <w:bCs w:val="false"/>
                <w:color w:val="5A6B7B"/>
                <w:sz w:val="17"/>
                <w:szCs w:val="17"/>
                <w:rtl w:val="false"/>
              </w:rPr>
              <w:t xml:space="preserve">unit_fin_final.php</w:t>
            </w:r>
          </w:p>
          <w:p>
            <w:pPr>
              <w:bidi/>
              <w:spacing w:after="20" w:line="280"/>
              <w:jc w:val="right"/>
            </w:pPr>
            <w:r>
              <w:rPr>
                <w:b/>
                <w:bCs/>
                <w:color w:val="A3151F"/>
                <w:sz w:val="18"/>
                <w:szCs w:val="18"/>
                <w:rtl/>
              </w:rPr>
              <w:t xml:space="preserve">غير مبنية</w:t>
            </w:r>
          </w:p>
        </w:tc>
        <w:tc>
          <w:tcPr>
            <w:tcW w:type="dxa" w:w="22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محرك الوحدات المشترك</w:t>
            </w:r>
          </w:p>
          <w:p>
            <w:pPr>
              <w:bidi/>
              <w:spacing w:after="20" w:line="280"/>
              <w:jc w:val="right"/>
            </w:pPr>
            <w:r>
              <w:rPr>
                <w:b/>
                <w:bCs/>
                <w:color w:val="1F3B57"/>
                <w:sz w:val="19"/>
                <w:szCs w:val="19"/>
                <w:rtl/>
              </w:rPr>
              <w:t xml:space="preserve">المالية والمحاسبة</w:t>
            </w:r>
          </w:p>
        </w:tc>
        <w:tc>
          <w:tcPr>
            <w:tcW w:type="dxa" w:w="2900"/>
            <w:tcMar>
              <w:top w:type="dxa" w:w="70"/>
              <w:left w:type="dxa" w:w="95"/>
              <w:bottom w:type="dxa" w:w="70"/>
              <w:right w:type="dxa" w:w="95"/>
            </w:tcMar>
            <w:vAlign w:val="center"/>
          </w:tcPr>
          <w:p>
            <w:pPr>
              <w:bidi/>
              <w:spacing w:after="20" w:line="280"/>
              <w:jc w:val="right"/>
            </w:pPr>
            <w:r>
              <w:rPr>
                <w:b w:val="false"/>
                <w:bCs w:val="false"/>
                <w:sz w:val="18"/>
                <w:szCs w:val="18"/>
                <w:rtl/>
              </w:rPr>
              <w:t xml:space="preserve">إعداد بيانات القيد فقط</w:t>
            </w:r>
          </w:p>
          <w:p>
            <w:pPr>
              <w:bidi w:val="false"/>
              <w:spacing w:after="20" w:line="280"/>
              <w:jc w:val="left"/>
            </w:pPr>
            <w:r>
              <w:rPr>
                <w:b/>
                <w:bCs/>
                <w:color w:val="2E4A63"/>
                <w:sz w:val="17"/>
                <w:szCs w:val="17"/>
                <w:rtl w:val="false"/>
              </w:rPr>
              <w:t xml:space="preserve">LD-07</w:t>
            </w:r>
          </w:p>
        </w:tc>
        <w:tc>
          <w:tcPr>
            <w:tcW w:type="dxa" w:w="2200"/>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إجازة رئيس الحسابات قبل الترحيل</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10. كشف التايم شيت — العميل</w:t>
            </w:r>
          </w:p>
          <w:p>
            <w:pPr>
              <w:bidi w:val="false"/>
              <w:spacing w:after="20" w:line="280"/>
              <w:jc w:val="left"/>
            </w:pPr>
            <w:r>
              <w:rPr>
                <w:b w:val="false"/>
                <w:bCs w:val="false"/>
                <w:color w:val="5A6B7B"/>
                <w:sz w:val="17"/>
                <w:szCs w:val="17"/>
                <w:rtl w:val="false"/>
              </w:rPr>
              <w:t xml:space="preserve">unit_statement_client.php</w:t>
            </w:r>
          </w:p>
          <w:p>
            <w:pPr>
              <w:bidi/>
              <w:spacing w:after="20" w:line="280"/>
              <w:jc w:val="right"/>
            </w:pPr>
            <w:r>
              <w:rPr>
                <w:b w:val="false"/>
                <w:bCs w:val="false"/>
                <w:color w:val="1F6B3A"/>
                <w:sz w:val="18"/>
                <w:szCs w:val="18"/>
                <w:rtl/>
              </w:rPr>
              <w:t xml:space="preserve">مبنية</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محرك الوحدات</w:t>
            </w:r>
          </w:p>
          <w:p>
            <w:pPr>
              <w:bidi/>
              <w:spacing w:after="20" w:line="280"/>
              <w:jc w:val="right"/>
            </w:pPr>
            <w:r>
              <w:rPr>
                <w:b/>
                <w:bCs/>
                <w:color w:val="1F3B57"/>
                <w:sz w:val="19"/>
                <w:szCs w:val="19"/>
                <w:rtl/>
              </w:rPr>
              <w:t xml:space="preserve">المبيعات والعقود</w:t>
            </w:r>
          </w:p>
        </w:tc>
        <w:tc>
          <w:tcPr>
            <w:tcW w:type="dxa" w:w="2900"/>
            <w:shd w:fill="F2F6FA" w:color="auto" w:val="clear"/>
            <w:tcMar>
              <w:top w:type="dxa" w:w="70"/>
              <w:left w:type="dxa" w:w="95"/>
              <w:bottom w:type="dxa" w:w="70"/>
              <w:right w:type="dxa" w:w="95"/>
            </w:tcMar>
            <w:vAlign w:val="center"/>
          </w:tcPr>
          <w:p>
            <w:pPr>
              <w:bidi/>
              <w:spacing w:after="20" w:line="280"/>
              <w:jc w:val="right"/>
            </w:pPr>
            <w:r>
              <w:rPr>
                <w:b w:val="false"/>
                <w:bCs w:val="false"/>
                <w:sz w:val="18"/>
                <w:szCs w:val="18"/>
                <w:rtl/>
              </w:rPr>
              <w:t xml:space="preserve">—</w:t>
            </w:r>
          </w:p>
          <w:p>
            <w:pPr>
              <w:bidi w:val="false"/>
              <w:spacing w:after="20" w:line="280"/>
              <w:jc w:val="left"/>
            </w:pPr>
            <w:r>
              <w:rPr>
                <w:b/>
                <w:bCs/>
                <w:color w:val="2E4A63"/>
                <w:sz w:val="17"/>
                <w:szCs w:val="17"/>
                <w:rtl w:val="false"/>
              </w:rPr>
              <w:t xml:space="preserve">NO_LADDER_REQUIRED</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قراءة لا اعتماد</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0"/>
                <w:szCs w:val="20"/>
                <w:rtl/>
              </w:rPr>
              <w:t xml:space="preserve">11. كشف التايم شيت — المورد</w:t>
            </w:r>
          </w:p>
          <w:p>
            <w:pPr>
              <w:bidi w:val="false"/>
              <w:spacing w:after="20" w:line="280"/>
              <w:jc w:val="left"/>
            </w:pPr>
            <w:r>
              <w:rPr>
                <w:b w:val="false"/>
                <w:bCs w:val="false"/>
                <w:color w:val="5A6B7B"/>
                <w:sz w:val="17"/>
                <w:szCs w:val="17"/>
                <w:rtl w:val="false"/>
              </w:rPr>
              <w:t xml:space="preserve">unit_statement_supplier.php</w:t>
            </w:r>
          </w:p>
          <w:p>
            <w:pPr>
              <w:bidi/>
              <w:spacing w:after="20" w:line="280"/>
              <w:jc w:val="right"/>
            </w:pPr>
            <w:r>
              <w:rPr>
                <w:b w:val="false"/>
                <w:bCs w:val="false"/>
                <w:color w:val="1F6B3A"/>
                <w:sz w:val="18"/>
                <w:szCs w:val="18"/>
                <w:rtl/>
              </w:rPr>
              <w:t xml:space="preserve">مبنية</w:t>
            </w:r>
          </w:p>
        </w:tc>
        <w:tc>
          <w:tcPr>
            <w:tcW w:type="dxa" w:w="22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محرك الوحدات</w:t>
            </w:r>
          </w:p>
          <w:p>
            <w:pPr>
              <w:bidi/>
              <w:spacing w:after="20" w:line="280"/>
              <w:jc w:val="right"/>
            </w:pPr>
            <w:r>
              <w:rPr>
                <w:b/>
                <w:bCs/>
                <w:color w:val="1F3B57"/>
                <w:sz w:val="19"/>
                <w:szCs w:val="19"/>
                <w:rtl/>
              </w:rPr>
              <w:t xml:space="preserve">إدارة الموردين</w:t>
            </w:r>
          </w:p>
        </w:tc>
        <w:tc>
          <w:tcPr>
            <w:tcW w:type="dxa" w:w="2900"/>
            <w:tcMar>
              <w:top w:type="dxa" w:w="70"/>
              <w:left w:type="dxa" w:w="95"/>
              <w:bottom w:type="dxa" w:w="70"/>
              <w:right w:type="dxa" w:w="95"/>
            </w:tcMar>
            <w:vAlign w:val="center"/>
          </w:tcPr>
          <w:p>
            <w:pPr>
              <w:bidi/>
              <w:spacing w:after="20" w:line="280"/>
              <w:jc w:val="right"/>
            </w:pPr>
            <w:r>
              <w:rPr>
                <w:b w:val="false"/>
                <w:bCs w:val="false"/>
                <w:sz w:val="18"/>
                <w:szCs w:val="18"/>
                <w:rtl/>
              </w:rPr>
              <w:t xml:space="preserve">—</w:t>
            </w:r>
          </w:p>
          <w:p>
            <w:pPr>
              <w:bidi w:val="false"/>
              <w:spacing w:after="20" w:line="280"/>
              <w:jc w:val="left"/>
            </w:pPr>
            <w:r>
              <w:rPr>
                <w:b/>
                <w:bCs/>
                <w:color w:val="2E4A63"/>
                <w:sz w:val="17"/>
                <w:szCs w:val="17"/>
                <w:rtl w:val="false"/>
              </w:rPr>
              <w:t xml:space="preserve">NO_LADDER_REQUIRED</w:t>
            </w:r>
          </w:p>
        </w:tc>
        <w:tc>
          <w:tcPr>
            <w:tcW w:type="dxa" w:w="2200"/>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قراءة لا اعتماد</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12. كشف التايم شيت — المشغّل</w:t>
            </w:r>
          </w:p>
          <w:p>
            <w:pPr>
              <w:bidi w:val="false"/>
              <w:spacing w:after="20" w:line="280"/>
              <w:jc w:val="left"/>
            </w:pPr>
            <w:r>
              <w:rPr>
                <w:b w:val="false"/>
                <w:bCs w:val="false"/>
                <w:color w:val="5A6B7B"/>
                <w:sz w:val="17"/>
                <w:szCs w:val="17"/>
                <w:rtl w:val="false"/>
              </w:rPr>
              <w:t xml:space="preserve">unit_statement_worker.php</w:t>
            </w:r>
          </w:p>
          <w:p>
            <w:pPr>
              <w:bidi/>
              <w:spacing w:after="20" w:line="280"/>
              <w:jc w:val="right"/>
            </w:pPr>
            <w:r>
              <w:rPr>
                <w:b/>
                <w:bCs/>
                <w:color w:val="A3151F"/>
                <w:sz w:val="18"/>
                <w:szCs w:val="18"/>
                <w:rtl/>
              </w:rPr>
              <w:t xml:space="preserve">غير مبنية</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محرك الوحدات</w:t>
            </w:r>
          </w:p>
          <w:p>
            <w:pPr>
              <w:bidi/>
              <w:spacing w:after="20" w:line="280"/>
              <w:jc w:val="right"/>
            </w:pPr>
            <w:r>
              <w:rPr>
                <w:b/>
                <w:bCs/>
                <w:color w:val="1F3B57"/>
                <w:sz w:val="19"/>
                <w:szCs w:val="19"/>
                <w:rtl/>
              </w:rPr>
              <w:t xml:space="preserve">القوى التشغيلية</w:t>
            </w:r>
          </w:p>
        </w:tc>
        <w:tc>
          <w:tcPr>
            <w:tcW w:type="dxa" w:w="2900"/>
            <w:shd w:fill="F2F6FA" w:color="auto" w:val="clear"/>
            <w:tcMar>
              <w:top w:type="dxa" w:w="70"/>
              <w:left w:type="dxa" w:w="95"/>
              <w:bottom w:type="dxa" w:w="70"/>
              <w:right w:type="dxa" w:w="95"/>
            </w:tcMar>
            <w:vAlign w:val="center"/>
          </w:tcPr>
          <w:p>
            <w:pPr>
              <w:bidi/>
              <w:spacing w:after="20" w:line="280"/>
              <w:jc w:val="right"/>
            </w:pPr>
            <w:r>
              <w:rPr>
                <w:b w:val="false"/>
                <w:bCs w:val="false"/>
                <w:sz w:val="18"/>
                <w:szCs w:val="18"/>
                <w:rtl/>
              </w:rPr>
              <w:t xml:space="preserve">—</w:t>
            </w:r>
          </w:p>
          <w:p>
            <w:pPr>
              <w:bidi w:val="false"/>
              <w:spacing w:after="20" w:line="280"/>
              <w:jc w:val="left"/>
            </w:pPr>
            <w:r>
              <w:rPr>
                <w:b/>
                <w:bCs/>
                <w:color w:val="2E4A63"/>
                <w:sz w:val="17"/>
                <w:szCs w:val="17"/>
                <w:rtl w:val="false"/>
              </w:rPr>
              <w:t xml:space="preserve">NO_LADDER_REQUIRED</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قراءة لا اعتماد</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0"/>
                <w:szCs w:val="20"/>
                <w:rtl/>
              </w:rPr>
              <w:t xml:space="preserve">13. تصحيح الوحدات بالسلسلة الثلاثية</w:t>
            </w:r>
          </w:p>
          <w:p>
            <w:pPr>
              <w:bidi w:val="false"/>
              <w:spacing w:after="20" w:line="280"/>
              <w:jc w:val="left"/>
            </w:pPr>
            <w:r>
              <w:rPr>
                <w:b w:val="false"/>
                <w:bCs w:val="false"/>
                <w:color w:val="5A6B7B"/>
                <w:sz w:val="17"/>
                <w:szCs w:val="17"/>
                <w:rtl w:val="false"/>
              </w:rPr>
              <w:t xml:space="preserve">unit_correction.php</w:t>
            </w:r>
          </w:p>
          <w:p>
            <w:pPr>
              <w:bidi/>
              <w:spacing w:after="20" w:line="280"/>
              <w:jc w:val="right"/>
            </w:pPr>
            <w:r>
              <w:rPr>
                <w:b/>
                <w:bCs/>
                <w:color w:val="A3151F"/>
                <w:sz w:val="18"/>
                <w:szCs w:val="18"/>
                <w:rtl/>
              </w:rPr>
              <w:t xml:space="preserve">غير مبنية</w:t>
            </w:r>
          </w:p>
        </w:tc>
        <w:tc>
          <w:tcPr>
            <w:tcW w:type="dxa" w:w="22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محرك الوحدات المشترك</w:t>
            </w:r>
          </w:p>
          <w:p>
            <w:pPr>
              <w:bidi/>
              <w:spacing w:after="20" w:line="280"/>
              <w:jc w:val="right"/>
            </w:pPr>
            <w:r>
              <w:rPr>
                <w:b/>
                <w:bCs/>
                <w:color w:val="1F3B57"/>
                <w:sz w:val="19"/>
                <w:szCs w:val="19"/>
                <w:rtl/>
              </w:rPr>
              <w:t xml:space="preserve">التشغيل بالتنسيق مع المالكين الثلاثة</w:t>
            </w:r>
          </w:p>
        </w:tc>
        <w:tc>
          <w:tcPr>
            <w:tcW w:type="dxa" w:w="2900"/>
            <w:tcMar>
              <w:top w:type="dxa" w:w="70"/>
              <w:left w:type="dxa" w:w="95"/>
              <w:bottom w:type="dxa" w:w="70"/>
              <w:right w:type="dxa" w:w="95"/>
            </w:tcMar>
            <w:vAlign w:val="center"/>
          </w:tcPr>
          <w:p>
            <w:pPr>
              <w:bidi/>
              <w:spacing w:after="20" w:line="280"/>
              <w:jc w:val="right"/>
            </w:pPr>
            <w:r>
              <w:rPr>
                <w:b w:val="false"/>
                <w:bCs w:val="false"/>
                <w:sz w:val="18"/>
                <w:szCs w:val="18"/>
                <w:rtl/>
              </w:rPr>
              <w:t xml:space="preserve">محاسب الإدارة يراجع أثر التصحيح</w:t>
            </w:r>
          </w:p>
          <w:p>
            <w:pPr>
              <w:bidi w:val="false"/>
              <w:spacing w:after="20" w:line="280"/>
              <w:jc w:val="left"/>
            </w:pPr>
            <w:r>
              <w:rPr>
                <w:b/>
                <w:bCs/>
                <w:color w:val="2E4A63"/>
                <w:sz w:val="16"/>
                <w:szCs w:val="16"/>
                <w:rtl w:val="false"/>
              </w:rPr>
              <w:t xml:space="preserve">RESOLVE_FROM_POLICY:</w:t>
            </w:r>
          </w:p>
          <w:p>
            <w:pPr>
              <w:bidi w:val="false"/>
              <w:spacing w:after="20" w:line="280"/>
              <w:jc w:val="left"/>
            </w:pPr>
            <w:r>
              <w:rPr>
                <w:b/>
                <w:bCs/>
                <w:color w:val="2E4A63"/>
                <w:sz w:val="16"/>
                <w:szCs w:val="16"/>
                <w:rtl w:val="false"/>
              </w:rPr>
              <w:t xml:space="preserve">unit_correction</w:t>
            </w:r>
          </w:p>
        </w:tc>
        <w:tc>
          <w:tcPr>
            <w:tcW w:type="dxa" w:w="2200"/>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لا تصحيح إلا بمرور السلسلة كاملة</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14. الأداء الشهري للوحدة</w:t>
            </w:r>
          </w:p>
          <w:p>
            <w:pPr>
              <w:bidi w:val="false"/>
              <w:spacing w:after="20" w:line="280"/>
              <w:jc w:val="left"/>
            </w:pPr>
            <w:r>
              <w:rPr>
                <w:b w:val="false"/>
                <w:bCs w:val="false"/>
                <w:color w:val="5A6B7B"/>
                <w:sz w:val="17"/>
                <w:szCs w:val="17"/>
                <w:rtl w:val="false"/>
              </w:rPr>
              <w:t xml:space="preserve">unit_perf.php</w:t>
            </w:r>
          </w:p>
          <w:p>
            <w:pPr>
              <w:bidi/>
              <w:spacing w:after="20" w:line="280"/>
              <w:jc w:val="right"/>
            </w:pPr>
            <w:r>
              <w:rPr>
                <w:b w:val="false"/>
                <w:bCs w:val="false"/>
                <w:color w:val="1F6B3A"/>
                <w:sz w:val="18"/>
                <w:szCs w:val="18"/>
                <w:rtl/>
              </w:rPr>
              <w:t xml:space="preserve">مبنية</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محرك الوحدات</w:t>
            </w:r>
          </w:p>
          <w:p>
            <w:pPr>
              <w:bidi/>
              <w:spacing w:after="20" w:line="280"/>
              <w:jc w:val="right"/>
            </w:pPr>
            <w:r>
              <w:rPr>
                <w:b/>
                <w:bCs/>
                <w:color w:val="1F3B57"/>
                <w:sz w:val="19"/>
                <w:szCs w:val="19"/>
                <w:rtl/>
              </w:rPr>
              <w:t xml:space="preserve">إدارة التشغيل</w:t>
            </w:r>
          </w:p>
        </w:tc>
        <w:tc>
          <w:tcPr>
            <w:tcW w:type="dxa" w:w="2900"/>
            <w:shd w:fill="F2F6FA" w:color="auto" w:val="clear"/>
            <w:tcMar>
              <w:top w:type="dxa" w:w="70"/>
              <w:left w:type="dxa" w:w="95"/>
              <w:bottom w:type="dxa" w:w="70"/>
              <w:right w:type="dxa" w:w="95"/>
            </w:tcMar>
            <w:vAlign w:val="center"/>
          </w:tcPr>
          <w:p>
            <w:pPr>
              <w:bidi/>
              <w:spacing w:after="20" w:line="280"/>
              <w:jc w:val="right"/>
            </w:pPr>
            <w:r>
              <w:rPr>
                <w:b w:val="false"/>
                <w:bCs w:val="false"/>
                <w:sz w:val="18"/>
                <w:szCs w:val="18"/>
                <w:rtl/>
              </w:rPr>
              <w:t xml:space="preserve">—</w:t>
            </w:r>
          </w:p>
          <w:p>
            <w:pPr>
              <w:bidi w:val="false"/>
              <w:spacing w:after="20" w:line="280"/>
              <w:jc w:val="left"/>
            </w:pPr>
            <w:r>
              <w:rPr>
                <w:b/>
                <w:bCs/>
                <w:color w:val="2E4A63"/>
                <w:sz w:val="17"/>
                <w:szCs w:val="17"/>
                <w:rtl w:val="false"/>
              </w:rPr>
              <w:t xml:space="preserve">NO_LADDER_REQUIRED</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قراءة لا اعتماد</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0"/>
                <w:szCs w:val="20"/>
                <w:rtl/>
              </w:rPr>
              <w:t xml:space="preserve">15. المستخلصات والمطالبات</w:t>
            </w:r>
          </w:p>
          <w:p>
            <w:pPr>
              <w:bidi w:val="false"/>
              <w:spacing w:after="20" w:line="280"/>
              <w:jc w:val="left"/>
            </w:pPr>
            <w:r>
              <w:rPr>
                <w:b w:val="false"/>
                <w:bCs w:val="false"/>
                <w:color w:val="5A6B7B"/>
                <w:sz w:val="17"/>
                <w:szCs w:val="17"/>
                <w:rtl w:val="false"/>
              </w:rPr>
              <w:t xml:space="preserve">claims.php</w:t>
            </w:r>
          </w:p>
          <w:p>
            <w:pPr>
              <w:bidi/>
              <w:spacing w:after="20" w:line="280"/>
              <w:jc w:val="right"/>
            </w:pPr>
            <w:r>
              <w:rPr>
                <w:b w:val="false"/>
                <w:bCs w:val="false"/>
                <w:color w:val="1F6B3A"/>
                <w:sz w:val="18"/>
                <w:szCs w:val="18"/>
                <w:rtl/>
              </w:rPr>
              <w:t xml:space="preserve">مبنية</w:t>
            </w:r>
          </w:p>
        </w:tc>
        <w:tc>
          <w:tcPr>
            <w:tcW w:type="dxa" w:w="22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نطاق المبيعات</w:t>
            </w:r>
          </w:p>
          <w:p>
            <w:pPr>
              <w:bidi/>
              <w:spacing w:after="20" w:line="280"/>
              <w:jc w:val="right"/>
            </w:pPr>
            <w:r>
              <w:rPr>
                <w:b/>
                <w:bCs/>
                <w:color w:val="1F3B57"/>
                <w:sz w:val="19"/>
                <w:szCs w:val="19"/>
                <w:rtl/>
              </w:rPr>
              <w:t xml:space="preserve">المبيعات والعقود</w:t>
            </w:r>
          </w:p>
        </w:tc>
        <w:tc>
          <w:tcPr>
            <w:tcW w:type="dxa" w:w="2900"/>
            <w:tcMar>
              <w:top w:type="dxa" w:w="70"/>
              <w:left w:type="dxa" w:w="95"/>
              <w:bottom w:type="dxa" w:w="70"/>
              <w:right w:type="dxa" w:w="95"/>
            </w:tcMar>
            <w:vAlign w:val="center"/>
          </w:tcPr>
          <w:p>
            <w:pPr>
              <w:bidi/>
              <w:spacing w:after="20" w:line="280"/>
              <w:jc w:val="right"/>
            </w:pPr>
            <w:r>
              <w:rPr>
                <w:b w:val="false"/>
                <w:bCs w:val="false"/>
                <w:sz w:val="18"/>
                <w:szCs w:val="18"/>
                <w:rtl/>
              </w:rPr>
              <w:t xml:space="preserve">محاسب المبيعات يراجع ويهيّئ أمر التحصيل</w:t>
            </w:r>
          </w:p>
          <w:p>
            <w:pPr>
              <w:bidi w:val="false"/>
              <w:spacing w:after="20" w:line="280"/>
              <w:jc w:val="left"/>
            </w:pPr>
            <w:r>
              <w:rPr>
                <w:b/>
                <w:bCs/>
                <w:color w:val="2E4A63"/>
                <w:sz w:val="16"/>
                <w:szCs w:val="16"/>
                <w:rtl w:val="false"/>
              </w:rPr>
              <w:t xml:space="preserve">RESOLVE_FROM_POLICY:</w:t>
            </w:r>
          </w:p>
          <w:p>
            <w:pPr>
              <w:bidi w:val="false"/>
              <w:spacing w:after="20" w:line="280"/>
              <w:jc w:val="left"/>
            </w:pPr>
            <w:r>
              <w:rPr>
                <w:b/>
                <w:bCs/>
                <w:color w:val="2E4A63"/>
                <w:sz w:val="16"/>
                <w:szCs w:val="16"/>
                <w:rtl w:val="false"/>
              </w:rPr>
              <w:t xml:space="preserve">sales_claim</w:t>
            </w:r>
          </w:p>
        </w:tc>
        <w:tc>
          <w:tcPr>
            <w:tcW w:type="dxa" w:w="2200"/>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لا نقد ولا ترحيل من المبيعات</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16. توليد استحقاقات عقد العميل</w:t>
            </w:r>
          </w:p>
          <w:p>
            <w:pPr>
              <w:bidi w:val="false"/>
              <w:spacing w:after="20" w:line="280"/>
              <w:jc w:val="left"/>
            </w:pPr>
            <w:r>
              <w:rPr>
                <w:b w:val="false"/>
                <w:bCs w:val="false"/>
                <w:color w:val="5A6B7B"/>
                <w:sz w:val="17"/>
                <w:szCs w:val="17"/>
                <w:rtl w:val="false"/>
              </w:rPr>
              <w:t xml:space="preserve">ar_accrual_gen.php</w:t>
            </w:r>
          </w:p>
          <w:p>
            <w:pPr>
              <w:bidi/>
              <w:spacing w:after="20" w:line="280"/>
              <w:jc w:val="right"/>
            </w:pPr>
            <w:r>
              <w:rPr>
                <w:b/>
                <w:bCs/>
                <w:color w:val="A3151F"/>
                <w:sz w:val="18"/>
                <w:szCs w:val="18"/>
                <w:rtl/>
              </w:rPr>
              <w:t xml:space="preserve">غير مبنية</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نطاق المالية</w:t>
            </w:r>
          </w:p>
          <w:p>
            <w:pPr>
              <w:bidi/>
              <w:spacing w:after="20" w:line="280"/>
              <w:jc w:val="right"/>
            </w:pPr>
            <w:r>
              <w:rPr>
                <w:b/>
                <w:bCs/>
                <w:color w:val="1F3B57"/>
                <w:sz w:val="19"/>
                <w:szCs w:val="19"/>
                <w:rtl/>
              </w:rPr>
              <w:t xml:space="preserve">المالية والمحاسبة</w:t>
            </w:r>
          </w:p>
        </w:tc>
        <w:tc>
          <w:tcPr>
            <w:tcW w:type="dxa" w:w="2900"/>
            <w:shd w:fill="F2F6FA" w:color="auto" w:val="clear"/>
            <w:tcMar>
              <w:top w:type="dxa" w:w="70"/>
              <w:left w:type="dxa" w:w="95"/>
              <w:bottom w:type="dxa" w:w="70"/>
              <w:right w:type="dxa" w:w="95"/>
            </w:tcMar>
            <w:vAlign w:val="center"/>
          </w:tcPr>
          <w:p>
            <w:pPr>
              <w:bidi/>
              <w:spacing w:after="20" w:line="280"/>
              <w:jc w:val="right"/>
            </w:pPr>
            <w:r>
              <w:rPr>
                <w:b w:val="false"/>
                <w:bCs w:val="false"/>
                <w:sz w:val="18"/>
                <w:szCs w:val="18"/>
                <w:rtl/>
              </w:rPr>
              <w:t xml:space="preserve">محاسب المبيعات يُعدّ</w:t>
            </w:r>
          </w:p>
          <w:p>
            <w:pPr>
              <w:bidi w:val="false"/>
              <w:spacing w:after="20" w:line="280"/>
              <w:jc w:val="left"/>
            </w:pPr>
            <w:r>
              <w:rPr>
                <w:b/>
                <w:bCs/>
                <w:color w:val="2E4A63"/>
                <w:sz w:val="16"/>
                <w:szCs w:val="16"/>
                <w:rtl w:val="false"/>
              </w:rPr>
              <w:t xml:space="preserve">RESOLVE_FROM_POLICY:</w:t>
            </w:r>
          </w:p>
          <w:p>
            <w:pPr>
              <w:bidi w:val="false"/>
              <w:spacing w:after="20" w:line="280"/>
              <w:jc w:val="left"/>
            </w:pPr>
            <w:r>
              <w:rPr>
                <w:b/>
                <w:bCs/>
                <w:color w:val="2E4A63"/>
                <w:sz w:val="16"/>
                <w:szCs w:val="16"/>
                <w:rtl w:val="false"/>
              </w:rPr>
              <w:t xml:space="preserve">ar_accrual</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إجازة رئيس الحسابات قبل الترحيل</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0"/>
                <w:szCs w:val="20"/>
                <w:rtl/>
              </w:rPr>
              <w:t xml:space="preserve">17. شهادة الإنجاز الشهرية</w:t>
            </w:r>
          </w:p>
          <w:p>
            <w:pPr>
              <w:bidi w:val="false"/>
              <w:spacing w:after="20" w:line="280"/>
              <w:jc w:val="left"/>
            </w:pPr>
            <w:r>
              <w:rPr>
                <w:b w:val="false"/>
                <w:bCs w:val="false"/>
                <w:color w:val="5A6B7B"/>
                <w:sz w:val="17"/>
                <w:szCs w:val="17"/>
                <w:rtl w:val="false"/>
              </w:rPr>
              <w:t xml:space="preserve">ar_completion_cert.php</w:t>
            </w:r>
          </w:p>
          <w:p>
            <w:pPr>
              <w:bidi/>
              <w:spacing w:after="20" w:line="280"/>
              <w:jc w:val="right"/>
            </w:pPr>
            <w:r>
              <w:rPr>
                <w:b/>
                <w:bCs/>
                <w:color w:val="A3151F"/>
                <w:sz w:val="18"/>
                <w:szCs w:val="18"/>
                <w:rtl/>
              </w:rPr>
              <w:t xml:space="preserve">غير مبنية</w:t>
            </w:r>
          </w:p>
        </w:tc>
        <w:tc>
          <w:tcPr>
            <w:tcW w:type="dxa" w:w="22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نطاق المالية</w:t>
            </w:r>
          </w:p>
          <w:p>
            <w:pPr>
              <w:bidi/>
              <w:spacing w:after="20" w:line="280"/>
              <w:jc w:val="right"/>
            </w:pPr>
            <w:r>
              <w:rPr>
                <w:b/>
                <w:bCs/>
                <w:color w:val="1F3B57"/>
                <w:sz w:val="19"/>
                <w:szCs w:val="19"/>
                <w:rtl/>
              </w:rPr>
              <w:t xml:space="preserve">المالية والمحاسبة</w:t>
            </w:r>
          </w:p>
        </w:tc>
        <w:tc>
          <w:tcPr>
            <w:tcW w:type="dxa" w:w="2900"/>
            <w:tcMar>
              <w:top w:type="dxa" w:w="70"/>
              <w:left w:type="dxa" w:w="95"/>
              <w:bottom w:type="dxa" w:w="70"/>
              <w:right w:type="dxa" w:w="95"/>
            </w:tcMar>
            <w:vAlign w:val="center"/>
          </w:tcPr>
          <w:p>
            <w:pPr>
              <w:bidi/>
              <w:spacing w:after="20" w:line="280"/>
              <w:jc w:val="right"/>
            </w:pPr>
            <w:r>
              <w:rPr>
                <w:b w:val="false"/>
                <w:bCs w:val="false"/>
                <w:sz w:val="18"/>
                <w:szCs w:val="18"/>
                <w:rtl/>
              </w:rPr>
              <w:t xml:space="preserve">محاسب المبيعات يهيّئ</w:t>
            </w:r>
          </w:p>
          <w:p>
            <w:pPr>
              <w:bidi w:val="false"/>
              <w:spacing w:after="20" w:line="280"/>
              <w:jc w:val="left"/>
            </w:pPr>
            <w:r>
              <w:rPr>
                <w:b/>
                <w:bCs/>
                <w:color w:val="2E4A63"/>
                <w:sz w:val="17"/>
                <w:szCs w:val="17"/>
                <w:rtl w:val="false"/>
              </w:rPr>
              <w:t xml:space="preserve">LD-06</w:t>
            </w:r>
          </w:p>
        </w:tc>
        <w:tc>
          <w:tcPr>
            <w:tcW w:type="dxa" w:w="2200"/>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18. فاتورة المطالبة وإحالتها</w:t>
            </w:r>
          </w:p>
          <w:p>
            <w:pPr>
              <w:bidi w:val="false"/>
              <w:spacing w:after="20" w:line="280"/>
              <w:jc w:val="left"/>
            </w:pPr>
            <w:r>
              <w:rPr>
                <w:b w:val="false"/>
                <w:bCs w:val="false"/>
                <w:color w:val="5A6B7B"/>
                <w:sz w:val="17"/>
                <w:szCs w:val="17"/>
                <w:rtl w:val="false"/>
              </w:rPr>
              <w:t xml:space="preserve">ar_claim_invoice.php</w:t>
            </w:r>
          </w:p>
          <w:p>
            <w:pPr>
              <w:bidi/>
              <w:spacing w:after="20" w:line="280"/>
              <w:jc w:val="right"/>
            </w:pPr>
            <w:r>
              <w:rPr>
                <w:b/>
                <w:bCs/>
                <w:color w:val="A3151F"/>
                <w:sz w:val="18"/>
                <w:szCs w:val="18"/>
                <w:rtl/>
              </w:rPr>
              <w:t xml:space="preserve">غير مبنية</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نطاق المالية</w:t>
            </w:r>
          </w:p>
          <w:p>
            <w:pPr>
              <w:bidi/>
              <w:spacing w:after="20" w:line="280"/>
              <w:jc w:val="right"/>
            </w:pPr>
            <w:r>
              <w:rPr>
                <w:b/>
                <w:bCs/>
                <w:color w:val="1F3B57"/>
                <w:sz w:val="19"/>
                <w:szCs w:val="19"/>
                <w:rtl/>
              </w:rPr>
              <w:t xml:space="preserve">المالية والمحاسبة</w:t>
            </w:r>
          </w:p>
        </w:tc>
        <w:tc>
          <w:tcPr>
            <w:tcW w:type="dxa" w:w="2900"/>
            <w:shd w:fill="F2F6FA" w:color="auto" w:val="clear"/>
            <w:tcMar>
              <w:top w:type="dxa" w:w="70"/>
              <w:left w:type="dxa" w:w="95"/>
              <w:bottom w:type="dxa" w:w="70"/>
              <w:right w:type="dxa" w:w="95"/>
            </w:tcMar>
            <w:vAlign w:val="center"/>
          </w:tcPr>
          <w:p>
            <w:pPr>
              <w:bidi/>
              <w:spacing w:after="20" w:line="280"/>
              <w:jc w:val="right"/>
            </w:pPr>
            <w:r>
              <w:rPr>
                <w:b w:val="false"/>
                <w:bCs w:val="false"/>
                <w:sz w:val="18"/>
                <w:szCs w:val="18"/>
                <w:rtl/>
              </w:rPr>
              <w:t xml:space="preserve">محاسب المبيعات يهيّئ ولا يعتمد</w:t>
            </w:r>
          </w:p>
          <w:p>
            <w:pPr>
              <w:bidi w:val="false"/>
              <w:spacing w:after="20" w:line="280"/>
              <w:jc w:val="left"/>
            </w:pPr>
            <w:r>
              <w:rPr>
                <w:b/>
                <w:bCs/>
                <w:color w:val="2E4A63"/>
                <w:sz w:val="17"/>
                <w:szCs w:val="17"/>
                <w:rtl w:val="false"/>
              </w:rPr>
              <w:t xml:space="preserve">LD-06</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إجازة رئيس الحسابات قبل الترحيل</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0"/>
                <w:szCs w:val="20"/>
                <w:rtl/>
              </w:rPr>
              <w:t xml:space="preserve">19. الفاتورة الضريبية والإقرارات</w:t>
            </w:r>
          </w:p>
          <w:p>
            <w:pPr>
              <w:bidi w:val="false"/>
              <w:spacing w:after="20" w:line="280"/>
              <w:jc w:val="left"/>
            </w:pPr>
            <w:r>
              <w:rPr>
                <w:b w:val="false"/>
                <w:bCs w:val="false"/>
                <w:color w:val="5A6B7B"/>
                <w:sz w:val="17"/>
                <w:szCs w:val="17"/>
                <w:rtl w:val="false"/>
              </w:rPr>
              <w:t xml:space="preserve">tax_invoices.php</w:t>
            </w:r>
          </w:p>
          <w:p>
            <w:pPr>
              <w:bidi/>
              <w:spacing w:after="20" w:line="280"/>
              <w:jc w:val="right"/>
            </w:pPr>
            <w:r>
              <w:rPr>
                <w:b w:val="false"/>
                <w:bCs w:val="false"/>
                <w:color w:val="1F6B3A"/>
                <w:sz w:val="18"/>
                <w:szCs w:val="18"/>
                <w:rtl/>
              </w:rPr>
              <w:t xml:space="preserve">مبنية</w:t>
            </w:r>
          </w:p>
        </w:tc>
        <w:tc>
          <w:tcPr>
            <w:tcW w:type="dxa" w:w="22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نطاق المالية</w:t>
            </w:r>
          </w:p>
          <w:p>
            <w:pPr>
              <w:bidi/>
              <w:spacing w:after="20" w:line="280"/>
              <w:jc w:val="right"/>
            </w:pPr>
            <w:r>
              <w:rPr>
                <w:b/>
                <w:bCs/>
                <w:color w:val="1F3B57"/>
                <w:sz w:val="19"/>
                <w:szCs w:val="19"/>
                <w:rtl/>
              </w:rPr>
              <w:t xml:space="preserve">المالية والمحاسبة</w:t>
            </w:r>
          </w:p>
        </w:tc>
        <w:tc>
          <w:tcPr>
            <w:tcW w:type="dxa" w:w="2900"/>
            <w:tcMar>
              <w:top w:type="dxa" w:w="70"/>
              <w:left w:type="dxa" w:w="95"/>
              <w:bottom w:type="dxa" w:w="70"/>
              <w:right w:type="dxa" w:w="95"/>
            </w:tcMar>
            <w:vAlign w:val="center"/>
          </w:tcPr>
          <w:p>
            <w:pPr>
              <w:bidi/>
              <w:spacing w:after="20" w:line="280"/>
              <w:jc w:val="right"/>
            </w:pPr>
            <w:r>
              <w:rPr>
                <w:b w:val="false"/>
                <w:bCs w:val="false"/>
                <w:sz w:val="18"/>
                <w:szCs w:val="18"/>
                <w:rtl/>
              </w:rPr>
              <w:t xml:space="preserve">—</w:t>
            </w:r>
          </w:p>
          <w:p>
            <w:pPr>
              <w:bidi w:val="false"/>
              <w:spacing w:after="20" w:line="280"/>
              <w:jc w:val="left"/>
            </w:pPr>
            <w:r>
              <w:rPr>
                <w:b/>
                <w:bCs/>
                <w:color w:val="2E4A63"/>
                <w:sz w:val="16"/>
                <w:szCs w:val="16"/>
                <w:rtl w:val="false"/>
              </w:rPr>
              <w:t xml:space="preserve">RESOLVE_FROM_POLICY:</w:t>
            </w:r>
          </w:p>
          <w:p>
            <w:pPr>
              <w:bidi w:val="false"/>
              <w:spacing w:after="20" w:line="280"/>
              <w:jc w:val="left"/>
            </w:pPr>
            <w:r>
              <w:rPr>
                <w:b/>
                <w:bCs/>
                <w:color w:val="2E4A63"/>
                <w:sz w:val="16"/>
                <w:szCs w:val="16"/>
                <w:rtl w:val="false"/>
              </w:rPr>
              <w:t xml:space="preserve">ar_invoice</w:t>
            </w:r>
          </w:p>
        </w:tc>
        <w:tc>
          <w:tcPr>
            <w:tcW w:type="dxa" w:w="2200"/>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ترحيل بعد الإجازة</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20. سندات القبض والتحصيل</w:t>
            </w:r>
          </w:p>
          <w:p>
            <w:pPr>
              <w:bidi w:val="false"/>
              <w:spacing w:after="20" w:line="280"/>
              <w:jc w:val="left"/>
            </w:pPr>
            <w:r>
              <w:rPr>
                <w:b w:val="false"/>
                <w:bCs w:val="false"/>
                <w:color w:val="5A6B7B"/>
                <w:sz w:val="17"/>
                <w:szCs w:val="17"/>
                <w:rtl w:val="false"/>
              </w:rPr>
              <w:t xml:space="preserve">tre_receipts.php</w:t>
            </w:r>
          </w:p>
          <w:p>
            <w:pPr>
              <w:bidi/>
              <w:spacing w:after="20" w:line="280"/>
              <w:jc w:val="right"/>
            </w:pPr>
            <w:r>
              <w:rPr>
                <w:b/>
                <w:bCs/>
                <w:color w:val="A3151F"/>
                <w:sz w:val="18"/>
                <w:szCs w:val="18"/>
                <w:rtl/>
              </w:rPr>
              <w:t xml:space="preserve">غير مبنية</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نطاق الخزينة</w:t>
            </w:r>
          </w:p>
          <w:p>
            <w:pPr>
              <w:bidi/>
              <w:spacing w:after="20" w:line="280"/>
              <w:jc w:val="right"/>
            </w:pPr>
            <w:r>
              <w:rPr>
                <w:b/>
                <w:bCs/>
                <w:color w:val="1F3B57"/>
                <w:sz w:val="19"/>
                <w:szCs w:val="19"/>
                <w:rtl/>
              </w:rPr>
              <w:t xml:space="preserve">الخزينة والبنوك</w:t>
            </w:r>
          </w:p>
        </w:tc>
        <w:tc>
          <w:tcPr>
            <w:tcW w:type="dxa" w:w="2900"/>
            <w:shd w:fill="F2F6FA" w:color="auto" w:val="clear"/>
            <w:tcMar>
              <w:top w:type="dxa" w:w="70"/>
              <w:left w:type="dxa" w:w="95"/>
              <w:bottom w:type="dxa" w:w="70"/>
              <w:right w:type="dxa" w:w="95"/>
            </w:tcMar>
            <w:vAlign w:val="center"/>
          </w:tcPr>
          <w:p>
            <w:pPr>
              <w:bidi/>
              <w:spacing w:after="20" w:line="280"/>
              <w:jc w:val="right"/>
            </w:pPr>
            <w:r>
              <w:rPr>
                <w:b w:val="false"/>
                <w:bCs w:val="false"/>
                <w:sz w:val="18"/>
                <w:szCs w:val="18"/>
                <w:rtl/>
              </w:rPr>
              <w:t xml:space="preserve">لا ينفّذه محاسب الإدارة ولو أعدّ الأمر</w:t>
            </w:r>
          </w:p>
          <w:p>
            <w:pPr>
              <w:bidi w:val="false"/>
              <w:spacing w:after="20" w:line="280"/>
              <w:jc w:val="left"/>
            </w:pPr>
            <w:r>
              <w:rPr>
                <w:b/>
                <w:bCs/>
                <w:color w:val="2E4A63"/>
                <w:sz w:val="16"/>
                <w:szCs w:val="16"/>
                <w:rtl w:val="false"/>
              </w:rPr>
              <w:t xml:space="preserve">RESOLVE_FROM_POLICY:</w:t>
            </w:r>
          </w:p>
          <w:p>
            <w:pPr>
              <w:bidi w:val="false"/>
              <w:spacing w:after="20" w:line="280"/>
              <w:jc w:val="left"/>
            </w:pPr>
            <w:r>
              <w:rPr>
                <w:b/>
                <w:bCs/>
                <w:color w:val="2E4A63"/>
                <w:sz w:val="16"/>
                <w:szCs w:val="16"/>
                <w:rtl w:val="false"/>
              </w:rPr>
              <w:t xml:space="preserve">treasury_receipt</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تنفيذ نقديٌّ ينتج مرجع الحركة — ولا قيد</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0"/>
                <w:szCs w:val="20"/>
                <w:rtl/>
              </w:rPr>
              <w:t xml:space="preserve">21. كشف حساب العميل</w:t>
            </w:r>
          </w:p>
          <w:p>
            <w:pPr>
              <w:bidi w:val="false"/>
              <w:spacing w:after="20" w:line="280"/>
              <w:jc w:val="left"/>
            </w:pPr>
            <w:r>
              <w:rPr>
                <w:b w:val="false"/>
                <w:bCs w:val="false"/>
                <w:color w:val="5A6B7B"/>
                <w:sz w:val="17"/>
                <w:szCs w:val="17"/>
                <w:rtl w:val="false"/>
              </w:rPr>
              <w:t xml:space="preserve">client_statement.php</w:t>
            </w:r>
          </w:p>
          <w:p>
            <w:pPr>
              <w:bidi/>
              <w:spacing w:after="20" w:line="280"/>
              <w:jc w:val="right"/>
            </w:pPr>
            <w:r>
              <w:rPr>
                <w:b w:val="false"/>
                <w:bCs w:val="false"/>
                <w:color w:val="1F6B3A"/>
                <w:sz w:val="18"/>
                <w:szCs w:val="18"/>
                <w:rtl/>
              </w:rPr>
              <w:t xml:space="preserve">مبنية</w:t>
            </w:r>
          </w:p>
        </w:tc>
        <w:tc>
          <w:tcPr>
            <w:tcW w:type="dxa" w:w="22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نطاق المالية</w:t>
            </w:r>
          </w:p>
          <w:p>
            <w:pPr>
              <w:bidi/>
              <w:spacing w:after="20" w:line="280"/>
              <w:jc w:val="right"/>
            </w:pPr>
            <w:r>
              <w:rPr>
                <w:b/>
                <w:bCs/>
                <w:color w:val="1F3B57"/>
                <w:sz w:val="19"/>
                <w:szCs w:val="19"/>
                <w:rtl/>
              </w:rPr>
              <w:t xml:space="preserve">المالية والمحاسبة</w:t>
            </w:r>
          </w:p>
        </w:tc>
        <w:tc>
          <w:tcPr>
            <w:tcW w:type="dxa" w:w="2900"/>
            <w:tcMar>
              <w:top w:type="dxa" w:w="70"/>
              <w:left w:type="dxa" w:w="95"/>
              <w:bottom w:type="dxa" w:w="70"/>
              <w:right w:type="dxa" w:w="95"/>
            </w:tcMar>
            <w:vAlign w:val="center"/>
          </w:tcPr>
          <w:p>
            <w:pPr>
              <w:bidi/>
              <w:spacing w:after="20" w:line="280"/>
              <w:jc w:val="right"/>
            </w:pPr>
            <w:r>
              <w:rPr>
                <w:b w:val="false"/>
                <w:bCs w:val="false"/>
                <w:sz w:val="18"/>
                <w:szCs w:val="18"/>
                <w:rtl/>
              </w:rPr>
              <w:t xml:space="preserve">—</w:t>
            </w:r>
          </w:p>
          <w:p>
            <w:pPr>
              <w:bidi w:val="false"/>
              <w:spacing w:after="20" w:line="280"/>
              <w:jc w:val="left"/>
            </w:pPr>
            <w:r>
              <w:rPr>
                <w:b/>
                <w:bCs/>
                <w:color w:val="2E4A63"/>
                <w:sz w:val="17"/>
                <w:szCs w:val="17"/>
                <w:rtl w:val="false"/>
              </w:rPr>
              <w:t xml:space="preserve">NO_LADDER_REQUIRED</w:t>
            </w:r>
          </w:p>
        </w:tc>
        <w:tc>
          <w:tcPr>
            <w:tcW w:type="dxa" w:w="2200"/>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قراءة</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22. التسويات ومستحقات الموردين</w:t>
            </w:r>
          </w:p>
          <w:p>
            <w:pPr>
              <w:bidi w:val="false"/>
              <w:spacing w:after="20" w:line="280"/>
              <w:jc w:val="left"/>
            </w:pPr>
            <w:r>
              <w:rPr>
                <w:b w:val="false"/>
                <w:bCs w:val="false"/>
                <w:color w:val="5A6B7B"/>
                <w:sz w:val="17"/>
                <w:szCs w:val="17"/>
                <w:rtl w:val="false"/>
              </w:rPr>
              <w:t xml:space="preserve">settlements.php</w:t>
            </w:r>
          </w:p>
          <w:p>
            <w:pPr>
              <w:bidi/>
              <w:spacing w:after="20" w:line="280"/>
              <w:jc w:val="right"/>
            </w:pPr>
            <w:r>
              <w:rPr>
                <w:b w:val="false"/>
                <w:bCs w:val="false"/>
                <w:color w:val="1F6B3A"/>
                <w:sz w:val="18"/>
                <w:szCs w:val="18"/>
                <w:rtl/>
              </w:rPr>
              <w:t xml:space="preserve">مبنية</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نطاق الموردين</w:t>
            </w:r>
          </w:p>
          <w:p>
            <w:pPr>
              <w:bidi/>
              <w:spacing w:after="20" w:line="280"/>
              <w:jc w:val="right"/>
            </w:pPr>
            <w:r>
              <w:rPr>
                <w:b/>
                <w:bCs/>
                <w:color w:val="1F3B57"/>
                <w:sz w:val="19"/>
                <w:szCs w:val="19"/>
                <w:rtl/>
              </w:rPr>
              <w:t xml:space="preserve">إدارة الموردين</w:t>
            </w:r>
          </w:p>
        </w:tc>
        <w:tc>
          <w:tcPr>
            <w:tcW w:type="dxa" w:w="2900"/>
            <w:shd w:fill="F2F6FA" w:color="auto" w:val="clear"/>
            <w:tcMar>
              <w:top w:type="dxa" w:w="70"/>
              <w:left w:type="dxa" w:w="95"/>
              <w:bottom w:type="dxa" w:w="70"/>
              <w:right w:type="dxa" w:w="95"/>
            </w:tcMar>
            <w:vAlign w:val="center"/>
          </w:tcPr>
          <w:p>
            <w:pPr>
              <w:bidi/>
              <w:spacing w:after="20" w:line="280"/>
              <w:jc w:val="right"/>
            </w:pPr>
            <w:r>
              <w:rPr>
                <w:b w:val="false"/>
                <w:bCs w:val="false"/>
                <w:sz w:val="18"/>
                <w:szCs w:val="18"/>
                <w:rtl/>
              </w:rPr>
              <w:t xml:space="preserve">محاسب الموردين حاضرٌ في سلّم التسويات بنص قرار التثبيت</w:t>
            </w:r>
          </w:p>
          <w:p>
            <w:pPr>
              <w:bidi w:val="false"/>
              <w:spacing w:after="20" w:line="280"/>
              <w:jc w:val="left"/>
            </w:pPr>
            <w:r>
              <w:rPr>
                <w:b/>
                <w:bCs/>
                <w:color w:val="2E4A63"/>
                <w:sz w:val="17"/>
                <w:szCs w:val="17"/>
                <w:rtl w:val="false"/>
              </w:rPr>
              <w:t xml:space="preserve">LD-13</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لا نقد ولا ترحيل من الموردين</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0"/>
                <w:szCs w:val="20"/>
                <w:rtl/>
              </w:rPr>
              <w:t xml:space="preserve">23. توليد التزامات عقد المورد</w:t>
            </w:r>
          </w:p>
          <w:p>
            <w:pPr>
              <w:bidi w:val="false"/>
              <w:spacing w:after="20" w:line="280"/>
              <w:jc w:val="left"/>
            </w:pPr>
            <w:r>
              <w:rPr>
                <w:b w:val="false"/>
                <w:bCs w:val="false"/>
                <w:color w:val="5A6B7B"/>
                <w:sz w:val="17"/>
                <w:szCs w:val="17"/>
                <w:rtl w:val="false"/>
              </w:rPr>
              <w:t xml:space="preserve">ap_oblig_gen.php</w:t>
            </w:r>
          </w:p>
          <w:p>
            <w:pPr>
              <w:bidi/>
              <w:spacing w:after="20" w:line="280"/>
              <w:jc w:val="right"/>
            </w:pPr>
            <w:r>
              <w:rPr>
                <w:b/>
                <w:bCs/>
                <w:color w:val="A3151F"/>
                <w:sz w:val="18"/>
                <w:szCs w:val="18"/>
                <w:rtl/>
              </w:rPr>
              <w:t xml:space="preserve">غير مبنية</w:t>
            </w:r>
          </w:p>
        </w:tc>
        <w:tc>
          <w:tcPr>
            <w:tcW w:type="dxa" w:w="22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نطاق الموردين</w:t>
            </w:r>
          </w:p>
          <w:p>
            <w:pPr>
              <w:bidi/>
              <w:spacing w:after="20" w:line="280"/>
              <w:jc w:val="right"/>
            </w:pPr>
            <w:r>
              <w:rPr>
                <w:b/>
                <w:bCs/>
                <w:color w:val="1F3B57"/>
                <w:sz w:val="19"/>
                <w:szCs w:val="19"/>
                <w:rtl/>
              </w:rPr>
              <w:t xml:space="preserve">إدارة الموردين</w:t>
            </w:r>
          </w:p>
        </w:tc>
        <w:tc>
          <w:tcPr>
            <w:tcW w:type="dxa" w:w="2900"/>
            <w:tcMar>
              <w:top w:type="dxa" w:w="70"/>
              <w:left w:type="dxa" w:w="95"/>
              <w:bottom w:type="dxa" w:w="70"/>
              <w:right w:type="dxa" w:w="95"/>
            </w:tcMar>
            <w:vAlign w:val="center"/>
          </w:tcPr>
          <w:p>
            <w:pPr>
              <w:bidi/>
              <w:spacing w:after="20" w:line="280"/>
              <w:jc w:val="right"/>
            </w:pPr>
            <w:r>
              <w:rPr>
                <w:b w:val="false"/>
                <w:bCs w:val="false"/>
                <w:sz w:val="18"/>
                <w:szCs w:val="18"/>
                <w:rtl/>
              </w:rPr>
              <w:t xml:space="preserve">محاسب الموردين يُعدّ</w:t>
            </w:r>
          </w:p>
          <w:p>
            <w:pPr>
              <w:bidi w:val="false"/>
              <w:spacing w:after="20" w:line="280"/>
              <w:jc w:val="left"/>
            </w:pPr>
            <w:r>
              <w:rPr>
                <w:b/>
                <w:bCs/>
                <w:color w:val="2E4A63"/>
                <w:sz w:val="16"/>
                <w:szCs w:val="16"/>
                <w:rtl w:val="false"/>
              </w:rPr>
              <w:t xml:space="preserve">RESOLVE_FROM_POLICY:</w:t>
            </w:r>
          </w:p>
          <w:p>
            <w:pPr>
              <w:bidi w:val="false"/>
              <w:spacing w:after="20" w:line="280"/>
              <w:jc w:val="left"/>
            </w:pPr>
            <w:r>
              <w:rPr>
                <w:b/>
                <w:bCs/>
                <w:color w:val="2E4A63"/>
                <w:sz w:val="16"/>
                <w:szCs w:val="16"/>
                <w:rtl w:val="false"/>
              </w:rPr>
              <w:t xml:space="preserve">ap_obligation</w:t>
            </w:r>
          </w:p>
        </w:tc>
        <w:tc>
          <w:tcPr>
            <w:tcW w:type="dxa" w:w="2200"/>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24. طلبات الدفع والسداد</w:t>
            </w:r>
          </w:p>
          <w:p>
            <w:pPr>
              <w:bidi w:val="false"/>
              <w:spacing w:after="20" w:line="280"/>
              <w:jc w:val="left"/>
            </w:pPr>
            <w:r>
              <w:rPr>
                <w:b w:val="false"/>
                <w:bCs w:val="false"/>
                <w:color w:val="5A6B7B"/>
                <w:sz w:val="17"/>
                <w:szCs w:val="17"/>
                <w:rtl w:val="false"/>
              </w:rPr>
              <w:t xml:space="preserve">payments_fin.php</w:t>
            </w:r>
          </w:p>
          <w:p>
            <w:pPr>
              <w:bidi/>
              <w:spacing w:after="20" w:line="280"/>
              <w:jc w:val="right"/>
            </w:pPr>
            <w:r>
              <w:rPr>
                <w:b w:val="false"/>
                <w:bCs w:val="false"/>
                <w:color w:val="1F6B3A"/>
                <w:sz w:val="18"/>
                <w:szCs w:val="18"/>
                <w:rtl/>
              </w:rPr>
              <w:t xml:space="preserve">مبنية</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نطاق المالية</w:t>
            </w:r>
          </w:p>
          <w:p>
            <w:pPr>
              <w:bidi/>
              <w:spacing w:after="20" w:line="280"/>
              <w:jc w:val="right"/>
            </w:pPr>
            <w:r>
              <w:rPr>
                <w:b/>
                <w:bCs/>
                <w:color w:val="1F3B57"/>
                <w:sz w:val="19"/>
                <w:szCs w:val="19"/>
                <w:rtl/>
              </w:rPr>
              <w:t xml:space="preserve">المالية والمحاسبة</w:t>
            </w:r>
          </w:p>
        </w:tc>
        <w:tc>
          <w:tcPr>
            <w:tcW w:type="dxa" w:w="2900"/>
            <w:shd w:fill="F2F6FA" w:color="auto" w:val="clear"/>
            <w:tcMar>
              <w:top w:type="dxa" w:w="70"/>
              <w:left w:type="dxa" w:w="95"/>
              <w:bottom w:type="dxa" w:w="70"/>
              <w:right w:type="dxa" w:w="95"/>
            </w:tcMar>
            <w:vAlign w:val="center"/>
          </w:tcPr>
          <w:p>
            <w:pPr>
              <w:bidi/>
              <w:spacing w:after="20" w:line="280"/>
              <w:jc w:val="right"/>
            </w:pPr>
            <w:r>
              <w:rPr>
                <w:b w:val="false"/>
                <w:bCs w:val="false"/>
                <w:sz w:val="18"/>
                <w:szCs w:val="18"/>
                <w:rtl/>
              </w:rPr>
              <w:t xml:space="preserve">محاسب الموردين يُعدّ الأمر ولا يعتمده</w:t>
            </w:r>
          </w:p>
          <w:p>
            <w:pPr>
              <w:bidi w:val="false"/>
              <w:spacing w:after="20" w:line="280"/>
              <w:jc w:val="left"/>
            </w:pPr>
            <w:r>
              <w:rPr>
                <w:b/>
                <w:bCs/>
                <w:color w:val="2E4A63"/>
                <w:sz w:val="16"/>
                <w:szCs w:val="16"/>
                <w:rtl w:val="false"/>
              </w:rPr>
              <w:t xml:space="preserve">RESOLVE_FROM_POLICY:</w:t>
            </w:r>
          </w:p>
          <w:p>
            <w:pPr>
              <w:bidi w:val="false"/>
              <w:spacing w:after="20" w:line="280"/>
              <w:jc w:val="left"/>
            </w:pPr>
            <w:r>
              <w:rPr>
                <w:b/>
                <w:bCs/>
                <w:color w:val="2E4A63"/>
                <w:sz w:val="16"/>
                <w:szCs w:val="16"/>
                <w:rtl w:val="false"/>
              </w:rPr>
              <w:t xml:space="preserve">ap_payment_request</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إجازة قبل التنفيذ</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0"/>
                <w:szCs w:val="20"/>
                <w:rtl/>
              </w:rPr>
              <w:t xml:space="preserve">25. دفعات الدفع والتنفيذ</w:t>
            </w:r>
          </w:p>
          <w:p>
            <w:pPr>
              <w:bidi w:val="false"/>
              <w:spacing w:after="20" w:line="280"/>
              <w:jc w:val="left"/>
            </w:pPr>
            <w:r>
              <w:rPr>
                <w:b w:val="false"/>
                <w:bCs w:val="false"/>
                <w:color w:val="5A6B7B"/>
                <w:sz w:val="17"/>
                <w:szCs w:val="17"/>
                <w:rtl w:val="false"/>
              </w:rPr>
              <w:t xml:space="preserve">tre_pay_batch.php</w:t>
            </w:r>
          </w:p>
          <w:p>
            <w:pPr>
              <w:bidi/>
              <w:spacing w:after="20" w:line="280"/>
              <w:jc w:val="right"/>
            </w:pPr>
            <w:r>
              <w:rPr>
                <w:b/>
                <w:bCs/>
                <w:color w:val="A3151F"/>
                <w:sz w:val="18"/>
                <w:szCs w:val="18"/>
                <w:rtl/>
              </w:rPr>
              <w:t xml:space="preserve">غير مبنية</w:t>
            </w:r>
          </w:p>
        </w:tc>
        <w:tc>
          <w:tcPr>
            <w:tcW w:type="dxa" w:w="22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نطاق الخزينة</w:t>
            </w:r>
          </w:p>
          <w:p>
            <w:pPr>
              <w:bidi/>
              <w:spacing w:after="20" w:line="280"/>
              <w:jc w:val="right"/>
            </w:pPr>
            <w:r>
              <w:rPr>
                <w:b/>
                <w:bCs/>
                <w:color w:val="1F3B57"/>
                <w:sz w:val="19"/>
                <w:szCs w:val="19"/>
                <w:rtl/>
              </w:rPr>
              <w:t xml:space="preserve">الخزينة والبنوك</w:t>
            </w:r>
          </w:p>
        </w:tc>
        <w:tc>
          <w:tcPr>
            <w:tcW w:type="dxa" w:w="2900"/>
            <w:tcMar>
              <w:top w:type="dxa" w:w="70"/>
              <w:left w:type="dxa" w:w="95"/>
              <w:bottom w:type="dxa" w:w="70"/>
              <w:right w:type="dxa" w:w="95"/>
            </w:tcMar>
            <w:vAlign w:val="center"/>
          </w:tcPr>
          <w:p>
            <w:pPr>
              <w:bidi/>
              <w:spacing w:after="20" w:line="280"/>
              <w:jc w:val="right"/>
            </w:pPr>
            <w:r>
              <w:rPr>
                <w:b w:val="false"/>
                <w:bCs w:val="false"/>
                <w:sz w:val="18"/>
                <w:szCs w:val="18"/>
                <w:rtl/>
              </w:rPr>
              <w:t xml:space="preserve">لا ينفّذه محاسب الإدارة</w:t>
            </w:r>
          </w:p>
          <w:p>
            <w:pPr>
              <w:bidi w:val="false"/>
              <w:spacing w:after="20" w:line="280"/>
              <w:jc w:val="left"/>
            </w:pPr>
            <w:r>
              <w:rPr>
                <w:b/>
                <w:bCs/>
                <w:color w:val="2E4A63"/>
                <w:sz w:val="16"/>
                <w:szCs w:val="16"/>
                <w:rtl w:val="false"/>
              </w:rPr>
              <w:t xml:space="preserve">RESOLVE_FROM_POLICY:</w:t>
            </w:r>
          </w:p>
          <w:p>
            <w:pPr>
              <w:bidi w:val="false"/>
              <w:spacing w:after="20" w:line="280"/>
              <w:jc w:val="left"/>
            </w:pPr>
            <w:r>
              <w:rPr>
                <w:b/>
                <w:bCs/>
                <w:color w:val="2E4A63"/>
                <w:sz w:val="16"/>
                <w:szCs w:val="16"/>
                <w:rtl w:val="false"/>
              </w:rPr>
              <w:t xml:space="preserve">treasury_disbursement</w:t>
            </w:r>
          </w:p>
        </w:tc>
        <w:tc>
          <w:tcPr>
            <w:tcW w:type="dxa" w:w="2200"/>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تنفيذ نقديٌّ — ولا قيد</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26. توثيق التنفيذ والإشعارات</w:t>
            </w:r>
          </w:p>
          <w:p>
            <w:pPr>
              <w:bidi w:val="false"/>
              <w:spacing w:after="20" w:line="280"/>
              <w:jc w:val="left"/>
            </w:pPr>
            <w:r>
              <w:rPr>
                <w:b w:val="false"/>
                <w:bCs w:val="false"/>
                <w:color w:val="5A6B7B"/>
                <w:sz w:val="17"/>
                <w:szCs w:val="17"/>
                <w:rtl w:val="false"/>
              </w:rPr>
              <w:t xml:space="preserve">tre_exec_log.php</w:t>
            </w:r>
          </w:p>
          <w:p>
            <w:pPr>
              <w:bidi/>
              <w:spacing w:after="20" w:line="280"/>
              <w:jc w:val="right"/>
            </w:pPr>
            <w:r>
              <w:rPr>
                <w:b/>
                <w:bCs/>
                <w:color w:val="A3151F"/>
                <w:sz w:val="18"/>
                <w:szCs w:val="18"/>
                <w:rtl/>
              </w:rPr>
              <w:t xml:space="preserve">غير مبنية</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نطاق الخزينة</w:t>
            </w:r>
          </w:p>
          <w:p>
            <w:pPr>
              <w:bidi/>
              <w:spacing w:after="20" w:line="280"/>
              <w:jc w:val="right"/>
            </w:pPr>
            <w:r>
              <w:rPr>
                <w:b/>
                <w:bCs/>
                <w:color w:val="1F3B57"/>
                <w:sz w:val="19"/>
                <w:szCs w:val="19"/>
                <w:rtl/>
              </w:rPr>
              <w:t xml:space="preserve">الخزينة والبنوك</w:t>
            </w:r>
          </w:p>
        </w:tc>
        <w:tc>
          <w:tcPr>
            <w:tcW w:type="dxa" w:w="2900"/>
            <w:shd w:fill="F2F6FA" w:color="auto" w:val="clear"/>
            <w:tcMar>
              <w:top w:type="dxa" w:w="70"/>
              <w:left w:type="dxa" w:w="95"/>
              <w:bottom w:type="dxa" w:w="70"/>
              <w:right w:type="dxa" w:w="95"/>
            </w:tcMar>
            <w:vAlign w:val="center"/>
          </w:tcPr>
          <w:p>
            <w:pPr>
              <w:bidi/>
              <w:spacing w:after="20" w:line="280"/>
              <w:jc w:val="right"/>
            </w:pPr>
            <w:r>
              <w:rPr>
                <w:b w:val="false"/>
                <w:bCs w:val="false"/>
                <w:sz w:val="18"/>
                <w:szCs w:val="18"/>
                <w:rtl/>
              </w:rPr>
              <w:t xml:space="preserve">—</w:t>
            </w:r>
          </w:p>
          <w:p>
            <w:pPr>
              <w:bidi w:val="false"/>
              <w:spacing w:after="20" w:line="280"/>
              <w:jc w:val="left"/>
            </w:pPr>
            <w:r>
              <w:rPr>
                <w:b/>
                <w:bCs/>
                <w:color w:val="2E4A63"/>
                <w:sz w:val="16"/>
                <w:szCs w:val="16"/>
                <w:rtl w:val="false"/>
              </w:rPr>
              <w:t xml:space="preserve">RESOLVE_FROM_POLICY:</w:t>
            </w:r>
          </w:p>
          <w:p>
            <w:pPr>
              <w:bidi w:val="false"/>
              <w:spacing w:after="20" w:line="280"/>
              <w:jc w:val="left"/>
            </w:pPr>
            <w:r>
              <w:rPr>
                <w:b/>
                <w:bCs/>
                <w:color w:val="2E4A63"/>
                <w:sz w:val="16"/>
                <w:szCs w:val="16"/>
                <w:rtl w:val="false"/>
              </w:rPr>
              <w:t xml:space="preserve">treasury_disbursement</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ينتج مرجع الحركة</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0"/>
                <w:szCs w:val="20"/>
                <w:rtl/>
              </w:rPr>
              <w:t xml:space="preserve">27. كشف حساب المورد الشهري</w:t>
            </w:r>
          </w:p>
          <w:p>
            <w:pPr>
              <w:bidi w:val="false"/>
              <w:spacing w:after="20" w:line="280"/>
              <w:jc w:val="left"/>
            </w:pPr>
            <w:r>
              <w:rPr>
                <w:b w:val="false"/>
                <w:bCs w:val="false"/>
                <w:color w:val="5A6B7B"/>
                <w:sz w:val="17"/>
                <w:szCs w:val="17"/>
                <w:rtl w:val="false"/>
              </w:rPr>
              <w:t xml:space="preserve">supplier_statement_fin.php</w:t>
            </w:r>
          </w:p>
          <w:p>
            <w:pPr>
              <w:bidi/>
              <w:spacing w:after="20" w:line="280"/>
              <w:jc w:val="right"/>
            </w:pPr>
            <w:r>
              <w:rPr>
                <w:b w:val="false"/>
                <w:bCs w:val="false"/>
                <w:color w:val="1F6B3A"/>
                <w:sz w:val="18"/>
                <w:szCs w:val="18"/>
                <w:rtl/>
              </w:rPr>
              <w:t xml:space="preserve">مبنية</w:t>
            </w:r>
          </w:p>
        </w:tc>
        <w:tc>
          <w:tcPr>
            <w:tcW w:type="dxa" w:w="22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نطاق المالية</w:t>
            </w:r>
          </w:p>
          <w:p>
            <w:pPr>
              <w:bidi/>
              <w:spacing w:after="20" w:line="280"/>
              <w:jc w:val="right"/>
            </w:pPr>
            <w:r>
              <w:rPr>
                <w:b/>
                <w:bCs/>
                <w:color w:val="1F3B57"/>
                <w:sz w:val="19"/>
                <w:szCs w:val="19"/>
                <w:rtl/>
              </w:rPr>
              <w:t xml:space="preserve">المالية والمحاسبة</w:t>
            </w:r>
          </w:p>
        </w:tc>
        <w:tc>
          <w:tcPr>
            <w:tcW w:type="dxa" w:w="2900"/>
            <w:tcMar>
              <w:top w:type="dxa" w:w="70"/>
              <w:left w:type="dxa" w:w="95"/>
              <w:bottom w:type="dxa" w:w="70"/>
              <w:right w:type="dxa" w:w="95"/>
            </w:tcMar>
            <w:vAlign w:val="center"/>
          </w:tcPr>
          <w:p>
            <w:pPr>
              <w:bidi/>
              <w:spacing w:after="20" w:line="280"/>
              <w:jc w:val="right"/>
            </w:pPr>
            <w:r>
              <w:rPr>
                <w:b w:val="false"/>
                <w:bCs w:val="false"/>
                <w:sz w:val="18"/>
                <w:szCs w:val="18"/>
                <w:rtl/>
              </w:rPr>
              <w:t xml:space="preserve">—</w:t>
            </w:r>
          </w:p>
          <w:p>
            <w:pPr>
              <w:bidi w:val="false"/>
              <w:spacing w:after="20" w:line="280"/>
              <w:jc w:val="left"/>
            </w:pPr>
            <w:r>
              <w:rPr>
                <w:b/>
                <w:bCs/>
                <w:color w:val="2E4A63"/>
                <w:sz w:val="17"/>
                <w:szCs w:val="17"/>
                <w:rtl w:val="false"/>
              </w:rPr>
              <w:t xml:space="preserve">NO_LADDER_REQUIRED</w:t>
            </w:r>
          </w:p>
        </w:tc>
        <w:tc>
          <w:tcPr>
            <w:tcW w:type="dxa" w:w="2200"/>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قراءة</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28. توليد المستحق من العمل المعتمد</w:t>
            </w:r>
          </w:p>
          <w:p>
            <w:pPr>
              <w:bidi w:val="false"/>
              <w:spacing w:after="20" w:line="280"/>
              <w:jc w:val="left"/>
            </w:pPr>
            <w:r>
              <w:rPr>
                <w:b w:val="false"/>
                <w:bCs w:val="false"/>
                <w:color w:val="5A6B7B"/>
                <w:sz w:val="17"/>
                <w:szCs w:val="17"/>
                <w:rtl w:val="false"/>
              </w:rPr>
              <w:t xml:space="preserve">entitlement.php</w:t>
            </w:r>
          </w:p>
          <w:p>
            <w:pPr>
              <w:bidi/>
              <w:spacing w:after="20" w:line="280"/>
              <w:jc w:val="right"/>
            </w:pPr>
            <w:r>
              <w:rPr>
                <w:b w:val="false"/>
                <w:bCs w:val="false"/>
                <w:color w:val="1F6B3A"/>
                <w:sz w:val="18"/>
                <w:szCs w:val="18"/>
                <w:rtl/>
              </w:rPr>
              <w:t xml:space="preserve">مبنية</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نطاق القوى التشغيلية</w:t>
            </w:r>
          </w:p>
          <w:p>
            <w:pPr>
              <w:bidi/>
              <w:spacing w:after="20" w:line="280"/>
              <w:jc w:val="right"/>
            </w:pPr>
            <w:r>
              <w:rPr>
                <w:b/>
                <w:bCs/>
                <w:color w:val="1F3B57"/>
                <w:sz w:val="19"/>
                <w:szCs w:val="19"/>
                <w:rtl/>
              </w:rPr>
              <w:t xml:space="preserve">القوى التشغيلية</w:t>
            </w:r>
          </w:p>
        </w:tc>
        <w:tc>
          <w:tcPr>
            <w:tcW w:type="dxa" w:w="2900"/>
            <w:shd w:fill="F2F6FA" w:color="auto" w:val="clear"/>
            <w:tcMar>
              <w:top w:type="dxa" w:w="70"/>
              <w:left w:type="dxa" w:w="95"/>
              <w:bottom w:type="dxa" w:w="70"/>
              <w:right w:type="dxa" w:w="95"/>
            </w:tcMar>
            <w:vAlign w:val="center"/>
          </w:tcPr>
          <w:p>
            <w:pPr>
              <w:bidi/>
              <w:spacing w:after="20" w:line="280"/>
              <w:jc w:val="right"/>
            </w:pPr>
            <w:r>
              <w:rPr>
                <w:b w:val="false"/>
                <w:bCs w:val="false"/>
                <w:sz w:val="18"/>
                <w:szCs w:val="18"/>
                <w:rtl/>
              </w:rPr>
              <w:t xml:space="preserve">محاسب الأجور بعد بوابة المالية</w:t>
            </w:r>
          </w:p>
          <w:p>
            <w:pPr>
              <w:bidi w:val="false"/>
              <w:spacing w:after="20" w:line="280"/>
              <w:jc w:val="left"/>
            </w:pPr>
            <w:r>
              <w:rPr>
                <w:b/>
                <w:bCs/>
                <w:color w:val="2E4A63"/>
                <w:sz w:val="17"/>
                <w:szCs w:val="17"/>
                <w:rtl w:val="false"/>
              </w:rPr>
              <w:t xml:space="preserve">LD-04</w:t>
            </w:r>
            <w:r>
              <w:rPr>
                <w:b/>
                <w:bCs/>
                <w:color w:val="2E4A63"/>
                <w:sz w:val="17"/>
                <w:szCs w:val="17"/>
                <w:rtl/>
              </w:rPr>
              <w:t xml:space="preserve"> → </w:t>
            </w:r>
            <w:r>
              <w:rPr>
                <w:b/>
                <w:bCs/>
                <w:color w:val="2E4A63"/>
                <w:sz w:val="17"/>
                <w:szCs w:val="17"/>
                <w:rtl w:val="false"/>
              </w:rPr>
              <w:t xml:space="preserve">LD-05</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لا ترحيل قبل الإجازة</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0"/>
                <w:szCs w:val="20"/>
                <w:rtl/>
              </w:rPr>
              <w:t xml:space="preserve">29. فحص شروط الاستحقاق</w:t>
            </w:r>
          </w:p>
          <w:p>
            <w:pPr>
              <w:bidi w:val="false"/>
              <w:spacing w:after="20" w:line="280"/>
              <w:jc w:val="left"/>
            </w:pPr>
            <w:r>
              <w:rPr>
                <w:b w:val="false"/>
                <w:bCs w:val="false"/>
                <w:color w:val="5A6B7B"/>
                <w:sz w:val="17"/>
                <w:szCs w:val="17"/>
                <w:rtl w:val="false"/>
              </w:rPr>
              <w:t xml:space="preserve">entitlement_gate.php</w:t>
            </w:r>
          </w:p>
          <w:p>
            <w:pPr>
              <w:bidi/>
              <w:spacing w:after="20" w:line="280"/>
              <w:jc w:val="right"/>
            </w:pPr>
            <w:r>
              <w:rPr>
                <w:b w:val="false"/>
                <w:bCs w:val="false"/>
                <w:color w:val="1F6B3A"/>
                <w:sz w:val="18"/>
                <w:szCs w:val="18"/>
                <w:rtl/>
              </w:rPr>
              <w:t xml:space="preserve">مبنية</w:t>
            </w:r>
          </w:p>
        </w:tc>
        <w:tc>
          <w:tcPr>
            <w:tcW w:type="dxa" w:w="22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نطاق المالية</w:t>
            </w:r>
          </w:p>
          <w:p>
            <w:pPr>
              <w:bidi/>
              <w:spacing w:after="20" w:line="280"/>
              <w:jc w:val="right"/>
            </w:pPr>
            <w:r>
              <w:rPr>
                <w:b/>
                <w:bCs/>
                <w:color w:val="1F3B57"/>
                <w:sz w:val="19"/>
                <w:szCs w:val="19"/>
                <w:rtl/>
              </w:rPr>
              <w:t xml:space="preserve">المالية والمحاسبة</w:t>
            </w:r>
          </w:p>
        </w:tc>
        <w:tc>
          <w:tcPr>
            <w:tcW w:type="dxa" w:w="2900"/>
            <w:tcMar>
              <w:top w:type="dxa" w:w="70"/>
              <w:left w:type="dxa" w:w="95"/>
              <w:bottom w:type="dxa" w:w="70"/>
              <w:right w:type="dxa" w:w="95"/>
            </w:tcMar>
            <w:vAlign w:val="center"/>
          </w:tcPr>
          <w:p>
            <w:pPr>
              <w:bidi/>
              <w:spacing w:after="20" w:line="280"/>
              <w:jc w:val="right"/>
            </w:pPr>
            <w:r>
              <w:rPr>
                <w:b w:val="false"/>
                <w:bCs w:val="false"/>
                <w:sz w:val="18"/>
                <w:szCs w:val="18"/>
                <w:rtl/>
              </w:rPr>
              <w:t xml:space="preserve">—</w:t>
            </w:r>
          </w:p>
          <w:p>
            <w:pPr>
              <w:bidi w:val="false"/>
              <w:spacing w:after="20" w:line="280"/>
              <w:jc w:val="left"/>
            </w:pPr>
            <w:r>
              <w:rPr>
                <w:b/>
                <w:bCs/>
                <w:color w:val="2E4A63"/>
                <w:sz w:val="17"/>
                <w:szCs w:val="17"/>
                <w:rtl w:val="false"/>
              </w:rPr>
              <w:t xml:space="preserve">LD-05</w:t>
            </w:r>
          </w:p>
        </w:tc>
        <w:tc>
          <w:tcPr>
            <w:tcW w:type="dxa" w:w="2200"/>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بوابة شروط الاعتراف</w:t>
            </w:r>
          </w:p>
        </w:tc>
      </w:tr>
    </w:tbl>
    <w:p>
      <w:pPr>
        <w:pStyle w:val="Heading2"/>
        <w:keepNext/>
        <w:bidi/>
        <w:spacing w:after="140" w:before="280"/>
        <w:jc w:val="right"/>
      </w:pPr>
      <w:r>
        <w:rPr>
          <w:b/>
          <w:bCs/>
          <w:rtl/>
        </w:rPr>
        <w:t xml:space="preserve">توزيع الملكية الوثائقية — لا عقدةَ يتيمةً ولا مزدوجة</w:t>
      </w:r>
    </w:p>
    <w:p>
      <w:pPr>
        <w:bidi/>
        <w:spacing w:after="130" w:line="330"/>
        <w:jc w:val="right"/>
      </w:pPr>
      <w:r>
        <w:rPr>
          <w:b/>
          <w:bCs/>
          <w:i w:val="false"/>
          <w:iCs w:val="false"/>
          <w:sz w:val="24"/>
          <w:szCs w:val="24"/>
          <w:rtl/>
        </w:rPr>
        <w:t xml:space="preserve">هذه الوثيقة تربط مخرجات الوثيقتين الأخريين بمدخلاتهما وتسجّل عقد التكامل بينهما — ولا تعيد تعريف قواعد العمل داخل المبيعات أو الموردين، ولا تصير مصدرَ حقيقةٍ موازيًا لدورتيهما. فما تحكمه وثيقةُ مواءمةٍ يبقى محكومًا بها، وما تحكمه هذه الوثيقة هو الربط والملكية والسلّم ودليل الإغلاق.</w:t>
      </w:r>
    </w:p>
    <w:p>
      <w:pPr>
        <w:bidi/>
        <w:spacing w:after="130" w:line="330"/>
        <w:jc w:val="right"/>
      </w:pPr>
      <w:r>
        <w:rPr>
          <w:b w:val="false"/>
          <w:bCs w:val="false"/>
          <w:i w:val="false"/>
          <w:iCs w:val="false"/>
          <w:sz w:val="24"/>
          <w:szCs w:val="24"/>
          <w:rtl/>
        </w:rPr>
        <w:t xml:space="preserve">كل عقدةٍ من التسع والعشرين لها وثيقةٌ واحدةٌ تحكمها ولا أكثر. وما تحكمه وثيقةُ مواءمةٍ أخرى يُقرأ هنا سياقًا ولا يُعاد تعريفه — فلا تتعارض الوثائق الثلاث ولا تترك بينها فجوة:</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400"/>
        <w:gridCol w:w="3900"/>
        <w:gridCol w:w="2100"/>
        <w:gridCol w:w="1400"/>
      </w:tblGrid>
      <w:tr>
        <w:trPr>
          <w:cantSplit/>
          <w:tblHeader/>
        </w:trPr>
        <w:tc>
          <w:tcPr>
            <w:tcW w:type="dxa" w:w="24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العقد</w:t>
            </w:r>
          </w:p>
        </w:tc>
        <w:tc>
          <w:tcPr>
            <w:tcW w:type="dxa" w:w="3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مضمونها</w:t>
            </w:r>
          </w:p>
        </w:tc>
        <w:tc>
          <w:tcPr>
            <w:tcW w:type="dxa" w:w="21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الوثيقة الحاكمة</w:t>
            </w:r>
          </w:p>
        </w:tc>
        <w:tc>
          <w:tcPr>
            <w:tcW w:type="dxa" w:w="14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الحالة</w:t>
            </w:r>
          </w:p>
        </w:tc>
      </w:tr>
      <w:tr>
        <w:trPr>
          <w:cantSplit/>
        </w:trPr>
        <w:tc>
          <w:tcPr>
            <w:tcW w:type="dxa" w:w="2400"/>
            <w:tcMar>
              <w:top w:type="dxa" w:w="70"/>
              <w:left w:type="dxa" w:w="95"/>
              <w:bottom w:type="dxa" w:w="70"/>
              <w:right w:type="dxa" w:w="95"/>
            </w:tcMar>
            <w:vAlign w:val="center"/>
          </w:tcPr>
          <w:p>
            <w:pPr>
              <w:bidi/>
              <w:spacing w:after="20" w:line="280"/>
              <w:jc w:val="right"/>
            </w:pPr>
            <w:r>
              <w:rPr>
                <w:b/>
                <w:bCs/>
                <w:sz w:val="20"/>
                <w:szCs w:val="20"/>
                <w:rtl/>
              </w:rPr>
              <w:t xml:space="preserve">العقد 1 إلى 14</w:t>
            </w:r>
          </w:p>
        </w:tc>
        <w:tc>
          <w:tcPr>
            <w:tcW w:type="dxa" w:w="3900"/>
            <w:tcMar>
              <w:top w:type="dxa" w:w="70"/>
              <w:left w:type="dxa" w:w="95"/>
              <w:bottom w:type="dxa" w:w="70"/>
              <w:right w:type="dxa" w:w="95"/>
            </w:tcMar>
            <w:vAlign w:val="center"/>
          </w:tcPr>
          <w:p>
            <w:pPr>
              <w:bidi/>
              <w:spacing w:after="20" w:line="280"/>
              <w:jc w:val="right"/>
            </w:pPr>
            <w:r>
              <w:rPr>
                <w:b w:val="false"/>
                <w:bCs w:val="false"/>
                <w:sz w:val="19"/>
                <w:szCs w:val="19"/>
                <w:rtl/>
              </w:rPr>
              <w:t xml:space="preserve">سلسلة الوحدات من الواقعة إلى الاعتماد المالي النهائي والكشوف</w:t>
            </w:r>
          </w:p>
        </w:tc>
        <w:tc>
          <w:tcPr>
            <w:tcW w:type="dxa" w:w="2100"/>
            <w:tcMar>
              <w:top w:type="dxa" w:w="70"/>
              <w:left w:type="dxa" w:w="95"/>
              <w:bottom w:type="dxa" w:w="70"/>
              <w:right w:type="dxa" w:w="95"/>
            </w:tcMar>
            <w:vAlign w:val="center"/>
          </w:tcPr>
          <w:p>
            <w:pPr>
              <w:bidi/>
              <w:spacing w:after="20" w:line="280"/>
              <w:jc w:val="right"/>
            </w:pPr>
            <w:r>
              <w:rPr>
                <w:b/>
                <w:bCs/>
                <w:color w:val="1F3B57"/>
                <w:sz w:val="19"/>
                <w:szCs w:val="19"/>
                <w:rtl/>
              </w:rPr>
              <w:t xml:space="preserve">هذه الوثيقة</w:t>
            </w:r>
          </w:p>
        </w:tc>
        <w:tc>
          <w:tcPr>
            <w:tcW w:type="dxa" w:w="1400"/>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تسع عقد غير مبنية</w:t>
            </w:r>
          </w:p>
        </w:tc>
      </w:tr>
      <w:tr>
        <w:trPr>
          <w:cantSplit/>
        </w:trPr>
        <w:tc>
          <w:tcPr>
            <w:tcW w:type="dxa" w:w="24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العقدة 15</w:t>
            </w:r>
          </w:p>
        </w:tc>
        <w:tc>
          <w:tcPr>
            <w:tcW w:type="dxa" w:w="39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المستخلصات والمطالبات التجارية</w:t>
            </w:r>
          </w:p>
        </w:tc>
        <w:tc>
          <w:tcPr>
            <w:tcW w:type="dxa" w:w="2100"/>
            <w:shd w:fill="F2F6FA" w:color="auto" w:val="clear"/>
            <w:tcMar>
              <w:top w:type="dxa" w:w="70"/>
              <w:left w:type="dxa" w:w="95"/>
              <w:bottom w:type="dxa" w:w="70"/>
              <w:right w:type="dxa" w:w="95"/>
            </w:tcMar>
            <w:vAlign w:val="center"/>
          </w:tcPr>
          <w:p>
            <w:pPr>
              <w:bidi/>
              <w:spacing w:after="20" w:line="280"/>
              <w:jc w:val="right"/>
            </w:pPr>
            <w:r>
              <w:rPr>
                <w:b/>
                <w:bCs/>
                <w:color w:val="1F3B57"/>
                <w:sz w:val="19"/>
                <w:szCs w:val="19"/>
                <w:rtl/>
              </w:rPr>
              <w:t xml:space="preserve">وثيقة مواءمة المبيعات</w:t>
            </w:r>
          </w:p>
        </w:tc>
        <w:tc>
          <w:tcPr>
            <w:tcW w:type="dxa" w:w="14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مبنية — وتُقرأ هنا سياقًا</w:t>
            </w:r>
          </w:p>
        </w:tc>
      </w:tr>
      <w:tr>
        <w:trPr>
          <w:cantSplit/>
        </w:trPr>
        <w:tc>
          <w:tcPr>
            <w:tcW w:type="dxa" w:w="2400"/>
            <w:tcMar>
              <w:top w:type="dxa" w:w="70"/>
              <w:left w:type="dxa" w:w="95"/>
              <w:bottom w:type="dxa" w:w="70"/>
              <w:right w:type="dxa" w:w="95"/>
            </w:tcMar>
            <w:vAlign w:val="center"/>
          </w:tcPr>
          <w:p>
            <w:pPr>
              <w:bidi/>
              <w:spacing w:after="20" w:line="280"/>
              <w:jc w:val="right"/>
            </w:pPr>
            <w:r>
              <w:rPr>
                <w:b/>
                <w:bCs/>
                <w:sz w:val="20"/>
                <w:szCs w:val="20"/>
                <w:rtl/>
              </w:rPr>
              <w:t xml:space="preserve">العقد 16 إلى 21</w:t>
            </w:r>
          </w:p>
        </w:tc>
        <w:tc>
          <w:tcPr>
            <w:tcW w:type="dxa" w:w="3900"/>
            <w:tcMar>
              <w:top w:type="dxa" w:w="70"/>
              <w:left w:type="dxa" w:w="95"/>
              <w:bottom w:type="dxa" w:w="70"/>
              <w:right w:type="dxa" w:w="95"/>
            </w:tcMar>
            <w:vAlign w:val="center"/>
          </w:tcPr>
          <w:p>
            <w:pPr>
              <w:bidi/>
              <w:spacing w:after="20" w:line="280"/>
              <w:jc w:val="right"/>
            </w:pPr>
            <w:r>
              <w:rPr>
                <w:b w:val="false"/>
                <w:bCs w:val="false"/>
                <w:sz w:val="19"/>
                <w:szCs w:val="19"/>
                <w:rtl/>
              </w:rPr>
              <w:t xml:space="preserve">رحلة الإيراد: الاستحقاق والإنجاز والفاتورة والقبض وكشف العميل</w:t>
            </w:r>
          </w:p>
        </w:tc>
        <w:tc>
          <w:tcPr>
            <w:tcW w:type="dxa" w:w="2100"/>
            <w:tcMar>
              <w:top w:type="dxa" w:w="70"/>
              <w:left w:type="dxa" w:w="95"/>
              <w:bottom w:type="dxa" w:w="70"/>
              <w:right w:type="dxa" w:w="95"/>
            </w:tcMar>
            <w:vAlign w:val="center"/>
          </w:tcPr>
          <w:p>
            <w:pPr>
              <w:bidi/>
              <w:spacing w:after="20" w:line="280"/>
              <w:jc w:val="right"/>
            </w:pPr>
            <w:r>
              <w:rPr>
                <w:b/>
                <w:bCs/>
                <w:color w:val="1F3B57"/>
                <w:sz w:val="19"/>
                <w:szCs w:val="19"/>
                <w:rtl/>
              </w:rPr>
              <w:t xml:space="preserve">هذه الوثيقة</w:t>
            </w:r>
          </w:p>
        </w:tc>
        <w:tc>
          <w:tcPr>
            <w:tcW w:type="dxa" w:w="1400"/>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أربع عقد غير مبنية</w:t>
            </w:r>
          </w:p>
        </w:tc>
      </w:tr>
      <w:tr>
        <w:trPr>
          <w:cantSplit/>
        </w:trPr>
        <w:tc>
          <w:tcPr>
            <w:tcW w:type="dxa" w:w="24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العقدتان 22 و23</w:t>
            </w:r>
          </w:p>
        </w:tc>
        <w:tc>
          <w:tcPr>
            <w:tcW w:type="dxa" w:w="39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التسويات وتوليد التزامات عقد المورد</w:t>
            </w:r>
          </w:p>
        </w:tc>
        <w:tc>
          <w:tcPr>
            <w:tcW w:type="dxa" w:w="2100"/>
            <w:shd w:fill="F2F6FA" w:color="auto" w:val="clear"/>
            <w:tcMar>
              <w:top w:type="dxa" w:w="70"/>
              <w:left w:type="dxa" w:w="95"/>
              <w:bottom w:type="dxa" w:w="70"/>
              <w:right w:type="dxa" w:w="95"/>
            </w:tcMar>
            <w:vAlign w:val="center"/>
          </w:tcPr>
          <w:p>
            <w:pPr>
              <w:bidi/>
              <w:spacing w:after="20" w:line="280"/>
              <w:jc w:val="right"/>
            </w:pPr>
            <w:r>
              <w:rPr>
                <w:b/>
                <w:bCs/>
                <w:color w:val="1F3B57"/>
                <w:sz w:val="19"/>
                <w:szCs w:val="19"/>
                <w:rtl/>
              </w:rPr>
              <w:t xml:space="preserve">وثيقة مواءمة الموردين</w:t>
            </w:r>
          </w:p>
        </w:tc>
        <w:tc>
          <w:tcPr>
            <w:tcW w:type="dxa" w:w="14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واحدة مبنية وواحدة غير مبنية</w:t>
            </w:r>
          </w:p>
        </w:tc>
      </w:tr>
      <w:tr>
        <w:trPr>
          <w:cantSplit/>
        </w:trPr>
        <w:tc>
          <w:tcPr>
            <w:tcW w:type="dxa" w:w="2400"/>
            <w:tcMar>
              <w:top w:type="dxa" w:w="70"/>
              <w:left w:type="dxa" w:w="95"/>
              <w:bottom w:type="dxa" w:w="70"/>
              <w:right w:type="dxa" w:w="95"/>
            </w:tcMar>
            <w:vAlign w:val="center"/>
          </w:tcPr>
          <w:p>
            <w:pPr>
              <w:bidi/>
              <w:spacing w:after="20" w:line="280"/>
              <w:jc w:val="right"/>
            </w:pPr>
            <w:r>
              <w:rPr>
                <w:b/>
                <w:bCs/>
                <w:sz w:val="20"/>
                <w:szCs w:val="20"/>
                <w:rtl/>
              </w:rPr>
              <w:t xml:space="preserve">العقد 24 إلى 27</w:t>
            </w:r>
          </w:p>
        </w:tc>
        <w:tc>
          <w:tcPr>
            <w:tcW w:type="dxa" w:w="3900"/>
            <w:tcMar>
              <w:top w:type="dxa" w:w="70"/>
              <w:left w:type="dxa" w:w="95"/>
              <w:bottom w:type="dxa" w:w="70"/>
              <w:right w:type="dxa" w:w="95"/>
            </w:tcMar>
            <w:vAlign w:val="center"/>
          </w:tcPr>
          <w:p>
            <w:pPr>
              <w:bidi/>
              <w:spacing w:after="20" w:line="280"/>
              <w:jc w:val="right"/>
            </w:pPr>
            <w:r>
              <w:rPr>
                <w:b w:val="false"/>
                <w:bCs w:val="false"/>
                <w:sz w:val="19"/>
                <w:szCs w:val="19"/>
                <w:rtl/>
              </w:rPr>
              <w:t xml:space="preserve">طلب الدفع والصرف والتوثيق وكشف المورد</w:t>
            </w:r>
          </w:p>
        </w:tc>
        <w:tc>
          <w:tcPr>
            <w:tcW w:type="dxa" w:w="2100"/>
            <w:tcMar>
              <w:top w:type="dxa" w:w="70"/>
              <w:left w:type="dxa" w:w="95"/>
              <w:bottom w:type="dxa" w:w="70"/>
              <w:right w:type="dxa" w:w="95"/>
            </w:tcMar>
            <w:vAlign w:val="center"/>
          </w:tcPr>
          <w:p>
            <w:pPr>
              <w:bidi/>
              <w:spacing w:after="20" w:line="280"/>
              <w:jc w:val="right"/>
            </w:pPr>
            <w:r>
              <w:rPr>
                <w:b/>
                <w:bCs/>
                <w:color w:val="1F3B57"/>
                <w:sz w:val="19"/>
                <w:szCs w:val="19"/>
                <w:rtl/>
              </w:rPr>
              <w:t xml:space="preserve">هذه الوثيقة</w:t>
            </w:r>
          </w:p>
        </w:tc>
        <w:tc>
          <w:tcPr>
            <w:tcW w:type="dxa" w:w="1400"/>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عقدتان غير مبنيتان</w:t>
            </w:r>
          </w:p>
        </w:tc>
      </w:tr>
      <w:tr>
        <w:trPr>
          <w:cantSplit/>
        </w:trPr>
        <w:tc>
          <w:tcPr>
            <w:tcW w:type="dxa" w:w="24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العقدتان 28 و29</w:t>
            </w:r>
          </w:p>
        </w:tc>
        <w:tc>
          <w:tcPr>
            <w:tcW w:type="dxa" w:w="39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استحقاق المشغّل وبوابة شروط الاعتراف</w:t>
            </w:r>
          </w:p>
        </w:tc>
        <w:tc>
          <w:tcPr>
            <w:tcW w:type="dxa" w:w="2100"/>
            <w:shd w:fill="F2F6FA" w:color="auto" w:val="clear"/>
            <w:tcMar>
              <w:top w:type="dxa" w:w="70"/>
              <w:left w:type="dxa" w:w="95"/>
              <w:bottom w:type="dxa" w:w="70"/>
              <w:right w:type="dxa" w:w="95"/>
            </w:tcMar>
            <w:vAlign w:val="center"/>
          </w:tcPr>
          <w:p>
            <w:pPr>
              <w:bidi/>
              <w:spacing w:after="20" w:line="280"/>
              <w:jc w:val="right"/>
            </w:pPr>
            <w:r>
              <w:rPr>
                <w:b/>
                <w:bCs/>
                <w:color w:val="1F3B57"/>
                <w:sz w:val="19"/>
                <w:szCs w:val="19"/>
                <w:rtl/>
              </w:rPr>
              <w:t xml:space="preserve">هذه الوثيقة سياقًا · والمالك القوى التشغيلية والمالية</w:t>
            </w:r>
          </w:p>
        </w:tc>
        <w:tc>
          <w:tcPr>
            <w:tcW w:type="dxa" w:w="14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8"/>
                <w:szCs w:val="18"/>
                <w:rtl/>
              </w:rPr>
              <w:t xml:space="preserve">مبنيتان</w:t>
            </w:r>
          </w:p>
        </w:tc>
      </w:tr>
    </w:tbl>
    <w:p>
      <w:r>
        <w:br w:type="page"/>
      </w:r>
    </w:p>
    <w:p>
      <w:pPr>
        <w:pStyle w:val="Heading1"/>
        <w:keepNext/>
        <w:bidi/>
        <w:spacing w:after="180" w:before="360"/>
        <w:jc w:val="right"/>
      </w:pPr>
      <w:r>
        <w:rPr>
          <w:b/>
          <w:bCs/>
          <w:rtl/>
        </w:rPr>
        <w:t xml:space="preserve">الباب الثالث — موجات البناء السبع</w:t>
      </w:r>
    </w:p>
    <w:p>
      <w:pPr>
        <w:bidi/>
        <w:spacing w:after="130" w:line="330"/>
        <w:jc w:val="right"/>
      </w:pPr>
      <w:r>
        <w:rPr>
          <w:b w:val="false"/>
          <w:bCs w:val="false"/>
          <w:i w:val="false"/>
          <w:iCs w:val="false"/>
          <w:sz w:val="24"/>
          <w:szCs w:val="24"/>
          <w:rtl/>
        </w:rPr>
        <w:t xml:space="preserve">الستَّ عشرةَ عقدةً غير المبنية لا تُبنى دفعةً واحدة ولا بترتيبٍ اعتباطي: ترتيبُها هو ترتيبُ السلسلة نفسها، فلا تُبنى عقدةٌ قبل التي تغذّيها. وكل موجةٍ لها دليلُ إغلاقٍ يُشغَّل قبل الانتقال إلى التي بعدها.</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200"/>
        <w:gridCol w:w="3000"/>
        <w:gridCol w:w="3200"/>
        <w:gridCol w:w="1400"/>
      </w:tblGrid>
      <w:tr>
        <w:trPr>
          <w:cantSplit/>
          <w:tblHeader/>
        </w:trPr>
        <w:tc>
          <w:tcPr>
            <w:tcW w:type="dxa" w:w="2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الموجة</w:t>
            </w:r>
          </w:p>
        </w:tc>
        <w:tc>
          <w:tcPr>
            <w:tcW w:type="dxa" w:w="3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ما تُبنى فيها</w:t>
            </w:r>
          </w:p>
        </w:tc>
        <w:tc>
          <w:tcPr>
            <w:tcW w:type="dxa" w:w="3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لماذا هذا الترتيب</w:t>
            </w:r>
          </w:p>
        </w:tc>
        <w:tc>
          <w:tcPr>
            <w:tcW w:type="dxa" w:w="14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العدد</w:t>
            </w:r>
          </w:p>
        </w:tc>
      </w:tr>
      <w:tr>
        <w:trPr>
          <w:cantSplit/>
        </w:trPr>
        <w:tc>
          <w:tcPr>
            <w:tcW w:type="dxa" w:w="2200"/>
            <w:tcMar>
              <w:top w:type="dxa" w:w="70"/>
              <w:left w:type="dxa" w:w="95"/>
              <w:bottom w:type="dxa" w:w="70"/>
              <w:right w:type="dxa" w:w="95"/>
            </w:tcMar>
            <w:vAlign w:val="center"/>
          </w:tcPr>
          <w:p>
            <w:pPr>
              <w:bidi/>
              <w:spacing w:after="20" w:line="280"/>
              <w:jc w:val="right"/>
            </w:pPr>
            <w:r>
              <w:rPr>
                <w:b/>
                <w:bCs/>
                <w:sz w:val="21"/>
                <w:szCs w:val="21"/>
                <w:rtl/>
              </w:rPr>
              <w:t xml:space="preserve">الموجة الأولى</w:t>
            </w:r>
          </w:p>
          <w:p>
            <w:pPr>
              <w:bidi/>
              <w:spacing w:after="20" w:line="280"/>
              <w:jc w:val="right"/>
            </w:pPr>
            <w:r>
              <w:rPr>
                <w:b w:val="false"/>
                <w:bCs w:val="false"/>
                <w:color w:val="3F5265"/>
                <w:sz w:val="18"/>
                <w:szCs w:val="18"/>
                <w:rtl/>
              </w:rPr>
              <w:t xml:space="preserve">قلب السلسلة التشغيلي</w:t>
            </w:r>
          </w:p>
        </w:tc>
        <w:tc>
          <w:tcPr>
            <w:tcW w:type="dxa" w:w="3000"/>
            <w:tcMar>
              <w:top w:type="dxa" w:w="70"/>
              <w:left w:type="dxa" w:w="95"/>
              <w:bottom w:type="dxa" w:w="70"/>
              <w:right w:type="dxa" w:w="95"/>
            </w:tcMar>
            <w:vAlign w:val="center"/>
          </w:tcPr>
          <w:p>
            <w:pPr>
              <w:bidi/>
              <w:spacing w:after="20" w:line="280"/>
              <w:jc w:val="right"/>
            </w:pPr>
            <w:r>
              <w:rPr>
                <w:b w:val="false"/>
                <w:bCs w:val="false"/>
                <w:sz w:val="19"/>
                <w:szCs w:val="19"/>
                <w:rtl/>
              </w:rPr>
              <w:t xml:space="preserve">إدخال وحدات العمل اليومية · الاعتماد اليومي لرفعها</w:t>
            </w:r>
          </w:p>
          <w:p>
            <w:pPr>
              <w:bidi w:val="false"/>
              <w:spacing w:after="20" w:line="280"/>
              <w:jc w:val="left"/>
            </w:pPr>
            <w:r>
              <w:rPr>
                <w:b w:val="false"/>
                <w:bCs w:val="false"/>
                <w:color w:val="5A6B7B"/>
                <w:sz w:val="18"/>
                <w:szCs w:val="18"/>
                <w:rtl w:val="false"/>
              </w:rPr>
              <w:t xml:space="preserve">unit_entry</w:t>
            </w:r>
            <w:r>
              <w:rPr>
                <w:b w:val="false"/>
                <w:bCs w:val="false"/>
                <w:color w:val="5A6B7B"/>
                <w:sz w:val="18"/>
                <w:szCs w:val="18"/>
                <w:rtl/>
              </w:rPr>
              <w:t xml:space="preserve"> · </w:t>
            </w:r>
            <w:r>
              <w:rPr>
                <w:b w:val="false"/>
                <w:bCs w:val="false"/>
                <w:color w:val="5A6B7B"/>
                <w:sz w:val="18"/>
                <w:szCs w:val="18"/>
                <w:rtl w:val="false"/>
              </w:rPr>
              <w:t xml:space="preserve">unit_daily_approve</w:t>
            </w:r>
          </w:p>
        </w:tc>
        <w:tc>
          <w:tcPr>
            <w:tcW w:type="dxa" w:w="3200"/>
            <w:tcMar>
              <w:top w:type="dxa" w:w="70"/>
              <w:left w:type="dxa" w:w="95"/>
              <w:bottom w:type="dxa" w:w="70"/>
              <w:right w:type="dxa" w:w="95"/>
            </w:tcMar>
            <w:vAlign w:val="center"/>
          </w:tcPr>
          <w:p>
            <w:pPr>
              <w:bidi/>
              <w:spacing w:after="20" w:line="280"/>
              <w:jc w:val="right"/>
            </w:pPr>
            <w:r>
              <w:rPr>
                <w:b w:val="false"/>
                <w:bCs w:val="false"/>
                <w:sz w:val="19"/>
                <w:szCs w:val="19"/>
                <w:rtl/>
              </w:rPr>
              <w:t xml:space="preserve">بلا هاتين لا تدخل واقعةٌ السلسلةَ أصلًا، ويبقى التايم شيت مدخلًا بلا مخرج</w:t>
            </w:r>
          </w:p>
        </w:tc>
        <w:tc>
          <w:tcPr>
            <w:tcW w:type="dxa" w:w="1400"/>
            <w:tcMar>
              <w:top w:type="dxa" w:w="70"/>
              <w:left w:type="dxa" w:w="95"/>
              <w:bottom w:type="dxa" w:w="70"/>
              <w:right w:type="dxa" w:w="95"/>
            </w:tcMar>
            <w:vAlign w:val="center"/>
          </w:tcPr>
          <w:p>
            <w:pPr>
              <w:bidi/>
              <w:spacing w:after="20" w:line="280"/>
              <w:jc w:val="center"/>
            </w:pPr>
            <w:r>
              <w:rPr>
                <w:b/>
                <w:bCs/>
                <w:color w:val="1F3B57"/>
                <w:sz w:val="22"/>
                <w:szCs w:val="22"/>
                <w:rtl/>
              </w:rPr>
              <w:t xml:space="preserve">2</w:t>
            </w:r>
          </w:p>
          <w:p>
            <w:pPr>
              <w:bidi/>
              <w:spacing w:after="20" w:line="280"/>
              <w:jc w:val="center"/>
            </w:pPr>
            <w:r>
              <w:rPr>
                <w:b w:val="false"/>
                <w:bCs w:val="false"/>
                <w:sz w:val="18"/>
                <w:szCs w:val="18"/>
                <w:rtl/>
              </w:rPr>
              <w:t xml:space="preserve"> </w:t>
            </w:r>
          </w:p>
        </w:tc>
      </w:tr>
      <w:tr>
        <w:trPr>
          <w:cantSplit/>
        </w:trPr>
        <w:tc>
          <w:tcPr>
            <w:tcW w:type="dxa" w:w="22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الموجة الثانية</w:t>
            </w:r>
          </w:p>
          <w:p>
            <w:pPr>
              <w:bidi/>
              <w:spacing w:after="20" w:line="280"/>
              <w:jc w:val="right"/>
            </w:pPr>
            <w:r>
              <w:rPr>
                <w:b w:val="false"/>
                <w:bCs w:val="false"/>
                <w:color w:val="3F5265"/>
                <w:sz w:val="18"/>
                <w:szCs w:val="18"/>
                <w:rtl/>
              </w:rPr>
              <w:t xml:space="preserve">بوابات النطاقات الثلاثة</w:t>
            </w:r>
          </w:p>
        </w:tc>
        <w:tc>
          <w:tcPr>
            <w:tcW w:type="dxa" w:w="3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بوابة اعتماد المبيعات · اعتماد وحدات الموردين · اعتماد وحدات المشغّلين</w:t>
            </w:r>
          </w:p>
          <w:p>
            <w:pPr>
              <w:bidi w:val="false"/>
              <w:spacing w:after="20" w:line="280"/>
              <w:jc w:val="left"/>
            </w:pPr>
            <w:r>
              <w:rPr>
                <w:b w:val="false"/>
                <w:bCs w:val="false"/>
                <w:color w:val="5A6B7B"/>
                <w:sz w:val="18"/>
                <w:szCs w:val="18"/>
                <w:rtl w:val="false"/>
              </w:rPr>
              <w:t xml:space="preserve">unit_sales_gate</w:t>
            </w:r>
            <w:r>
              <w:rPr>
                <w:b w:val="false"/>
                <w:bCs w:val="false"/>
                <w:color w:val="5A6B7B"/>
                <w:sz w:val="18"/>
                <w:szCs w:val="18"/>
                <w:rtl/>
              </w:rPr>
              <w:t xml:space="preserve"> · </w:t>
            </w:r>
            <w:r>
              <w:rPr>
                <w:b w:val="false"/>
                <w:bCs w:val="false"/>
                <w:color w:val="5A6B7B"/>
                <w:sz w:val="18"/>
                <w:szCs w:val="18"/>
                <w:rtl w:val="false"/>
              </w:rPr>
              <w:t xml:space="preserve">unit_supplier_approve</w:t>
            </w:r>
            <w:r>
              <w:rPr>
                <w:b w:val="false"/>
                <w:bCs w:val="false"/>
                <w:color w:val="5A6B7B"/>
                <w:sz w:val="18"/>
                <w:szCs w:val="18"/>
                <w:rtl/>
              </w:rPr>
              <w:t xml:space="preserve"> · </w:t>
            </w:r>
            <w:r>
              <w:rPr>
                <w:b w:val="false"/>
                <w:bCs w:val="false"/>
                <w:color w:val="5A6B7B"/>
                <w:sz w:val="18"/>
                <w:szCs w:val="18"/>
                <w:rtl w:val="false"/>
              </w:rPr>
              <w:t xml:space="preserve">unit_workforce_approve</w:t>
            </w:r>
          </w:p>
        </w:tc>
        <w:tc>
          <w:tcPr>
            <w:tcW w:type="dxa" w:w="32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هي التي تحوّل الواقعة الواحدة إلى ثلاث قراءات معتمَدة بثلاثة سلاليم</w:t>
            </w:r>
          </w:p>
        </w:tc>
        <w:tc>
          <w:tcPr>
            <w:tcW w:type="dxa" w:w="1400"/>
            <w:shd w:fill="F2F6FA" w:color="auto" w:val="clear"/>
            <w:tcMar>
              <w:top w:type="dxa" w:w="70"/>
              <w:left w:type="dxa" w:w="95"/>
              <w:bottom w:type="dxa" w:w="70"/>
              <w:right w:type="dxa" w:w="95"/>
            </w:tcMar>
            <w:vAlign w:val="center"/>
          </w:tcPr>
          <w:p>
            <w:pPr>
              <w:bidi/>
              <w:spacing w:after="20" w:line="280"/>
              <w:jc w:val="center"/>
            </w:pPr>
            <w:r>
              <w:rPr>
                <w:b/>
                <w:bCs/>
                <w:color w:val="1F3B57"/>
                <w:sz w:val="22"/>
                <w:szCs w:val="22"/>
                <w:rtl/>
              </w:rPr>
              <w:t xml:space="preserve">3</w:t>
            </w:r>
          </w:p>
          <w:p>
            <w:pPr>
              <w:bidi/>
              <w:spacing w:after="20" w:line="280"/>
              <w:jc w:val="center"/>
            </w:pPr>
            <w:r>
              <w:rPr>
                <w:b w:val="false"/>
                <w:bCs w:val="false"/>
                <w:sz w:val="18"/>
                <w:szCs w:val="18"/>
                <w:rtl/>
              </w:rPr>
              <w:t xml:space="preserve"> </w:t>
            </w:r>
          </w:p>
        </w:tc>
      </w:tr>
      <w:tr>
        <w:trPr>
          <w:cantSplit/>
        </w:trPr>
        <w:tc>
          <w:tcPr>
            <w:tcW w:type="dxa" w:w="2200"/>
            <w:tcMar>
              <w:top w:type="dxa" w:w="70"/>
              <w:left w:type="dxa" w:w="95"/>
              <w:bottom w:type="dxa" w:w="70"/>
              <w:right w:type="dxa" w:w="95"/>
            </w:tcMar>
            <w:vAlign w:val="center"/>
          </w:tcPr>
          <w:p>
            <w:pPr>
              <w:bidi/>
              <w:spacing w:after="20" w:line="280"/>
              <w:jc w:val="right"/>
            </w:pPr>
            <w:r>
              <w:rPr>
                <w:b/>
                <w:bCs/>
                <w:sz w:val="21"/>
                <w:szCs w:val="21"/>
                <w:rtl/>
              </w:rPr>
              <w:t xml:space="preserve">الموجة الثالثة</w:t>
            </w:r>
          </w:p>
          <w:p>
            <w:pPr>
              <w:bidi/>
              <w:spacing w:after="20" w:line="280"/>
              <w:jc w:val="right"/>
            </w:pPr>
            <w:r>
              <w:rPr>
                <w:b w:val="false"/>
                <w:bCs w:val="false"/>
                <w:color w:val="3F5265"/>
                <w:sz w:val="18"/>
                <w:szCs w:val="18"/>
                <w:rtl/>
              </w:rPr>
              <w:t xml:space="preserve">بوابة المالية</w:t>
            </w:r>
          </w:p>
        </w:tc>
        <w:tc>
          <w:tcPr>
            <w:tcW w:type="dxa" w:w="3000"/>
            <w:tcMar>
              <w:top w:type="dxa" w:w="70"/>
              <w:left w:type="dxa" w:w="95"/>
              <w:bottom w:type="dxa" w:w="70"/>
              <w:right w:type="dxa" w:w="95"/>
            </w:tcMar>
            <w:vAlign w:val="center"/>
          </w:tcPr>
          <w:p>
            <w:pPr>
              <w:bidi/>
              <w:spacing w:after="20" w:line="280"/>
              <w:jc w:val="right"/>
            </w:pPr>
            <w:r>
              <w:rPr>
                <w:b w:val="false"/>
                <w:bCs w:val="false"/>
                <w:sz w:val="19"/>
                <w:szCs w:val="19"/>
                <w:rtl/>
              </w:rPr>
              <w:t xml:space="preserve">الاعتماد المالي الأولي · الاعتماد المالي النهائي</w:t>
            </w:r>
          </w:p>
          <w:p>
            <w:pPr>
              <w:bidi w:val="false"/>
              <w:spacing w:after="20" w:line="280"/>
              <w:jc w:val="left"/>
            </w:pPr>
            <w:r>
              <w:rPr>
                <w:b w:val="false"/>
                <w:bCs w:val="false"/>
                <w:color w:val="5A6B7B"/>
                <w:sz w:val="18"/>
                <w:szCs w:val="18"/>
                <w:rtl w:val="false"/>
              </w:rPr>
              <w:t xml:space="preserve">unit_fin_prelim</w:t>
            </w:r>
            <w:r>
              <w:rPr>
                <w:b w:val="false"/>
                <w:bCs w:val="false"/>
                <w:color w:val="5A6B7B"/>
                <w:sz w:val="18"/>
                <w:szCs w:val="18"/>
                <w:rtl/>
              </w:rPr>
              <w:t xml:space="preserve"> · </w:t>
            </w:r>
            <w:r>
              <w:rPr>
                <w:b w:val="false"/>
                <w:bCs w:val="false"/>
                <w:color w:val="5A6B7B"/>
                <w:sz w:val="18"/>
                <w:szCs w:val="18"/>
                <w:rtl w:val="false"/>
              </w:rPr>
              <w:t xml:space="preserve">unit_fin_final</w:t>
            </w:r>
          </w:p>
        </w:tc>
        <w:tc>
          <w:tcPr>
            <w:tcW w:type="dxa" w:w="3200"/>
            <w:tcMar>
              <w:top w:type="dxa" w:w="70"/>
              <w:left w:type="dxa" w:w="95"/>
              <w:bottom w:type="dxa" w:w="70"/>
              <w:right w:type="dxa" w:w="95"/>
            </w:tcMar>
            <w:vAlign w:val="center"/>
          </w:tcPr>
          <w:p>
            <w:pPr>
              <w:bidi/>
              <w:spacing w:after="20" w:line="280"/>
              <w:jc w:val="right"/>
            </w:pPr>
            <w:r>
              <w:rPr>
                <w:b w:val="false"/>
                <w:bCs w:val="false"/>
                <w:sz w:val="19"/>
                <w:szCs w:val="19"/>
                <w:rtl/>
              </w:rPr>
              <w:t xml:space="preserve">لا أثر محاسبي مشروع قبلهما — وهما مفصل الفصل بين التشغيل والمحاسبة</w:t>
            </w:r>
          </w:p>
        </w:tc>
        <w:tc>
          <w:tcPr>
            <w:tcW w:type="dxa" w:w="1400"/>
            <w:tcMar>
              <w:top w:type="dxa" w:w="70"/>
              <w:left w:type="dxa" w:w="95"/>
              <w:bottom w:type="dxa" w:w="70"/>
              <w:right w:type="dxa" w:w="95"/>
            </w:tcMar>
            <w:vAlign w:val="center"/>
          </w:tcPr>
          <w:p>
            <w:pPr>
              <w:bidi/>
              <w:spacing w:after="20" w:line="280"/>
              <w:jc w:val="center"/>
            </w:pPr>
            <w:r>
              <w:rPr>
                <w:b/>
                <w:bCs/>
                <w:color w:val="1F3B57"/>
                <w:sz w:val="22"/>
                <w:szCs w:val="22"/>
                <w:rtl/>
              </w:rPr>
              <w:t xml:space="preserve">2</w:t>
            </w:r>
          </w:p>
          <w:p>
            <w:pPr>
              <w:bidi/>
              <w:spacing w:after="20" w:line="280"/>
              <w:jc w:val="center"/>
            </w:pPr>
            <w:r>
              <w:rPr>
                <w:b w:val="false"/>
                <w:bCs w:val="false"/>
                <w:sz w:val="18"/>
                <w:szCs w:val="18"/>
                <w:rtl/>
              </w:rPr>
              <w:t xml:space="preserve"> </w:t>
            </w:r>
          </w:p>
        </w:tc>
      </w:tr>
      <w:tr>
        <w:trPr>
          <w:cantSplit/>
        </w:trPr>
        <w:tc>
          <w:tcPr>
            <w:tcW w:type="dxa" w:w="22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الموجة الرابعة</w:t>
            </w:r>
          </w:p>
          <w:p>
            <w:pPr>
              <w:bidi/>
              <w:spacing w:after="20" w:line="280"/>
              <w:jc w:val="right"/>
            </w:pPr>
            <w:r>
              <w:rPr>
                <w:b w:val="false"/>
                <w:bCs w:val="false"/>
                <w:color w:val="3F5265"/>
                <w:sz w:val="18"/>
                <w:szCs w:val="18"/>
                <w:rtl/>
              </w:rPr>
              <w:t xml:space="preserve">الكشف والتصحيح</w:t>
            </w:r>
          </w:p>
        </w:tc>
        <w:tc>
          <w:tcPr>
            <w:tcW w:type="dxa" w:w="3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كشف التايم شيت — المشغّل · تصحيح الوحدات بالسلسلة الثلاثية</w:t>
            </w:r>
          </w:p>
          <w:p>
            <w:pPr>
              <w:bidi w:val="false"/>
              <w:spacing w:after="20" w:line="280"/>
              <w:jc w:val="left"/>
            </w:pPr>
            <w:r>
              <w:rPr>
                <w:b w:val="false"/>
                <w:bCs w:val="false"/>
                <w:color w:val="5A6B7B"/>
                <w:sz w:val="18"/>
                <w:szCs w:val="18"/>
                <w:rtl w:val="false"/>
              </w:rPr>
              <w:t xml:space="preserve">unit_statement_worker</w:t>
            </w:r>
            <w:r>
              <w:rPr>
                <w:b w:val="false"/>
                <w:bCs w:val="false"/>
                <w:color w:val="5A6B7B"/>
                <w:sz w:val="18"/>
                <w:szCs w:val="18"/>
                <w:rtl/>
              </w:rPr>
              <w:t xml:space="preserve"> · </w:t>
            </w:r>
            <w:r>
              <w:rPr>
                <w:b w:val="false"/>
                <w:bCs w:val="false"/>
                <w:color w:val="5A6B7B"/>
                <w:sz w:val="18"/>
                <w:szCs w:val="18"/>
                <w:rtl w:val="false"/>
              </w:rPr>
              <w:t xml:space="preserve">unit_correction</w:t>
            </w:r>
          </w:p>
        </w:tc>
        <w:tc>
          <w:tcPr>
            <w:tcW w:type="dxa" w:w="32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بلا التصحيح تُجمَّد الأخطاء، وبلا كشف المشغّل يبقى الطرف الثالث بلا مرآة</w:t>
            </w:r>
          </w:p>
        </w:tc>
        <w:tc>
          <w:tcPr>
            <w:tcW w:type="dxa" w:w="1400"/>
            <w:shd w:fill="F2F6FA" w:color="auto" w:val="clear"/>
            <w:tcMar>
              <w:top w:type="dxa" w:w="70"/>
              <w:left w:type="dxa" w:w="95"/>
              <w:bottom w:type="dxa" w:w="70"/>
              <w:right w:type="dxa" w:w="95"/>
            </w:tcMar>
            <w:vAlign w:val="center"/>
          </w:tcPr>
          <w:p>
            <w:pPr>
              <w:bidi/>
              <w:spacing w:after="20" w:line="280"/>
              <w:jc w:val="center"/>
            </w:pPr>
            <w:r>
              <w:rPr>
                <w:b/>
                <w:bCs/>
                <w:color w:val="1F3B57"/>
                <w:sz w:val="22"/>
                <w:szCs w:val="22"/>
                <w:rtl/>
              </w:rPr>
              <w:t xml:space="preserve">2</w:t>
            </w:r>
          </w:p>
          <w:p>
            <w:pPr>
              <w:bidi/>
              <w:spacing w:after="20" w:line="280"/>
              <w:jc w:val="center"/>
            </w:pPr>
            <w:r>
              <w:rPr>
                <w:b w:val="false"/>
                <w:bCs w:val="false"/>
                <w:sz w:val="18"/>
                <w:szCs w:val="18"/>
                <w:rtl/>
              </w:rPr>
              <w:t xml:space="preserve"> </w:t>
            </w:r>
          </w:p>
        </w:tc>
      </w:tr>
      <w:tr>
        <w:trPr>
          <w:cantSplit/>
        </w:trPr>
        <w:tc>
          <w:tcPr>
            <w:tcW w:type="dxa" w:w="2200"/>
            <w:tcMar>
              <w:top w:type="dxa" w:w="70"/>
              <w:left w:type="dxa" w:w="95"/>
              <w:bottom w:type="dxa" w:w="70"/>
              <w:right w:type="dxa" w:w="95"/>
            </w:tcMar>
            <w:vAlign w:val="center"/>
          </w:tcPr>
          <w:p>
            <w:pPr>
              <w:bidi/>
              <w:spacing w:after="20" w:line="280"/>
              <w:jc w:val="right"/>
            </w:pPr>
            <w:r>
              <w:rPr>
                <w:b/>
                <w:bCs/>
                <w:sz w:val="21"/>
                <w:szCs w:val="21"/>
                <w:rtl/>
              </w:rPr>
              <w:t xml:space="preserve">الموجة الخامسة</w:t>
            </w:r>
          </w:p>
          <w:p>
            <w:pPr>
              <w:bidi/>
              <w:spacing w:after="20" w:line="280"/>
              <w:jc w:val="right"/>
            </w:pPr>
            <w:r>
              <w:rPr>
                <w:b w:val="false"/>
                <w:bCs w:val="false"/>
                <w:color w:val="3F5265"/>
                <w:sz w:val="18"/>
                <w:szCs w:val="18"/>
                <w:rtl/>
              </w:rPr>
              <w:t xml:space="preserve">رحلة الإيراد</w:t>
            </w:r>
          </w:p>
        </w:tc>
        <w:tc>
          <w:tcPr>
            <w:tcW w:type="dxa" w:w="3000"/>
            <w:tcMar>
              <w:top w:type="dxa" w:w="70"/>
              <w:left w:type="dxa" w:w="95"/>
              <w:bottom w:type="dxa" w:w="70"/>
              <w:right w:type="dxa" w:w="95"/>
            </w:tcMar>
            <w:vAlign w:val="center"/>
          </w:tcPr>
          <w:p>
            <w:pPr>
              <w:bidi/>
              <w:spacing w:after="20" w:line="280"/>
              <w:jc w:val="right"/>
            </w:pPr>
            <w:r>
              <w:rPr>
                <w:b w:val="false"/>
                <w:bCs w:val="false"/>
                <w:sz w:val="19"/>
                <w:szCs w:val="19"/>
                <w:rtl/>
              </w:rPr>
              <w:t xml:space="preserve">توليد استحقاقات العقد · شهادة الإنجاز · فاتورة المطالبة</w:t>
            </w:r>
          </w:p>
          <w:p>
            <w:pPr>
              <w:bidi w:val="false"/>
              <w:spacing w:after="20" w:line="280"/>
              <w:jc w:val="left"/>
            </w:pPr>
            <w:r>
              <w:rPr>
                <w:b w:val="false"/>
                <w:bCs w:val="false"/>
                <w:color w:val="5A6B7B"/>
                <w:sz w:val="18"/>
                <w:szCs w:val="18"/>
                <w:rtl w:val="false"/>
              </w:rPr>
              <w:t xml:space="preserve">ar_accrual_gen</w:t>
            </w:r>
            <w:r>
              <w:rPr>
                <w:b w:val="false"/>
                <w:bCs w:val="false"/>
                <w:color w:val="5A6B7B"/>
                <w:sz w:val="18"/>
                <w:szCs w:val="18"/>
                <w:rtl/>
              </w:rPr>
              <w:t xml:space="preserve"> · </w:t>
            </w:r>
            <w:r>
              <w:rPr>
                <w:b w:val="false"/>
                <w:bCs w:val="false"/>
                <w:color w:val="5A6B7B"/>
                <w:sz w:val="18"/>
                <w:szCs w:val="18"/>
                <w:rtl w:val="false"/>
              </w:rPr>
              <w:t xml:space="preserve">ar_completion_cert</w:t>
            </w:r>
            <w:r>
              <w:rPr>
                <w:b w:val="false"/>
                <w:bCs w:val="false"/>
                <w:color w:val="5A6B7B"/>
                <w:sz w:val="18"/>
                <w:szCs w:val="18"/>
                <w:rtl/>
              </w:rPr>
              <w:t xml:space="preserve"> · </w:t>
            </w:r>
            <w:r>
              <w:rPr>
                <w:b w:val="false"/>
                <w:bCs w:val="false"/>
                <w:color w:val="5A6B7B"/>
                <w:sz w:val="18"/>
                <w:szCs w:val="18"/>
                <w:rtl w:val="false"/>
              </w:rPr>
              <w:t xml:space="preserve">ar_claim_invoice</w:t>
            </w:r>
          </w:p>
        </w:tc>
        <w:tc>
          <w:tcPr>
            <w:tcW w:type="dxa" w:w="3200"/>
            <w:tcMar>
              <w:top w:type="dxa" w:w="70"/>
              <w:left w:type="dxa" w:w="95"/>
              <w:bottom w:type="dxa" w:w="70"/>
              <w:right w:type="dxa" w:w="95"/>
            </w:tcMar>
            <w:vAlign w:val="center"/>
          </w:tcPr>
          <w:p>
            <w:pPr>
              <w:bidi/>
              <w:spacing w:after="20" w:line="280"/>
              <w:jc w:val="right"/>
            </w:pPr>
            <w:r>
              <w:rPr>
                <w:b w:val="false"/>
                <w:bCs w:val="false"/>
                <w:sz w:val="19"/>
                <w:szCs w:val="19"/>
                <w:rtl/>
              </w:rPr>
              <w:t xml:space="preserve">هي التي تحوّل المطالبة التجارية إلى إيرادٍ معترَفٍ به</w:t>
            </w:r>
          </w:p>
        </w:tc>
        <w:tc>
          <w:tcPr>
            <w:tcW w:type="dxa" w:w="1400"/>
            <w:tcMar>
              <w:top w:type="dxa" w:w="70"/>
              <w:left w:type="dxa" w:w="95"/>
              <w:bottom w:type="dxa" w:w="70"/>
              <w:right w:type="dxa" w:w="95"/>
            </w:tcMar>
            <w:vAlign w:val="center"/>
          </w:tcPr>
          <w:p>
            <w:pPr>
              <w:bidi/>
              <w:spacing w:after="20" w:line="280"/>
              <w:jc w:val="center"/>
            </w:pPr>
            <w:r>
              <w:rPr>
                <w:b/>
                <w:bCs/>
                <w:color w:val="1F3B57"/>
                <w:sz w:val="22"/>
                <w:szCs w:val="22"/>
                <w:rtl/>
              </w:rPr>
              <w:t xml:space="preserve">3</w:t>
            </w:r>
          </w:p>
          <w:p>
            <w:pPr>
              <w:bidi/>
              <w:spacing w:after="20" w:line="280"/>
              <w:jc w:val="center"/>
            </w:pPr>
            <w:r>
              <w:rPr>
                <w:b w:val="false"/>
                <w:bCs w:val="false"/>
                <w:sz w:val="18"/>
                <w:szCs w:val="18"/>
                <w:rtl/>
              </w:rPr>
              <w:t xml:space="preserve"> </w:t>
            </w:r>
          </w:p>
        </w:tc>
      </w:tr>
      <w:tr>
        <w:trPr>
          <w:cantSplit/>
        </w:trPr>
        <w:tc>
          <w:tcPr>
            <w:tcW w:type="dxa" w:w="22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الموجة السادسة</w:t>
            </w:r>
          </w:p>
          <w:p>
            <w:pPr>
              <w:bidi/>
              <w:spacing w:after="20" w:line="280"/>
              <w:jc w:val="right"/>
            </w:pPr>
            <w:r>
              <w:rPr>
                <w:b w:val="false"/>
                <w:bCs w:val="false"/>
                <w:color w:val="3F5265"/>
                <w:sz w:val="18"/>
                <w:szCs w:val="18"/>
                <w:rtl/>
              </w:rPr>
              <w:t xml:space="preserve">التحصيل</w:t>
            </w:r>
          </w:p>
        </w:tc>
        <w:tc>
          <w:tcPr>
            <w:tcW w:type="dxa" w:w="3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سندات القبض والتحصيل</w:t>
            </w:r>
          </w:p>
          <w:p>
            <w:pPr>
              <w:bidi w:val="false"/>
              <w:spacing w:after="20" w:line="280"/>
              <w:jc w:val="left"/>
            </w:pPr>
            <w:r>
              <w:rPr>
                <w:b w:val="false"/>
                <w:bCs w:val="false"/>
                <w:color w:val="5A6B7B"/>
                <w:sz w:val="18"/>
                <w:szCs w:val="18"/>
                <w:rtl w:val="false"/>
              </w:rPr>
              <w:t xml:space="preserve">tre_receipts</w:t>
            </w:r>
          </w:p>
        </w:tc>
        <w:tc>
          <w:tcPr>
            <w:tcW w:type="dxa" w:w="32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بغيرها لا تُقفل رحلة الإيراد ولا يوجد مصدرٌ لإسقاط حالة التحصيل</w:t>
            </w:r>
          </w:p>
        </w:tc>
        <w:tc>
          <w:tcPr>
            <w:tcW w:type="dxa" w:w="1400"/>
            <w:shd w:fill="F2F6FA" w:color="auto" w:val="clear"/>
            <w:tcMar>
              <w:top w:type="dxa" w:w="70"/>
              <w:left w:type="dxa" w:w="95"/>
              <w:bottom w:type="dxa" w:w="70"/>
              <w:right w:type="dxa" w:w="95"/>
            </w:tcMar>
            <w:vAlign w:val="center"/>
          </w:tcPr>
          <w:p>
            <w:pPr>
              <w:bidi/>
              <w:spacing w:after="20" w:line="280"/>
              <w:jc w:val="center"/>
            </w:pPr>
            <w:r>
              <w:rPr>
                <w:b/>
                <w:bCs/>
                <w:color w:val="1F3B57"/>
                <w:sz w:val="22"/>
                <w:szCs w:val="22"/>
                <w:rtl/>
              </w:rPr>
              <w:t xml:space="preserve">1</w:t>
            </w:r>
          </w:p>
          <w:p>
            <w:pPr>
              <w:bidi/>
              <w:spacing w:after="20" w:line="280"/>
              <w:jc w:val="center"/>
            </w:pPr>
            <w:r>
              <w:rPr>
                <w:b w:val="false"/>
                <w:bCs w:val="false"/>
                <w:sz w:val="18"/>
                <w:szCs w:val="18"/>
                <w:rtl/>
              </w:rPr>
              <w:t xml:space="preserve"> </w:t>
            </w:r>
          </w:p>
        </w:tc>
      </w:tr>
      <w:tr>
        <w:trPr>
          <w:cantSplit/>
        </w:trPr>
        <w:tc>
          <w:tcPr>
            <w:tcW w:type="dxa" w:w="2200"/>
            <w:tcMar>
              <w:top w:type="dxa" w:w="70"/>
              <w:left w:type="dxa" w:w="95"/>
              <w:bottom w:type="dxa" w:w="70"/>
              <w:right w:type="dxa" w:w="95"/>
            </w:tcMar>
            <w:vAlign w:val="center"/>
          </w:tcPr>
          <w:p>
            <w:pPr>
              <w:bidi/>
              <w:spacing w:after="20" w:line="280"/>
              <w:jc w:val="right"/>
            </w:pPr>
            <w:r>
              <w:rPr>
                <w:b/>
                <w:bCs/>
                <w:sz w:val="21"/>
                <w:szCs w:val="21"/>
                <w:rtl/>
              </w:rPr>
              <w:t xml:space="preserve">الموجة السابعة</w:t>
            </w:r>
          </w:p>
          <w:p>
            <w:pPr>
              <w:bidi/>
              <w:spacing w:after="20" w:line="280"/>
              <w:jc w:val="right"/>
            </w:pPr>
            <w:r>
              <w:rPr>
                <w:b w:val="false"/>
                <w:bCs w:val="false"/>
                <w:color w:val="3F5265"/>
                <w:sz w:val="18"/>
                <w:szCs w:val="18"/>
                <w:rtl/>
              </w:rPr>
              <w:t xml:space="preserve">رحلة الدفع</w:t>
            </w:r>
          </w:p>
        </w:tc>
        <w:tc>
          <w:tcPr>
            <w:tcW w:type="dxa" w:w="3000"/>
            <w:tcMar>
              <w:top w:type="dxa" w:w="70"/>
              <w:left w:type="dxa" w:w="95"/>
              <w:bottom w:type="dxa" w:w="70"/>
              <w:right w:type="dxa" w:w="95"/>
            </w:tcMar>
            <w:vAlign w:val="center"/>
          </w:tcPr>
          <w:p>
            <w:pPr>
              <w:bidi/>
              <w:spacing w:after="20" w:line="280"/>
              <w:jc w:val="right"/>
            </w:pPr>
            <w:r>
              <w:rPr>
                <w:b w:val="false"/>
                <w:bCs w:val="false"/>
                <w:sz w:val="19"/>
                <w:szCs w:val="19"/>
                <w:rtl/>
              </w:rPr>
              <w:t xml:space="preserve">توليد التزامات عقد المورد · دفعات الدفع · توثيق التنفيذ</w:t>
            </w:r>
          </w:p>
          <w:p>
            <w:pPr>
              <w:bidi w:val="false"/>
              <w:spacing w:after="20" w:line="280"/>
              <w:jc w:val="left"/>
            </w:pPr>
            <w:r>
              <w:rPr>
                <w:b w:val="false"/>
                <w:bCs w:val="false"/>
                <w:color w:val="5A6B7B"/>
                <w:sz w:val="18"/>
                <w:szCs w:val="18"/>
                <w:rtl w:val="false"/>
              </w:rPr>
              <w:t xml:space="preserve">ap_oblig_gen</w:t>
            </w:r>
            <w:r>
              <w:rPr>
                <w:b w:val="false"/>
                <w:bCs w:val="false"/>
                <w:color w:val="5A6B7B"/>
                <w:sz w:val="18"/>
                <w:szCs w:val="18"/>
                <w:rtl/>
              </w:rPr>
              <w:t xml:space="preserve"> · </w:t>
            </w:r>
            <w:r>
              <w:rPr>
                <w:b w:val="false"/>
                <w:bCs w:val="false"/>
                <w:color w:val="5A6B7B"/>
                <w:sz w:val="18"/>
                <w:szCs w:val="18"/>
                <w:rtl w:val="false"/>
              </w:rPr>
              <w:t xml:space="preserve">tre_pay_batch</w:t>
            </w:r>
            <w:r>
              <w:rPr>
                <w:b w:val="false"/>
                <w:bCs w:val="false"/>
                <w:color w:val="5A6B7B"/>
                <w:sz w:val="18"/>
                <w:szCs w:val="18"/>
                <w:rtl/>
              </w:rPr>
              <w:t xml:space="preserve"> · </w:t>
            </w:r>
            <w:r>
              <w:rPr>
                <w:b w:val="false"/>
                <w:bCs w:val="false"/>
                <w:color w:val="5A6B7B"/>
                <w:sz w:val="18"/>
                <w:szCs w:val="18"/>
                <w:rtl w:val="false"/>
              </w:rPr>
              <w:t xml:space="preserve">tre_exec_log</w:t>
            </w:r>
          </w:p>
          <w:p>
            <w:pPr>
              <w:bidi/>
              <w:spacing w:after="20" w:line="280"/>
              <w:jc w:val="right"/>
            </w:pPr>
            <w:r>
              <w:rPr>
                <w:b w:val="false"/>
                <w:bCs w:val="false"/>
                <w:color w:val="8A4B00"/>
                <w:sz w:val="18"/>
                <w:szCs w:val="18"/>
                <w:rtl/>
              </w:rPr>
              <w:t xml:space="preserve">شرط سابق: </w:t>
            </w:r>
            <w:r>
              <w:rPr>
                <w:b w:val="false"/>
                <w:bCs w:val="false"/>
                <w:color w:val="8A4B00"/>
                <w:sz w:val="18"/>
                <w:szCs w:val="18"/>
                <w:rtl w:val="false"/>
              </w:rPr>
              <w:t xml:space="preserve">tre_beneficiary</w:t>
            </w:r>
            <w:r>
              <w:rPr>
                <w:b w:val="false"/>
                <w:bCs w:val="false"/>
                <w:color w:val="8A4B00"/>
                <w:sz w:val="18"/>
                <w:szCs w:val="18"/>
                <w:rtl/>
              </w:rPr>
              <w:t xml:space="preserve"> — سجل المستفيدين والحسابات</w:t>
            </w:r>
          </w:p>
        </w:tc>
        <w:tc>
          <w:tcPr>
            <w:tcW w:type="dxa" w:w="3200"/>
            <w:tcMar>
              <w:top w:type="dxa" w:w="70"/>
              <w:left w:type="dxa" w:w="95"/>
              <w:bottom w:type="dxa" w:w="70"/>
              <w:right w:type="dxa" w:w="95"/>
            </w:tcMar>
            <w:vAlign w:val="center"/>
          </w:tcPr>
          <w:p>
            <w:pPr>
              <w:bidi/>
              <w:spacing w:after="20" w:line="280"/>
              <w:jc w:val="right"/>
            </w:pPr>
            <w:r>
              <w:rPr>
                <w:b w:val="false"/>
                <w:bCs w:val="false"/>
                <w:sz w:val="19"/>
                <w:szCs w:val="19"/>
                <w:rtl/>
              </w:rPr>
              <w:t xml:space="preserve">بغيرها لا تُقفل رحلة المورد ولا يوجد مصدرٌ لإسقاط حالة الصرف</w:t>
            </w:r>
          </w:p>
        </w:tc>
        <w:tc>
          <w:tcPr>
            <w:tcW w:type="dxa" w:w="1400"/>
            <w:tcMar>
              <w:top w:type="dxa" w:w="70"/>
              <w:left w:type="dxa" w:w="95"/>
              <w:bottom w:type="dxa" w:w="70"/>
              <w:right w:type="dxa" w:w="95"/>
            </w:tcMar>
            <w:vAlign w:val="center"/>
          </w:tcPr>
          <w:p>
            <w:pPr>
              <w:bidi/>
              <w:spacing w:after="20" w:line="280"/>
              <w:jc w:val="center"/>
            </w:pPr>
            <w:r>
              <w:rPr>
                <w:b/>
                <w:bCs/>
                <w:color w:val="1F3B57"/>
                <w:sz w:val="22"/>
                <w:szCs w:val="22"/>
                <w:rtl/>
              </w:rPr>
              <w:t xml:space="preserve">3</w:t>
            </w:r>
          </w:p>
          <w:p>
            <w:pPr>
              <w:bidi/>
              <w:spacing w:after="20" w:line="280"/>
              <w:jc w:val="center"/>
            </w:pPr>
            <w:r>
              <w:rPr>
                <w:b w:val="false"/>
                <w:bCs w:val="false"/>
                <w:color w:val="3F5265"/>
                <w:sz w:val="18"/>
                <w:szCs w:val="18"/>
                <w:rtl/>
              </w:rPr>
              <w:t xml:space="preserve">+ شرط سابق</w:t>
            </w:r>
          </w:p>
        </w:tc>
      </w:tr>
    </w:tbl>
    <w:p>
      <w:pPr>
        <w:bidi/>
        <w:spacing w:before="120"/>
        <w:jc w:val="right"/>
      </w:pPr>
      <w:r>
        <w:rPr>
          <w:b/>
          <w:bCs/>
          <w:i w:val="false"/>
          <w:iCs w:val="false"/>
          <w:sz w:val="24"/>
          <w:szCs w:val="24"/>
          <w:rtl/>
        </w:rPr>
        <w:t xml:space="preserve">ومجموع المهام التنفيذية سبعَ عشرةَ مهمة: ستَّ عشرةَ عقدةً من السلسلة نفسها، وشرطٌ سابقٌ واحدٌ خارجها هو سجل المستفيدين والحسابات البنكية — فمقام العقد ستَّ عشرةَ ولا يتغيّر، ومقام المهام سبعَ عشرة.</w:t>
      </w:r>
    </w:p>
    <w:p>
      <w:pPr>
        <w:bidi/>
        <w:spacing w:before="130"/>
        <w:jc w:val="right"/>
      </w:pPr>
      <w:r>
        <w:rPr>
          <w:b/>
          <w:bCs/>
          <w:i w:val="false"/>
          <w:iCs w:val="false"/>
          <w:sz w:val="24"/>
          <w:szCs w:val="24"/>
          <w:rtl/>
        </w:rPr>
        <w:t xml:space="preserve">وقاعدةُ الانتقال ضبطُ تبعيةٍ لا نقطةُ توقّف: لا تُبدأ عقدةٌ تعتمد وظيفيًّا على عقدةٍ سابقة قبل إغلاق سابقتها بدليلها. أما الأعمالُ المستقلة التي لا تعتمد عليها فتستمر بالتوازي بلا انتظار. فترتيبُ الموجات يحدد ترتيب التبعيات ولا يُنشئ نقاطَ توقّفٍ للمشروع كله — والدليلُ قياسٌ على النظام الحي لا إقرارٌ من المنفِّذ.</w:t>
      </w:r>
    </w:p>
    <w:p>
      <w:r>
        <w:br w:type="page"/>
      </w:r>
    </w:p>
    <w:p>
      <w:pPr>
        <w:pStyle w:val="Heading1"/>
        <w:keepNext/>
        <w:bidi/>
        <w:spacing w:after="180" w:before="360"/>
        <w:jc w:val="right"/>
      </w:pPr>
      <w:r>
        <w:rPr>
          <w:b/>
          <w:bCs/>
          <w:rtl/>
        </w:rPr>
        <w:t xml:space="preserve">الباب الرابع — بوابات الإغلاق ودليلها</w:t>
      </w:r>
    </w:p>
    <w:p>
      <w:pPr>
        <w:bidi/>
        <w:spacing w:after="130" w:line="330"/>
        <w:jc w:val="right"/>
      </w:pPr>
      <w:r>
        <w:rPr>
          <w:b w:val="false"/>
          <w:bCs w:val="false"/>
          <w:i w:val="false"/>
          <w:iCs w:val="false"/>
          <w:sz w:val="24"/>
          <w:szCs w:val="24"/>
          <w:rtl/>
        </w:rPr>
        <w:t xml:space="preserve">لا تُعلن السلسلة مغلقةً قبل نجاح البوابات العشر كلها على النظام الحي وبنفس الالتزام، وكلٌّ منها تُقاس ببسطها ومقامها لا بالانطباع:</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600"/>
        <w:gridCol w:w="5000"/>
        <w:gridCol w:w="2200"/>
      </w:tblGrid>
      <w:tr>
        <w:trPr>
          <w:cantSplit/>
          <w:tblHeader/>
        </w:trPr>
        <w:tc>
          <w:tcPr>
            <w:tcW w:type="dxa" w:w="2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البوابة</w:t>
            </w:r>
          </w:p>
        </w:tc>
        <w:tc>
          <w:tcPr>
            <w:tcW w:type="dxa" w:w="5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شرط النجاح</w:t>
            </w:r>
          </w:p>
        </w:tc>
        <w:tc>
          <w:tcPr>
            <w:tcW w:type="dxa" w:w="2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القياس</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الواقعة الواحدة ثلاث قراءات</w:t>
            </w:r>
          </w:p>
        </w:tc>
        <w:tc>
          <w:tcPr>
            <w:tcW w:type="dxa" w:w="5000"/>
            <w:tcMar>
              <w:top w:type="dxa" w:w="70"/>
              <w:left w:type="dxa" w:w="95"/>
              <w:bottom w:type="dxa" w:w="70"/>
              <w:right w:type="dxa" w:w="95"/>
            </w:tcMar>
            <w:vAlign w:val="center"/>
          </w:tcPr>
          <w:p>
            <w:pPr>
              <w:bidi/>
              <w:spacing w:after="20" w:line="280"/>
              <w:jc w:val="right"/>
            </w:pPr>
            <w:r>
              <w:rPr>
                <w:b w:val="false"/>
                <w:bCs w:val="false"/>
                <w:sz w:val="20"/>
                <w:szCs w:val="20"/>
                <w:rtl/>
              </w:rPr>
              <w:t xml:space="preserve">واقعةٌ واحدة تُدخَل مرة واحدة تظهر في كشوف العميل والمورد والمشغّل بأرقامها الثلاثة المتسقة</w:t>
            </w:r>
          </w:p>
        </w:tc>
        <w:tc>
          <w:tcPr>
            <w:tcW w:type="dxa" w:w="2200"/>
            <w:tcMar>
              <w:top w:type="dxa" w:w="70"/>
              <w:left w:type="dxa" w:w="95"/>
              <w:bottom w:type="dxa" w:w="70"/>
              <w:right w:type="dxa" w:w="95"/>
            </w:tcMar>
            <w:vAlign w:val="center"/>
          </w:tcPr>
          <w:p>
            <w:pPr>
              <w:bidi w:val="false"/>
              <w:spacing w:after="20" w:line="280"/>
              <w:jc w:val="center"/>
            </w:pPr>
            <w:r>
              <w:rPr>
                <w:b w:val="false"/>
                <w:bCs w:val="false"/>
                <w:color w:val="2E4A63"/>
                <w:sz w:val="18"/>
                <w:szCs w:val="18"/>
                <w:rtl/>
              </w:rPr>
              <w:t xml:space="preserve">1 </w:t>
            </w:r>
            <w:r>
              <w:rPr>
                <w:b w:val="false"/>
                <w:bCs w:val="false"/>
                <w:color w:val="2E4A63"/>
                <w:sz w:val="18"/>
                <w:szCs w:val="18"/>
                <w:rtl w:val="false"/>
              </w:rPr>
              <w:t xml:space="preserve">event</w:t>
            </w:r>
            <w:r>
              <w:rPr>
                <w:b w:val="false"/>
                <w:bCs w:val="false"/>
                <w:color w:val="2E4A63"/>
                <w:sz w:val="18"/>
                <w:szCs w:val="18"/>
                <w:rtl/>
              </w:rPr>
              <w:t xml:space="preserve"> → 3 </w:t>
            </w:r>
            <w:r>
              <w:rPr>
                <w:b w:val="false"/>
                <w:bCs w:val="false"/>
                <w:color w:val="2E4A63"/>
                <w:sz w:val="18"/>
                <w:szCs w:val="18"/>
                <w:rtl w:val="false"/>
              </w:rPr>
              <w:t xml:space="preserve">statements</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سلسلة الاعتماد كاملة</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لكل وحدة معتمَدة سلسلةٌ متصلة من الواقعة إلى الاعتماد المالي النهائي بلا فجوة</w:t>
            </w:r>
          </w:p>
        </w:tc>
        <w:tc>
          <w:tcPr>
            <w:tcW w:type="dxa" w:w="2200"/>
            <w:shd w:fill="F2F6FA" w:color="auto" w:val="clear"/>
            <w:tcMar>
              <w:top w:type="dxa" w:w="70"/>
              <w:left w:type="dxa" w:w="95"/>
              <w:bottom w:type="dxa" w:w="70"/>
              <w:right w:type="dxa" w:w="95"/>
            </w:tcMar>
            <w:vAlign w:val="center"/>
          </w:tcPr>
          <w:p>
            <w:pPr>
              <w:bidi w:val="false"/>
              <w:spacing w:after="20" w:line="280"/>
              <w:jc w:val="center"/>
            </w:pPr>
            <w:r>
              <w:rPr>
                <w:b w:val="false"/>
                <w:bCs w:val="false"/>
                <w:color w:val="2E4A63"/>
                <w:sz w:val="18"/>
                <w:szCs w:val="18"/>
                <w:rtl w:val="false"/>
              </w:rPr>
              <w:t xml:space="preserve">chain</w:t>
            </w:r>
            <w:r>
              <w:rPr>
                <w:b w:val="false"/>
                <w:bCs w:val="false"/>
                <w:color w:val="2E4A63"/>
                <w:sz w:val="18"/>
                <w:szCs w:val="18"/>
                <w:rtl/>
              </w:rPr>
              <w:t xml:space="preserve"> </w:t>
            </w:r>
            <w:r>
              <w:rPr>
                <w:b w:val="false"/>
                <w:bCs w:val="false"/>
                <w:color w:val="2E4A63"/>
                <w:sz w:val="18"/>
                <w:szCs w:val="18"/>
                <w:rtl w:val="false"/>
              </w:rPr>
              <w:t xml:space="preserve">complete</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السلّم لا يُتجاوَز</w:t>
            </w:r>
          </w:p>
        </w:tc>
        <w:tc>
          <w:tcPr>
            <w:tcW w:type="dxa" w:w="5000"/>
            <w:tcMar>
              <w:top w:type="dxa" w:w="70"/>
              <w:left w:type="dxa" w:w="95"/>
              <w:bottom w:type="dxa" w:w="70"/>
              <w:right w:type="dxa" w:w="95"/>
            </w:tcMar>
            <w:vAlign w:val="center"/>
          </w:tcPr>
          <w:p>
            <w:pPr>
              <w:bidi/>
              <w:spacing w:after="20" w:line="280"/>
              <w:jc w:val="right"/>
            </w:pPr>
            <w:r>
              <w:rPr>
                <w:b w:val="false"/>
                <w:bCs w:val="false"/>
                <w:sz w:val="20"/>
                <w:szCs w:val="20"/>
                <w:rtl/>
              </w:rPr>
              <w:t xml:space="preserve">صفر اعتمادٍ وقع خارج سلّمه، وصفر خطوةٍ سُمّي فيها معتمِدٌ خارج المحرك</w:t>
            </w:r>
          </w:p>
        </w:tc>
        <w:tc>
          <w:tcPr>
            <w:tcW w:type="dxa" w:w="2200"/>
            <w:tcMar>
              <w:top w:type="dxa" w:w="70"/>
              <w:left w:type="dxa" w:w="95"/>
              <w:bottom w:type="dxa" w:w="70"/>
              <w:right w:type="dxa" w:w="95"/>
            </w:tcMar>
            <w:vAlign w:val="center"/>
          </w:tcPr>
          <w:p>
            <w:pPr>
              <w:bidi w:val="false"/>
              <w:spacing w:after="20" w:line="280"/>
              <w:jc w:val="center"/>
            </w:pPr>
            <w:r>
              <w:rPr>
                <w:b w:val="false"/>
                <w:bCs w:val="false"/>
                <w:color w:val="2E4A63"/>
                <w:sz w:val="18"/>
                <w:szCs w:val="18"/>
                <w:rtl/>
              </w:rPr>
              <w:t xml:space="preserve">0 </w:t>
            </w:r>
            <w:r>
              <w:rPr>
                <w:b w:val="false"/>
                <w:bCs w:val="false"/>
                <w:color w:val="2E4A63"/>
                <w:sz w:val="18"/>
                <w:szCs w:val="18"/>
                <w:rtl w:val="false"/>
              </w:rPr>
              <w:t xml:space="preserve">bypass</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فصل الواجبات</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صفر حالةٍ جمعت يدٌ واحدة فيها الإنشاء والاعتماد والتنفيذ النقدي والقيد</w:t>
            </w:r>
          </w:p>
        </w:tc>
        <w:tc>
          <w:tcPr>
            <w:tcW w:type="dxa" w:w="2200"/>
            <w:shd w:fill="F2F6FA" w:color="auto" w:val="clear"/>
            <w:tcMar>
              <w:top w:type="dxa" w:w="70"/>
              <w:left w:type="dxa" w:w="95"/>
              <w:bottom w:type="dxa" w:w="70"/>
              <w:right w:type="dxa" w:w="95"/>
            </w:tcMar>
            <w:vAlign w:val="center"/>
          </w:tcPr>
          <w:p>
            <w:pPr>
              <w:bidi w:val="false"/>
              <w:spacing w:after="20" w:line="280"/>
              <w:jc w:val="center"/>
            </w:pPr>
            <w:r>
              <w:rPr>
                <w:b w:val="false"/>
                <w:bCs w:val="false"/>
                <w:color w:val="2E4A63"/>
                <w:sz w:val="18"/>
                <w:szCs w:val="18"/>
                <w:rtl/>
              </w:rPr>
              <w:t xml:space="preserve">0 </w:t>
            </w:r>
            <w:r>
              <w:rPr>
                <w:b w:val="false"/>
                <w:bCs w:val="false"/>
                <w:color w:val="2E4A63"/>
                <w:sz w:val="18"/>
                <w:szCs w:val="18"/>
                <w:rtl w:val="false"/>
              </w:rPr>
              <w:t xml:space="preserve">SoD</w:t>
            </w:r>
            <w:r>
              <w:rPr>
                <w:b w:val="false"/>
                <w:bCs w:val="false"/>
                <w:color w:val="2E4A63"/>
                <w:sz w:val="18"/>
                <w:szCs w:val="18"/>
                <w:rtl/>
              </w:rPr>
              <w:t xml:space="preserve"> </w:t>
            </w:r>
            <w:r>
              <w:rPr>
                <w:b w:val="false"/>
                <w:bCs w:val="false"/>
                <w:color w:val="2E4A63"/>
                <w:sz w:val="18"/>
                <w:szCs w:val="18"/>
                <w:rtl w:val="false"/>
              </w:rPr>
              <w:t xml:space="preserve">breach</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لا كاتب بشري للأستاذ</w:t>
            </w:r>
          </w:p>
        </w:tc>
        <w:tc>
          <w:tcPr>
            <w:tcW w:type="dxa" w:w="5000"/>
            <w:tcMar>
              <w:top w:type="dxa" w:w="70"/>
              <w:left w:type="dxa" w:w="95"/>
              <w:bottom w:type="dxa" w:w="70"/>
              <w:right w:type="dxa" w:w="95"/>
            </w:tcMar>
            <w:vAlign w:val="center"/>
          </w:tcPr>
          <w:p>
            <w:pPr>
              <w:bidi/>
              <w:spacing w:after="20" w:line="280"/>
              <w:jc w:val="right"/>
            </w:pPr>
            <w:r>
              <w:rPr>
                <w:b w:val="false"/>
                <w:bCs w:val="false"/>
                <w:sz w:val="20"/>
                <w:szCs w:val="20"/>
                <w:rtl/>
              </w:rPr>
              <w:t xml:space="preserve">صفر قيدٍ أُنشئ من غير محرّك الترحيل بعد الإجازة</w:t>
            </w:r>
          </w:p>
        </w:tc>
        <w:tc>
          <w:tcPr>
            <w:tcW w:type="dxa" w:w="2200"/>
            <w:tcMar>
              <w:top w:type="dxa" w:w="70"/>
              <w:left w:type="dxa" w:w="95"/>
              <w:bottom w:type="dxa" w:w="70"/>
              <w:right w:type="dxa" w:w="95"/>
            </w:tcMar>
            <w:vAlign w:val="center"/>
          </w:tcPr>
          <w:p>
            <w:pPr>
              <w:bidi w:val="false"/>
              <w:spacing w:after="20" w:line="280"/>
              <w:jc w:val="center"/>
            </w:pPr>
            <w:r>
              <w:rPr>
                <w:b w:val="false"/>
                <w:bCs w:val="false"/>
                <w:color w:val="2E4A63"/>
                <w:sz w:val="18"/>
                <w:szCs w:val="18"/>
                <w:rtl/>
              </w:rPr>
              <w:t xml:space="preserve">0 </w:t>
            </w:r>
            <w:r>
              <w:rPr>
                <w:b w:val="false"/>
                <w:bCs w:val="false"/>
                <w:color w:val="2E4A63"/>
                <w:sz w:val="18"/>
                <w:szCs w:val="18"/>
                <w:rtl w:val="false"/>
              </w:rPr>
              <w:t xml:space="preserve">direct</w:t>
            </w:r>
            <w:r>
              <w:rPr>
                <w:b w:val="false"/>
                <w:bCs w:val="false"/>
                <w:color w:val="2E4A63"/>
                <w:sz w:val="18"/>
                <w:szCs w:val="18"/>
                <w:rtl/>
              </w:rPr>
              <w:t xml:space="preserve"> </w:t>
            </w:r>
            <w:r>
              <w:rPr>
                <w:b w:val="false"/>
                <w:bCs w:val="false"/>
                <w:color w:val="2E4A63"/>
                <w:sz w:val="18"/>
                <w:szCs w:val="18"/>
                <w:rtl w:val="false"/>
              </w:rPr>
              <w:t xml:space="preserve">writes</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المحاسبة ليست الخزينة</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صفر قيدٍ أنشأته الخزينة، وصفر صرفٍ نفّذته المحاسبة</w:t>
            </w:r>
          </w:p>
        </w:tc>
        <w:tc>
          <w:tcPr>
            <w:tcW w:type="dxa" w:w="2200"/>
            <w:shd w:fill="F2F6FA" w:color="auto" w:val="clear"/>
            <w:tcMar>
              <w:top w:type="dxa" w:w="70"/>
              <w:left w:type="dxa" w:w="95"/>
              <w:bottom w:type="dxa" w:w="70"/>
              <w:right w:type="dxa" w:w="95"/>
            </w:tcMar>
            <w:vAlign w:val="center"/>
          </w:tcPr>
          <w:p>
            <w:pPr>
              <w:bidi w:val="false"/>
              <w:spacing w:after="20" w:line="280"/>
              <w:jc w:val="center"/>
            </w:pPr>
            <w:r>
              <w:rPr>
                <w:b w:val="false"/>
                <w:bCs w:val="false"/>
                <w:color w:val="2E4A63"/>
                <w:sz w:val="18"/>
                <w:szCs w:val="18"/>
                <w:rtl/>
              </w:rPr>
              <w:t xml:space="preserve">0 </w:t>
            </w:r>
            <w:r>
              <w:rPr>
                <w:b w:val="false"/>
                <w:bCs w:val="false"/>
                <w:color w:val="2E4A63"/>
                <w:sz w:val="18"/>
                <w:szCs w:val="18"/>
                <w:rtl w:val="false"/>
              </w:rPr>
              <w:t xml:space="preserve">crossover</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الإسقاطات لها مصادر</w:t>
            </w:r>
          </w:p>
        </w:tc>
        <w:tc>
          <w:tcPr>
            <w:tcW w:type="dxa" w:w="5000"/>
            <w:tcMar>
              <w:top w:type="dxa" w:w="70"/>
              <w:left w:type="dxa" w:w="95"/>
              <w:bottom w:type="dxa" w:w="70"/>
              <w:right w:type="dxa" w:w="95"/>
            </w:tcMar>
            <w:vAlign w:val="center"/>
          </w:tcPr>
          <w:p>
            <w:pPr>
              <w:bidi/>
              <w:spacing w:after="20" w:line="280"/>
              <w:jc w:val="right"/>
            </w:pPr>
            <w:r>
              <w:rPr>
                <w:b w:val="false"/>
                <w:bCs w:val="false"/>
                <w:sz w:val="20"/>
                <w:szCs w:val="20"/>
                <w:rtl/>
              </w:rPr>
              <w:t xml:space="preserve">حالة الفاتورة والتحصيل والصرف تُقرأ من أسطحٍ مبنيةٍ لا من فراغ</w:t>
            </w:r>
          </w:p>
        </w:tc>
        <w:tc>
          <w:tcPr>
            <w:tcW w:type="dxa" w:w="2200"/>
            <w:tcMar>
              <w:top w:type="dxa" w:w="70"/>
              <w:left w:type="dxa" w:w="95"/>
              <w:bottom w:type="dxa" w:w="70"/>
              <w:right w:type="dxa" w:w="95"/>
            </w:tcMar>
            <w:vAlign w:val="center"/>
          </w:tcPr>
          <w:p>
            <w:pPr>
              <w:bidi w:val="false"/>
              <w:spacing w:after="20" w:line="280"/>
              <w:jc w:val="center"/>
            </w:pPr>
            <w:r>
              <w:rPr>
                <w:b w:val="false"/>
                <w:bCs w:val="false"/>
                <w:color w:val="2E4A63"/>
                <w:sz w:val="18"/>
                <w:szCs w:val="18"/>
                <w:rtl w:val="false"/>
              </w:rPr>
              <w:t xml:space="preserve">sources</w:t>
            </w:r>
            <w:r>
              <w:rPr>
                <w:b w:val="false"/>
                <w:bCs w:val="false"/>
                <w:color w:val="2E4A63"/>
                <w:sz w:val="18"/>
                <w:szCs w:val="18"/>
                <w:rtl/>
              </w:rPr>
              <w:t xml:space="preserve"> </w:t>
            </w:r>
            <w:r>
              <w:rPr>
                <w:b w:val="false"/>
                <w:bCs w:val="false"/>
                <w:color w:val="2E4A63"/>
                <w:sz w:val="18"/>
                <w:szCs w:val="18"/>
                <w:rtl w:val="false"/>
              </w:rPr>
              <w:t xml:space="preserve">built</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الرحلتان تعملان</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رحلة الإيراد ورحلة الدفع تعبران كاملتين بحساب موظفٍ حقيقي بلا تدخل تقني</w:t>
            </w:r>
          </w:p>
        </w:tc>
        <w:tc>
          <w:tcPr>
            <w:tcW w:type="dxa" w:w="2200"/>
            <w:shd w:fill="F2F6FA" w:color="auto" w:val="clear"/>
            <w:tcMar>
              <w:top w:type="dxa" w:w="70"/>
              <w:left w:type="dxa" w:w="95"/>
              <w:bottom w:type="dxa" w:w="70"/>
              <w:right w:type="dxa" w:w="95"/>
            </w:tcMar>
            <w:vAlign w:val="center"/>
          </w:tcPr>
          <w:p>
            <w:pPr>
              <w:bidi w:val="false"/>
              <w:spacing w:after="20" w:line="280"/>
              <w:jc w:val="center"/>
            </w:pPr>
            <w:r>
              <w:rPr>
                <w:b w:val="false"/>
                <w:bCs w:val="false"/>
                <w:color w:val="2E4A63"/>
                <w:sz w:val="18"/>
                <w:szCs w:val="18"/>
                <w:rtl/>
              </w:rPr>
              <w:t xml:space="preserve">2 </w:t>
            </w:r>
            <w:r>
              <w:rPr>
                <w:b w:val="false"/>
                <w:bCs w:val="false"/>
                <w:color w:val="2E4A63"/>
                <w:sz w:val="18"/>
                <w:szCs w:val="18"/>
                <w:rtl w:val="false"/>
              </w:rPr>
              <w:t xml:space="preserve">journeys</w:t>
            </w:r>
            <w:r>
              <w:rPr>
                <w:b w:val="false"/>
                <w:bCs w:val="false"/>
                <w:color w:val="2E4A63"/>
                <w:sz w:val="18"/>
                <w:szCs w:val="18"/>
                <w:rtl/>
              </w:rPr>
              <w:t xml:space="preserve"> </w:t>
            </w:r>
            <w:r>
              <w:rPr>
                <w:b w:val="false"/>
                <w:bCs w:val="false"/>
                <w:color w:val="2E4A63"/>
                <w:sz w:val="18"/>
                <w:szCs w:val="18"/>
                <w:rtl w:val="false"/>
              </w:rPr>
              <w:t xml:space="preserve">pass</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صفر ارتداد</w:t>
            </w:r>
          </w:p>
        </w:tc>
        <w:tc>
          <w:tcPr>
            <w:tcW w:type="dxa" w:w="5000"/>
            <w:tcMar>
              <w:top w:type="dxa" w:w="70"/>
              <w:left w:type="dxa" w:w="95"/>
              <w:bottom w:type="dxa" w:w="70"/>
              <w:right w:type="dxa" w:w="95"/>
            </w:tcMar>
            <w:vAlign w:val="center"/>
          </w:tcPr>
          <w:p>
            <w:pPr>
              <w:bidi/>
              <w:spacing w:after="20" w:line="280"/>
              <w:jc w:val="right"/>
            </w:pPr>
            <w:r>
              <w:rPr>
                <w:b w:val="false"/>
                <w:bCs w:val="false"/>
                <w:sz w:val="20"/>
                <w:szCs w:val="20"/>
                <w:rtl/>
              </w:rPr>
              <w:t xml:space="preserve">كل فعلٍ كان يعمل قبل الجولة يعمل بعدها</w:t>
            </w:r>
          </w:p>
        </w:tc>
        <w:tc>
          <w:tcPr>
            <w:tcW w:type="dxa" w:w="2200"/>
            <w:tcMar>
              <w:top w:type="dxa" w:w="70"/>
              <w:left w:type="dxa" w:w="95"/>
              <w:bottom w:type="dxa" w:w="70"/>
              <w:right w:type="dxa" w:w="95"/>
            </w:tcMar>
            <w:vAlign w:val="center"/>
          </w:tcPr>
          <w:p>
            <w:pPr>
              <w:bidi w:val="false"/>
              <w:spacing w:after="20" w:line="280"/>
              <w:jc w:val="center"/>
            </w:pPr>
            <w:r>
              <w:rPr>
                <w:b w:val="false"/>
                <w:bCs w:val="false"/>
                <w:color w:val="2E4A63"/>
                <w:sz w:val="18"/>
                <w:szCs w:val="18"/>
                <w:rtl w:val="false"/>
              </w:rPr>
              <w:t xml:space="preserve">before</w:t>
            </w:r>
            <w:r>
              <w:rPr>
                <w:b w:val="false"/>
                <w:bCs w:val="false"/>
                <w:color w:val="2E4A63"/>
                <w:sz w:val="18"/>
                <w:szCs w:val="18"/>
                <w:rtl/>
              </w:rPr>
              <w:t xml:space="preserve"> = </w:t>
            </w:r>
            <w:r>
              <w:rPr>
                <w:b w:val="false"/>
                <w:bCs w:val="false"/>
                <w:color w:val="2E4A63"/>
                <w:sz w:val="18"/>
                <w:szCs w:val="18"/>
                <w:rtl w:val="false"/>
              </w:rPr>
              <w:t xml:space="preserve">after</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صفر فقد</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لا فقد بيانات ولا سجل مكرر ولا ترحيل صامت</w:t>
            </w:r>
          </w:p>
        </w:tc>
        <w:tc>
          <w:tcPr>
            <w:tcW w:type="dxa" w:w="2200"/>
            <w:shd w:fill="F2F6FA" w:color="auto" w:val="clear"/>
            <w:tcMar>
              <w:top w:type="dxa" w:w="70"/>
              <w:left w:type="dxa" w:w="95"/>
              <w:bottom w:type="dxa" w:w="70"/>
              <w:right w:type="dxa" w:w="95"/>
            </w:tcMar>
            <w:vAlign w:val="center"/>
          </w:tcPr>
          <w:p>
            <w:pPr>
              <w:bidi w:val="false"/>
              <w:spacing w:after="20" w:line="280"/>
              <w:jc w:val="center"/>
            </w:pPr>
            <w:r>
              <w:rPr>
                <w:b w:val="false"/>
                <w:bCs w:val="false"/>
                <w:color w:val="2E4A63"/>
                <w:sz w:val="18"/>
                <w:szCs w:val="18"/>
                <w:rtl w:val="false"/>
              </w:rPr>
              <w:t xml:space="preserve">count</w:t>
            </w:r>
            <w:r>
              <w:rPr>
                <w:b w:val="false"/>
                <w:bCs w:val="false"/>
                <w:color w:val="2E4A63"/>
                <w:sz w:val="18"/>
                <w:szCs w:val="18"/>
                <w:rtl/>
              </w:rPr>
              <w:t xml:space="preserve"> </w:t>
            </w:r>
            <w:r>
              <w:rPr>
                <w:b w:val="false"/>
                <w:bCs w:val="false"/>
                <w:color w:val="2E4A63"/>
                <w:sz w:val="18"/>
                <w:szCs w:val="18"/>
                <w:rtl w:val="false"/>
              </w:rPr>
              <w:t xml:space="preserve">before</w:t>
            </w:r>
            <w:r>
              <w:rPr>
                <w:b w:val="false"/>
                <w:bCs w:val="false"/>
                <w:color w:val="2E4A63"/>
                <w:sz w:val="18"/>
                <w:szCs w:val="18"/>
                <w:rtl/>
              </w:rPr>
              <w:t xml:space="preserve"> = </w:t>
            </w:r>
            <w:r>
              <w:rPr>
                <w:b w:val="false"/>
                <w:bCs w:val="false"/>
                <w:color w:val="2E4A63"/>
                <w:sz w:val="18"/>
                <w:szCs w:val="18"/>
                <w:rtl w:val="false"/>
              </w:rPr>
              <w:t xml:space="preserve">after</w:t>
            </w:r>
          </w:p>
        </w:tc>
      </w:tr>
    </w:tbl>
    <w:p>
      <w:pPr>
        <w:pStyle w:val="Heading1"/>
        <w:keepNext/>
        <w:bidi/>
        <w:spacing w:after="180" w:before="360"/>
        <w:jc w:val="right"/>
      </w:pPr>
      <w:r>
        <w:rPr>
          <w:b/>
          <w:bCs/>
          <w:rtl/>
        </w:rPr>
        <w:t xml:space="preserve">الباب الخامس — ما لا يُمسّ</w:t>
      </w:r>
    </w:p>
    <w:p>
      <w:pPr>
        <w:bidi/>
        <w:spacing w:after="130" w:line="330"/>
        <w:jc w:val="right"/>
      </w:pPr>
      <w:r>
        <w:rPr>
          <w:b w:val="false"/>
          <w:bCs w:val="false"/>
          <w:i w:val="false"/>
          <w:iCs w:val="false"/>
          <w:sz w:val="24"/>
          <w:szCs w:val="24"/>
          <w:rtl/>
        </w:rPr>
        <w:t xml:space="preserve">هذه الوثيقة تُغلق عقدًا ناقصة، ولا تعيد بناء ما هو صحيح. فيسري عليها ما سرى على وثيقتَي المبيعات والموردين حرفًا:</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900"/>
        <w:gridCol w:w="6900"/>
      </w:tblGrid>
      <w:tr>
        <w:trPr>
          <w:cantSplit/>
          <w:tblHeader/>
        </w:trPr>
        <w:tc>
          <w:tcPr>
            <w:tcW w:type="dxa" w:w="2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العنصر</w:t>
            </w:r>
          </w:p>
        </w:tc>
        <w:tc>
          <w:tcPr>
            <w:tcW w:type="dxa" w:w="6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القاعدة الملزمة</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القشرة العامة</w:t>
            </w:r>
          </w:p>
        </w:tc>
        <w:tc>
          <w:tcPr>
            <w:tcW w:type="dxa" w:w="6900"/>
            <w:tcMar>
              <w:top w:type="dxa" w:w="70"/>
              <w:left w:type="dxa" w:w="95"/>
              <w:bottom w:type="dxa" w:w="70"/>
              <w:right w:type="dxa" w:w="95"/>
            </w:tcMar>
            <w:vAlign w:val="center"/>
          </w:tcPr>
          <w:p>
            <w:pPr>
              <w:bidi/>
              <w:spacing w:after="20" w:line="280"/>
              <w:jc w:val="right"/>
            </w:pPr>
            <w:r>
              <w:rPr>
                <w:b w:val="false"/>
                <w:bCs w:val="false"/>
                <w:sz w:val="20"/>
                <w:szCs w:val="20"/>
                <w:rtl/>
              </w:rPr>
              <w:t xml:space="preserve">الشريط العلوي ومبدّل المساحات وشريط الإشعارات والقائمة الجانبية اليمنى بحقل بحثها — تُستعمل كما هي ولا يُعاد بناء أيٍّ منها.</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شبكة الوصول السريع</w:t>
            </w:r>
          </w:p>
        </w:tc>
        <w:tc>
          <w:tcPr>
            <w:tcW w:type="dxa" w:w="69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تبقى بترتيبها وأيقوناتها وسلوكها — ويُضاف إليها أو يُحذف منها بالبيانات لا بإعادة البناء.</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بطاقات بيانات الجلسة</w:t>
            </w:r>
          </w:p>
        </w:tc>
        <w:tc>
          <w:tcPr>
            <w:tcW w:type="dxa" w:w="6900"/>
            <w:tcMar>
              <w:top w:type="dxa" w:w="70"/>
              <w:left w:type="dxa" w:w="95"/>
              <w:bottom w:type="dxa" w:w="70"/>
              <w:right w:type="dxa" w:w="95"/>
            </w:tcMar>
            <w:vAlign w:val="center"/>
          </w:tcPr>
          <w:p>
            <w:pPr>
              <w:bidi/>
              <w:spacing w:after="20" w:line="280"/>
              <w:jc w:val="right"/>
            </w:pPr>
            <w:r>
              <w:rPr>
                <w:b w:val="false"/>
                <w:bCs w:val="false"/>
                <w:sz w:val="20"/>
                <w:szCs w:val="20"/>
                <w:rtl/>
              </w:rPr>
              <w:t xml:space="preserve">شريط النطاق والصلاحية ولحظة القراءة يبقى في كل شاشة كما هو — وهو دليل الحوكمة أمام المستخدم.</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الألوان والحالات</w:t>
            </w:r>
          </w:p>
        </w:tc>
        <w:tc>
          <w:tcPr>
            <w:tcW w:type="dxa" w:w="69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لوحة الألوان القائمة وشارات الأعداد وألوان الحالات تُستعمل بمعانيها الحالية — ولا تُخترع دلالة لون جديدة.</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الجداول والمرشِّحات</w:t>
            </w:r>
          </w:p>
        </w:tc>
        <w:tc>
          <w:tcPr>
            <w:tcW w:type="dxa" w:w="6900"/>
            <w:tcMar>
              <w:top w:type="dxa" w:w="70"/>
              <w:left w:type="dxa" w:w="95"/>
              <w:bottom w:type="dxa" w:w="70"/>
              <w:right w:type="dxa" w:w="95"/>
            </w:tcMar>
            <w:vAlign w:val="center"/>
          </w:tcPr>
          <w:p>
            <w:pPr>
              <w:bidi/>
              <w:spacing w:after="20" w:line="280"/>
              <w:jc w:val="right"/>
            </w:pPr>
            <w:r>
              <w:rPr>
                <w:b w:val="false"/>
                <w:bCs w:val="false"/>
                <w:sz w:val="20"/>
                <w:szCs w:val="20"/>
                <w:rtl/>
              </w:rPr>
              <w:t xml:space="preserve">إعداد الجداول وأدوات الترشيح والتصدير وترقيم الصفحات يُستنسخ من شاشة قائمة مماثلة، بالإعداد نفسه لا بإعداد جديد.</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النماذج والأزرار</w:t>
            </w:r>
          </w:p>
        </w:tc>
        <w:tc>
          <w:tcPr>
            <w:tcW w:type="dxa" w:w="69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أشكال النماذج ومواضع الأزرار وترتيب الحقول ورسائل التحقق تتبع النمط القائم حرفيًّا.</w:t>
            </w:r>
          </w:p>
        </w:tc>
      </w:tr>
    </w:tbl>
    <w:p>
      <w:pPr>
        <w:bidi/>
        <w:spacing w:before="130"/>
        <w:jc w:val="right"/>
      </w:pPr>
      <w:r>
        <w:rPr>
          <w:b w:val="false"/>
          <w:bCs w:val="false"/>
          <w:i w:val="false"/>
          <w:iCs w:val="false"/>
          <w:sz w:val="24"/>
          <w:szCs w:val="24"/>
          <w:rtl/>
        </w:rPr>
        <w:t xml:space="preserve">وحدُّ هذا الباب نفسه: المنعُ منعُ الاجتهاد المحلي لا تجميدُ التحسين — فبرنامج تجربة المستخدم قائمٌ ونافذ، وإصلاحُ عيوبه يقع في المكوّن المركزي فيسري على الشاشات كلها.</w:t>
      </w:r>
    </w:p>
    <w:p>
      <w:pPr>
        <w:pStyle w:val="Heading2"/>
        <w:keepNext/>
        <w:bidi/>
        <w:spacing w:after="140" w:before="280"/>
        <w:jc w:val="right"/>
      </w:pPr>
      <w:r>
        <w:rPr>
          <w:b/>
          <w:bCs/>
          <w:rtl/>
        </w:rPr>
        <w:t xml:space="preserve">لغة التسمية</w:t>
      </w:r>
    </w:p>
    <w:p>
      <w:pPr>
        <w:bidi/>
        <w:spacing w:after="130" w:line="330"/>
        <w:jc w:val="right"/>
      </w:pPr>
      <w:r>
        <w:rPr>
          <w:b w:val="false"/>
          <w:bCs w:val="false"/>
          <w:i w:val="false"/>
          <w:iCs w:val="false"/>
          <w:sz w:val="24"/>
          <w:szCs w:val="24"/>
          <w:rtl/>
        </w:rPr>
        <w:t xml:space="preserve">تسري لغة إنجاز المؤسسية على كل ما تنشئه هذه الوثيقة: المجموعة اسمٌ مؤسسيٌّ اسمي، والشاشة اسمُ الكيان أو المستند، والزر فعلٌ محدَّد الأثر. والصيغ المحادثية ممنوعة في التنقّل وأسماء المراحل والشاشات ومحطات الاختبار.</w:t>
      </w:r>
    </w:p>
    <w:p>
      <w:pPr>
        <w:spacing w:before="200"/>
      </w:pPr>
    </w:p>
    <w:p>
      <w:pPr>
        <w:bidi/>
        <w:spacing w:after="130" w:line="330"/>
        <w:jc w:val="right"/>
      </w:pPr>
      <w:r>
        <w:rPr>
          <w:b w:val="false"/>
          <w:bCs w:val="false"/>
          <w:i/>
          <w:iCs/>
          <w:color w:val="3F5265"/>
          <w:sz w:val="24"/>
          <w:szCs w:val="24"/>
          <w:rtl/>
        </w:rPr>
        <w:t xml:space="preserve">يبقى رقم الإصدار 1.0 لأن هذه نسخةٌ تأسيسيةٌ قبل اعتمادها خط أساسٍ نافذًا، ويحتفظ المستودع داخليًّا بمعرّف الالتزام وتاريخ البناء وبصمة الملف. وأيُّ إعادة قياسٍ بعد التزامٍ جديد تستلزم إعادة توليد الجدول الحاكم — فالأرقام لقطاتٌ بلحظتها تُعاد ولا تُنقل.</w:t>
      </w:r>
    </w:p>
    <w:sectPr>
      <w:footerReference w:type="default" r:id="rId7"/>
      <w:pgSz w:w="11906" w:h="16838" w:orient="portrait"/>
      <w:pgMar w:top="1134"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color w:val="777777"/>
        <w:sz w:val="18"/>
        <w:szCs w:val="18"/>
        <w:rtl/>
      </w:rPr>
      <w:t xml:space="preserve">الإصدار 1.0 · صفحة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3"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4"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5"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6"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7"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8"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9"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0"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1"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2"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3"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4"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5"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6"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7"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8"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9"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0"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1"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2"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3"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4"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5"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6"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7"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8"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9"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30"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31"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32" w15:restartNumberingAfterBreak="0">
    <w:multiLevelType w:val="hybridMultilevel"/>
    <w:lvl w:ilvl="0" w15:tentative="1">
      <w:start w:val="1"/>
      <w:numFmt w:val="decimal"/>
      <w:lvlText w:val="%1."/>
      <w:lvlJc w:val="right"/>
      <w:pPr>
        <w:ind w:left="520" w:hanging="300"/>
      </w:pPr>
    </w:lvl>
  </w:abstractNum>
  <w:abstractNum w:abstractNumId="33" w15:restartNumberingAfterBreak="0">
    <w:multiLevelType w:val="hybridMultilevel"/>
    <w:lvl w:ilvl="0" w15:tentative="1">
      <w:start w:val="1"/>
      <w:numFmt w:val="decimal"/>
      <w:lvlText w:val="%1."/>
      <w:lvlJc w:val="right"/>
      <w:pPr>
        <w:ind w:left="520" w:hanging="300"/>
      </w:pPr>
    </w:lvl>
  </w:abstractNum>
  <w:abstractNum w:abstractNumId="34" w15:restartNumberingAfterBreak="0">
    <w:multiLevelType w:val="hybridMultilevel"/>
    <w:lvl w:ilvl="0" w15:tentative="1">
      <w:start w:val="1"/>
      <w:numFmt w:val="decimal"/>
      <w:lvlText w:val="%1."/>
      <w:lvlJc w:val="right"/>
      <w:pPr>
        <w:ind w:left="520" w:hanging="300"/>
      </w:pPr>
    </w:lvl>
  </w:abstractNum>
  <w:abstractNum w:abstractNumId="35" w15:restartNumberingAfterBreak="0">
    <w:multiLevelType w:val="hybridMultilevel"/>
    <w:lvl w:ilvl="0" w15:tentative="1">
      <w:start w:val="1"/>
      <w:numFmt w:val="decimal"/>
      <w:lvlText w:val="%1."/>
      <w:lvlJc w:val="right"/>
      <w:pPr>
        <w:ind w:left="520" w:hanging="300"/>
      </w:pPr>
    </w:lvl>
  </w:abstractNum>
  <w:abstractNum w:abstractNumId="36" w15:restartNumberingAfterBreak="0">
    <w:multiLevelType w:val="hybridMultilevel"/>
    <w:lvl w:ilvl="0" w15:tentative="1">
      <w:start w:val="1"/>
      <w:numFmt w:val="decimal"/>
      <w:lvlText w:val="%1."/>
      <w:lvlJc w:val="right"/>
      <w:pPr>
        <w:ind w:left="520" w:hanging="300"/>
      </w:pPr>
    </w:lvl>
  </w:abstractNum>
  <w:abstractNum w:abstractNumId="37" w15:restartNumberingAfterBreak="0">
    <w:multiLevelType w:val="hybridMultilevel"/>
    <w:lvl w:ilvl="0" w15:tentative="1">
      <w:start w:val="1"/>
      <w:numFmt w:val="decimal"/>
      <w:lvlText w:val="%1."/>
      <w:lvlJc w:val="right"/>
      <w:pPr>
        <w:ind w:left="520" w:hanging="300"/>
      </w:pPr>
    </w:lvl>
  </w:abstractNum>
  <w:abstractNum w:abstractNumId="38" w15:restartNumberingAfterBreak="0">
    <w:multiLevelType w:val="hybridMultilevel"/>
    <w:lvl w:ilvl="0" w15:tentative="1">
      <w:start w:val="1"/>
      <w:numFmt w:val="decimal"/>
      <w:lvlText w:val="%1."/>
      <w:lvlJc w:val="right"/>
      <w:pPr>
        <w:ind w:left="520" w:hanging="300"/>
      </w:pPr>
    </w:lvl>
  </w:abstractNum>
  <w:abstractNum w:abstractNumId="39" w15:restartNumberingAfterBreak="0">
    <w:multiLevelType w:val="hybridMultilevel"/>
    <w:lvl w:ilvl="0" w15:tentative="1">
      <w:start w:val="1"/>
      <w:numFmt w:val="decimal"/>
      <w:lvlText w:val="%1."/>
      <w:lvlJc w:val="right"/>
      <w:pPr>
        <w:ind w:left="520" w:hanging="300"/>
      </w:pPr>
    </w:lvl>
  </w:abstractNum>
  <w:abstractNum w:abstractNumId="40" w15:restartNumberingAfterBreak="0">
    <w:multiLevelType w:val="hybridMultilevel"/>
    <w:lvl w:ilvl="0" w15:tentative="1">
      <w:start w:val="1"/>
      <w:numFmt w:val="decimal"/>
      <w:lvlText w:val="%1."/>
      <w:lvlJc w:val="right"/>
      <w:pPr>
        <w:ind w:left="520" w:hanging="300"/>
      </w:pPr>
    </w:lvl>
  </w:abstractNum>
  <w:abstractNum w:abstractNumId="41" w15:restartNumberingAfterBreak="0">
    <w:multiLevelType w:val="hybridMultilevel"/>
    <w:lvl w:ilvl="0" w15:tentative="1">
      <w:start w:val="1"/>
      <w:numFmt w:val="decimal"/>
      <w:lvlText w:val="%1."/>
      <w:lvlJc w:val="right"/>
      <w:pPr>
        <w:ind w:left="520" w:hanging="300"/>
      </w:pPr>
    </w:lvl>
  </w:abstractNum>
  <w:abstractNum w:abstractNumId="42" w15:restartNumberingAfterBreak="0">
    <w:multiLevelType w:val="hybridMultilevel"/>
    <w:lvl w:ilvl="0" w15:tentative="1">
      <w:start w:val="1"/>
      <w:numFmt w:val="decimal"/>
      <w:lvlText w:val="%1."/>
      <w:lvlJc w:val="right"/>
      <w:pPr>
        <w:ind w:left="520" w:hanging="300"/>
      </w:pPr>
    </w:lvl>
  </w:abstractNum>
  <w:abstractNum w:abstractNumId="43" w15:restartNumberingAfterBreak="0">
    <w:multiLevelType w:val="hybridMultilevel"/>
    <w:lvl w:ilvl="0" w15:tentative="1">
      <w:start w:val="1"/>
      <w:numFmt w:val="decimal"/>
      <w:lvlText w:val="%1."/>
      <w:lvlJc w:val="right"/>
      <w:pPr>
        <w:ind w:left="520" w:hanging="300"/>
      </w:pPr>
    </w:lvl>
  </w:abstractNum>
  <w:abstractNum w:abstractNumId="44" w15:restartNumberingAfterBreak="0">
    <w:multiLevelType w:val="hybridMultilevel"/>
    <w:lvl w:ilvl="0" w15:tentative="1">
      <w:start w:val="1"/>
      <w:numFmt w:val="decimal"/>
      <w:lvlText w:val="%1."/>
      <w:lvlJc w:val="right"/>
      <w:pPr>
        <w:ind w:left="520" w:hanging="300"/>
      </w:pPr>
    </w:lvl>
  </w:abstractNum>
  <w:abstractNum w:abstractNumId="45" w15:restartNumberingAfterBreak="0">
    <w:multiLevelType w:val="hybridMultilevel"/>
    <w:lvl w:ilvl="0" w15:tentative="1">
      <w:start w:val="1"/>
      <w:numFmt w:val="decimal"/>
      <w:lvlText w:val="%1."/>
      <w:lvlJc w:val="right"/>
      <w:pPr>
        <w:ind w:left="520" w:hanging="300"/>
      </w:pPr>
    </w:lvl>
  </w:abstractNum>
  <w:abstractNum w:abstractNumId="46" w15:restartNumberingAfterBreak="0">
    <w:multiLevelType w:val="hybridMultilevel"/>
    <w:lvl w:ilvl="0" w15:tentative="1">
      <w:start w:val="1"/>
      <w:numFmt w:val="decimal"/>
      <w:lvlText w:val="%1."/>
      <w:lvlJc w:val="right"/>
      <w:pPr>
        <w:ind w:left="52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53A5B"/>
      <w:sz w:val="34"/>
      <w:szCs w:val="34"/>
    </w:rPr>
  </w:style>
  <w:style w:type="paragraph" w:styleId="Heading2">
    <w:name w:val="Heading 2"/>
    <w:basedOn w:val="Normal"/>
    <w:next w:val="Normal"/>
    <w:qFormat/>
    <w:pPr>
      <w:outlineLvl w:val="1"/>
    </w:pPr>
    <w:rPr>
      <w:rFonts w:ascii="Arial" w:cs="Arial" w:eastAsia="Arial" w:hAnsi="Arial"/>
      <w:b/>
      <w:bCs/>
      <w:color w:val="1F5C8B"/>
      <w:sz w:val="28"/>
      <w:szCs w:val="28"/>
    </w:rPr>
  </w:style>
  <w:style w:type="paragraph" w:styleId="Heading3">
    <w:name w:val="Heading 3"/>
    <w:basedOn w:val="Normal"/>
    <w:next w:val="Normal"/>
    <w:qFormat/>
    <w:pPr>
      <w:outlineLvl w:val="2"/>
    </w:pPr>
    <w:rPr>
      <w:rFonts w:ascii="Arial" w:cs="Arial" w:eastAsia="Arial" w:hAnsi="Arial"/>
      <w:b/>
      <w:bCs/>
      <w:color w:val="2E6E5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2026-08-22T07:56:22.094Z</dcterms:created>
  <dcterms:modified xsi:type="dcterms:W3CDTF">2026-08-22T07:56:22.094Z</dcterms:modified>
</cp:coreProperties>
</file>

<file path=docProps/custom.xml><?xml version="1.0" encoding="utf-8"?>
<Properties xmlns="http://schemas.openxmlformats.org/officeDocument/2006/custom-properties" xmlns:vt="http://schemas.openxmlformats.org/officeDocument/2006/docPropsVTypes"/>
</file>