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300"/>
      </w:pPr>
    </w:p>
    <w:p>
      <w:pPr>
        <w:bidi w:val="false"/>
        <w:spacing w:after="120"/>
        <w:jc w:val="center"/>
      </w:pPr>
      <w:r>
        <w:rPr>
          <w:b/>
          <w:bCs/>
          <w:color w:val="153A5B"/>
          <w:sz w:val="38"/>
          <w:szCs w:val="38"/>
          <w:rtl w:val="false"/>
        </w:rPr>
        <w:t xml:space="preserve">INJ-SAL-ALIGN-01</w:t>
      </w:r>
    </w:p>
    <w:p>
      <w:pPr>
        <w:bidi/>
        <w:spacing w:after="100" w:before="220"/>
        <w:jc w:val="center"/>
      </w:pPr>
      <w:r>
        <w:rPr>
          <w:b/>
          <w:bCs/>
          <w:i w:val="false"/>
          <w:iCs w:val="false"/>
          <w:color w:val="153A5B"/>
          <w:sz w:val="34"/>
          <w:szCs w:val="34"/>
          <w:rtl/>
        </w:rPr>
        <w:t xml:space="preserve">وثيقة مواءمة وتصحيح إدارة المبيعات التعاقدية</w:t>
      </w:r>
    </w:p>
    <w:p>
      <w:pPr>
        <w:bidi/>
        <w:spacing w:after="420"/>
        <w:jc w:val="center"/>
      </w:pPr>
      <w:r>
        <w:rPr>
          <w:b/>
          <w:bCs/>
          <w:i w:val="false"/>
          <w:iCs w:val="false"/>
          <w:color w:val="1F5C8B"/>
          <w:sz w:val="25"/>
          <w:szCs w:val="25"/>
          <w:rtl/>
        </w:rPr>
        <w:t xml:space="preserve">مصالحة المرجع الحاكم مع النظام الحي — وتطبيق البنود الخمسة والعشرين</w:t>
      </w:r>
    </w:p>
    <w:p>
      <w:pPr>
        <w:bidi/>
        <w:spacing w:after="50"/>
        <w:jc w:val="center"/>
      </w:pPr>
      <w:r>
        <w:rPr>
          <w:b w:val="false"/>
          <w:bCs w:val="false"/>
          <w:i w:val="false"/>
          <w:iCs w:val="false"/>
          <w:sz w:val="22"/>
          <w:szCs w:val="22"/>
          <w:rtl/>
        </w:rPr>
        <w:t xml:space="preserve">المرجع الحاكم: منظومة إدارة المبيعات التعاقدية</w:t>
      </w:r>
    </w:p>
    <w:p>
      <w:pPr>
        <w:bidi w:val="false"/>
        <w:spacing w:after="120"/>
        <w:jc w:val="center"/>
      </w:pPr>
      <w:r>
        <w:rPr>
          <w:b w:val="false"/>
          <w:bCs w:val="false"/>
          <w:color w:val="444444"/>
          <w:sz w:val="21"/>
          <w:szCs w:val="21"/>
          <w:rtl/>
        </w:rPr>
        <w:t xml:space="preserve">26 ورقة عمل · 589 عمودًا</w:t>
      </w:r>
    </w:p>
    <w:p>
      <w:pPr>
        <w:bidi/>
        <w:spacing w:after="70" w:before="520"/>
        <w:jc w:val="center"/>
      </w:pPr>
      <w:r>
        <w:rPr>
          <w:b/>
          <w:bCs/>
          <w:i w:val="false"/>
          <w:iCs w:val="false"/>
          <w:sz w:val="26"/>
          <w:szCs w:val="26"/>
          <w:rtl/>
        </w:rPr>
        <w:t xml:space="preserve">الإصدار 1.0</w:t>
      </w:r>
    </w:p>
    <w:p>
      <w:pPr>
        <w:bidi/>
        <w:spacing w:after="130" w:line="330"/>
        <w:jc w:val="center"/>
      </w:pPr>
      <w:r>
        <w:rPr>
          <w:b w:val="false"/>
          <w:bCs w:val="false"/>
          <w:i w:val="false"/>
          <w:iCs w:val="false"/>
          <w:color w:val="555555"/>
          <w:sz w:val="22"/>
          <w:szCs w:val="22"/>
          <w:rtl/>
        </w:rPr>
        <w:t xml:space="preserve">منصة إنجاز — مجموعة إكوبيشن · </w:t>
      </w:r>
      <w:r>
        <w:rPr>
          <w:b w:val="false"/>
          <w:bCs w:val="false"/>
          <w:i w:val="false"/>
          <w:iCs w:val="false"/>
          <w:color w:val="555555"/>
          <w:sz w:val="22"/>
          <w:szCs w:val="22"/>
          <w:rtl w:val="false"/>
        </w:rPr>
        <w:t xml:space="preserve">2026-08-21</w:t>
      </w:r>
    </w:p>
    <w:p>
      <w:r>
        <w:br w:type="page"/>
      </w:r>
    </w:p>
    <w:p>
      <w:pPr>
        <w:pStyle w:val="Heading1"/>
        <w:keepNext/>
        <w:bidi/>
        <w:spacing w:after="180" w:before="360"/>
        <w:jc w:val="right"/>
      </w:pPr>
      <w:r>
        <w:rPr>
          <w:b/>
          <w:bCs/>
          <w:rtl/>
        </w:rPr>
        <w:t xml:space="preserve">الملخص التنفيذي</w:t>
      </w:r>
    </w:p>
    <w:p>
      <w:pPr>
        <w:bidi/>
        <w:spacing w:after="130" w:line="330"/>
        <w:jc w:val="right"/>
      </w:pPr>
      <w:r>
        <w:rPr>
          <w:b w:val="false"/>
          <w:bCs w:val="false"/>
          <w:i w:val="false"/>
          <w:iCs w:val="false"/>
          <w:sz w:val="24"/>
          <w:szCs w:val="24"/>
          <w:rtl/>
        </w:rPr>
        <w:t xml:space="preserve">المرجع الحاكم يرسم ست مراحل مستندية متتابعة تنتهي بتسليم المطالبة للمالية. والنظام الحي يملك أغلب هذه المراحل مبنيةً فعلًا — لكنه يوزّعها على سبع مجموعات لا تطابق المرجع، ويترك أربع عشرة شاشة عقدٍ متفرقة بلا ملف أمٍّ يجمعها، ويحمل شاشتين مكررتين وثلاث قدرات مؤكدة الغياب وواحدة قيد إثبات التكافؤ (كان الجرد الأولي خمسًا). فالمطلوب إعادة تنظيم وترتيب وملكية — لا بناء إدارة جديدة.</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6200"/>
        <w:gridCol w:w="3600"/>
      </w:tblGrid>
      <w:tr>
        <w:trPr>
          <w:cantSplit/>
          <w:tblHeader/>
        </w:trPr>
        <w:tc>
          <w:tcPr>
            <w:tcW w:type="dxa" w:w="6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المقياس</w:t>
            </w:r>
          </w:p>
        </w:tc>
        <w:tc>
          <w:tcPr>
            <w:tcW w:type="dxa" w:w="3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العدد</w:t>
            </w:r>
          </w:p>
        </w:tc>
      </w:tr>
      <w:tr>
        <w:trPr>
          <w:cantSplit/>
        </w:trPr>
        <w:tc>
          <w:tcPr>
            <w:tcW w:type="dxa" w:w="6200"/>
            <w:tcMar>
              <w:top w:type="dxa" w:w="70"/>
              <w:left w:type="dxa" w:w="95"/>
              <w:bottom w:type="dxa" w:w="70"/>
              <w:right w:type="dxa" w:w="95"/>
            </w:tcMar>
            <w:vAlign w:val="center"/>
          </w:tcPr>
          <w:p>
            <w:pPr>
              <w:bidi/>
              <w:spacing w:after="20" w:line="280"/>
              <w:jc w:val="right"/>
            </w:pPr>
            <w:r>
              <w:rPr>
                <w:b w:val="false"/>
                <w:bCs w:val="false"/>
                <w:sz w:val="21"/>
                <w:szCs w:val="21"/>
                <w:rtl/>
              </w:rPr>
              <w:t xml:space="preserve">أوراق المرجع الحاكم</w:t>
            </w:r>
          </w:p>
        </w:tc>
        <w:tc>
          <w:tcPr>
            <w:tcW w:type="dxa" w:w="3600"/>
            <w:tcMar>
              <w:top w:type="dxa" w:w="70"/>
              <w:left w:type="dxa" w:w="95"/>
              <w:bottom w:type="dxa" w:w="70"/>
              <w:right w:type="dxa" w:w="95"/>
            </w:tcMar>
            <w:vAlign w:val="center"/>
          </w:tcPr>
          <w:p>
            <w:pPr>
              <w:bidi w:val="false"/>
              <w:spacing w:after="20" w:line="280"/>
              <w:jc w:val="center"/>
            </w:pPr>
            <w:r>
              <w:rPr>
                <w:b/>
                <w:bCs/>
                <w:color w:val="1F3B57"/>
                <w:sz w:val="21"/>
                <w:szCs w:val="21"/>
                <w:rtl/>
              </w:rPr>
              <w:t xml:space="preserve">26</w:t>
            </w:r>
          </w:p>
        </w:tc>
      </w:tr>
      <w:tr>
        <w:trPr>
          <w:cantSplit/>
        </w:trPr>
        <w:tc>
          <w:tcPr>
            <w:tcW w:type="dxa" w:w="6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أعمدة المرجع الحاكم</w:t>
            </w:r>
          </w:p>
        </w:tc>
        <w:tc>
          <w:tcPr>
            <w:tcW w:type="dxa" w:w="3600"/>
            <w:shd w:fill="F2F6FA" w:color="auto" w:val="clear"/>
            <w:tcMar>
              <w:top w:type="dxa" w:w="70"/>
              <w:left w:type="dxa" w:w="95"/>
              <w:bottom w:type="dxa" w:w="70"/>
              <w:right w:type="dxa" w:w="95"/>
            </w:tcMar>
            <w:vAlign w:val="center"/>
          </w:tcPr>
          <w:p>
            <w:pPr>
              <w:bidi w:val="false"/>
              <w:spacing w:after="20" w:line="280"/>
              <w:jc w:val="center"/>
            </w:pPr>
            <w:r>
              <w:rPr>
                <w:b/>
                <w:bCs/>
                <w:color w:val="1F3B57"/>
                <w:sz w:val="21"/>
                <w:szCs w:val="21"/>
                <w:rtl/>
              </w:rPr>
              <w:t xml:space="preserve">589</w:t>
            </w:r>
          </w:p>
        </w:tc>
      </w:tr>
      <w:tr>
        <w:trPr>
          <w:cantSplit/>
        </w:trPr>
        <w:tc>
          <w:tcPr>
            <w:tcW w:type="dxa" w:w="6200"/>
            <w:tcMar>
              <w:top w:type="dxa" w:w="70"/>
              <w:left w:type="dxa" w:w="95"/>
              <w:bottom w:type="dxa" w:w="70"/>
              <w:right w:type="dxa" w:w="95"/>
            </w:tcMar>
            <w:vAlign w:val="center"/>
          </w:tcPr>
          <w:p>
            <w:pPr>
              <w:bidi/>
              <w:spacing w:after="20" w:line="280"/>
              <w:jc w:val="right"/>
            </w:pPr>
            <w:r>
              <w:rPr>
                <w:b w:val="false"/>
                <w:bCs w:val="false"/>
                <w:sz w:val="21"/>
                <w:szCs w:val="21"/>
                <w:rtl/>
              </w:rPr>
              <w:t xml:space="preserve">شاشات حية في دفتر الدورة</w:t>
            </w:r>
          </w:p>
        </w:tc>
        <w:tc>
          <w:tcPr>
            <w:tcW w:type="dxa" w:w="3600"/>
            <w:tcMar>
              <w:top w:type="dxa" w:w="70"/>
              <w:left w:type="dxa" w:w="95"/>
              <w:bottom w:type="dxa" w:w="70"/>
              <w:right w:type="dxa" w:w="95"/>
            </w:tcMar>
            <w:vAlign w:val="center"/>
          </w:tcPr>
          <w:p>
            <w:pPr>
              <w:bidi w:val="false"/>
              <w:spacing w:after="20" w:line="280"/>
              <w:jc w:val="center"/>
            </w:pPr>
            <w:r>
              <w:rPr>
                <w:b/>
                <w:bCs/>
                <w:color w:val="1F3B57"/>
                <w:sz w:val="21"/>
                <w:szCs w:val="21"/>
                <w:rtl/>
              </w:rPr>
              <w:t xml:space="preserve">32</w:t>
            </w:r>
          </w:p>
        </w:tc>
      </w:tr>
      <w:tr>
        <w:trPr>
          <w:cantSplit/>
        </w:trPr>
        <w:tc>
          <w:tcPr>
            <w:tcW w:type="dxa" w:w="6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أسطح مملوكة للإدارة في السجل</w:t>
            </w:r>
          </w:p>
        </w:tc>
        <w:tc>
          <w:tcPr>
            <w:tcW w:type="dxa" w:w="3600"/>
            <w:shd w:fill="F2F6FA" w:color="auto" w:val="clear"/>
            <w:tcMar>
              <w:top w:type="dxa" w:w="70"/>
              <w:left w:type="dxa" w:w="95"/>
              <w:bottom w:type="dxa" w:w="70"/>
              <w:right w:type="dxa" w:w="95"/>
            </w:tcMar>
            <w:vAlign w:val="center"/>
          </w:tcPr>
          <w:p>
            <w:pPr>
              <w:bidi w:val="false"/>
              <w:spacing w:after="20" w:line="280"/>
              <w:jc w:val="center"/>
            </w:pPr>
            <w:r>
              <w:rPr>
                <w:b/>
                <w:bCs/>
                <w:color w:val="1F3B57"/>
                <w:sz w:val="21"/>
                <w:szCs w:val="21"/>
                <w:rtl/>
              </w:rPr>
              <w:t xml:space="preserve">37</w:t>
            </w:r>
          </w:p>
        </w:tc>
      </w:tr>
      <w:tr>
        <w:trPr>
          <w:cantSplit/>
        </w:trPr>
        <w:tc>
          <w:tcPr>
            <w:tcW w:type="dxa" w:w="6200"/>
            <w:tcMar>
              <w:top w:type="dxa" w:w="70"/>
              <w:left w:type="dxa" w:w="95"/>
              <w:bottom w:type="dxa" w:w="70"/>
              <w:right w:type="dxa" w:w="95"/>
            </w:tcMar>
            <w:vAlign w:val="center"/>
          </w:tcPr>
          <w:p>
            <w:pPr>
              <w:bidi/>
              <w:spacing w:after="20" w:line="280"/>
              <w:jc w:val="right"/>
            </w:pPr>
            <w:r>
              <w:rPr>
                <w:b w:val="false"/>
                <w:bCs w:val="false"/>
                <w:sz w:val="21"/>
                <w:szCs w:val="21"/>
                <w:rtl/>
              </w:rPr>
              <w:t xml:space="preserve">قرارات إعادة استخدام أو دمج</w:t>
            </w:r>
          </w:p>
        </w:tc>
        <w:tc>
          <w:tcPr>
            <w:tcW w:type="dxa" w:w="3600"/>
            <w:tcMar>
              <w:top w:type="dxa" w:w="70"/>
              <w:left w:type="dxa" w:w="95"/>
              <w:bottom w:type="dxa" w:w="70"/>
              <w:right w:type="dxa" w:w="95"/>
            </w:tcMar>
            <w:vAlign w:val="center"/>
          </w:tcPr>
          <w:p>
            <w:pPr>
              <w:bidi w:val="false"/>
              <w:spacing w:after="20" w:line="280"/>
              <w:jc w:val="center"/>
            </w:pPr>
            <w:r>
              <w:rPr>
                <w:b/>
                <w:bCs/>
                <w:color w:val="1F3B57"/>
                <w:sz w:val="21"/>
                <w:szCs w:val="21"/>
                <w:rtl/>
              </w:rPr>
              <w:t xml:space="preserve">21</w:t>
            </w:r>
          </w:p>
        </w:tc>
      </w:tr>
      <w:tr>
        <w:trPr>
          <w:cantSplit/>
        </w:trPr>
        <w:tc>
          <w:tcPr>
            <w:tcW w:type="dxa" w:w="6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قدرات مؤكدة الغياب</w:t>
            </w:r>
          </w:p>
        </w:tc>
        <w:tc>
          <w:tcPr>
            <w:tcW w:type="dxa" w:w="3600"/>
            <w:shd w:fill="F2F6FA" w:color="auto" w:val="clear"/>
            <w:tcMar>
              <w:top w:type="dxa" w:w="70"/>
              <w:left w:type="dxa" w:w="95"/>
              <w:bottom w:type="dxa" w:w="70"/>
              <w:right w:type="dxa" w:w="95"/>
            </w:tcMar>
            <w:vAlign w:val="center"/>
          </w:tcPr>
          <w:p>
            <w:pPr>
              <w:bidi w:val="false"/>
              <w:spacing w:after="20" w:line="280"/>
              <w:jc w:val="center"/>
            </w:pPr>
            <w:r>
              <w:rPr>
                <w:b/>
                <w:bCs/>
                <w:color w:val="1F3B57"/>
                <w:sz w:val="21"/>
                <w:szCs w:val="21"/>
                <w:rtl/>
              </w:rPr>
              <w:t xml:space="preserve">3</w:t>
            </w:r>
          </w:p>
        </w:tc>
      </w:tr>
      <w:tr>
        <w:trPr>
          <w:cantSplit/>
        </w:trPr>
        <w:tc>
          <w:tcPr>
            <w:tcW w:type="dxa" w:w="6200"/>
            <w:tcMar>
              <w:top w:type="dxa" w:w="70"/>
              <w:left w:type="dxa" w:w="95"/>
              <w:bottom w:type="dxa" w:w="70"/>
              <w:right w:type="dxa" w:w="95"/>
            </w:tcMar>
            <w:vAlign w:val="center"/>
          </w:tcPr>
          <w:p>
            <w:pPr>
              <w:bidi/>
              <w:spacing w:after="20" w:line="280"/>
              <w:jc w:val="right"/>
            </w:pPr>
            <w:r>
              <w:rPr>
                <w:b w:val="false"/>
                <w:bCs w:val="false"/>
                <w:sz w:val="21"/>
                <w:szCs w:val="21"/>
                <w:rtl/>
              </w:rPr>
              <w:t xml:space="preserve">قدرة قيد إثبات التكافؤ</w:t>
            </w:r>
          </w:p>
        </w:tc>
        <w:tc>
          <w:tcPr>
            <w:tcW w:type="dxa" w:w="3600"/>
            <w:tcMar>
              <w:top w:type="dxa" w:w="70"/>
              <w:left w:type="dxa" w:w="95"/>
              <w:bottom w:type="dxa" w:w="70"/>
              <w:right w:type="dxa" w:w="95"/>
            </w:tcMar>
            <w:vAlign w:val="center"/>
          </w:tcPr>
          <w:p>
            <w:pPr>
              <w:bidi w:val="false"/>
              <w:spacing w:after="20" w:line="280"/>
              <w:jc w:val="center"/>
            </w:pPr>
            <w:r>
              <w:rPr>
                <w:b/>
                <w:bCs/>
                <w:color w:val="1F3B57"/>
                <w:sz w:val="21"/>
                <w:szCs w:val="21"/>
                <w:rtl/>
              </w:rPr>
              <w:t xml:space="preserve">1</w:t>
            </w:r>
          </w:p>
        </w:tc>
      </w:tr>
    </w:tbl>
    <w:p>
      <w:pPr>
        <w:bidi/>
        <w:spacing w:after="120" w:before="150" w:line="330"/>
        <w:jc w:val="right"/>
      </w:pPr>
      <w:r>
        <w:rPr>
          <w:b w:val="false"/>
          <w:bCs w:val="false"/>
          <w:i w:val="false"/>
          <w:iCs w:val="false"/>
          <w:sz w:val="24"/>
          <w:szCs w:val="24"/>
          <w:rtl/>
        </w:rPr>
        <w:t xml:space="preserve">الحكم الحاكم للجولة: المرجع الحاكم يحدد كيف تسير الأعمال، والنظام الحي يحدد ما بُني فعلًا، والمعمارية تحدد أين يعيش كل مفهوم — والمصالحة وحدها تحدد ما يُعاد استخدامه وما يُدمج وما يُنقل وما ينقص حقًّا. لا يُكسر شيء صحيح لإصلاح شيء خاطئ، ولا يُنشأ سطح قبل إثبات غياب وظيفته.</w:t>
      </w:r>
    </w:p>
    <w:p>
      <w:r>
        <w:br w:type="page"/>
      </w:r>
    </w:p>
    <w:p>
      <w:pPr>
        <w:pStyle w:val="Heading1"/>
        <w:keepNext/>
        <w:bidi/>
        <w:spacing w:after="180" w:before="360"/>
        <w:jc w:val="right"/>
      </w:pPr>
      <w:r>
        <w:rPr>
          <w:b/>
          <w:bCs/>
          <w:rtl/>
        </w:rPr>
        <w:t xml:space="preserve">جدول المحتويات</w:t>
      </w:r>
    </w:p>
    <w:sdt>
      <w:sdtPr>
        <w:alias w:val="جدول المحتويات"/>
      </w:sdtPr>
      <w:sdtContent>
        <w:p>
          <w:r>
            <w:fldChar w:fldCharType="begin" w:dirty="true"/>
            <w:instrText xml:space="preserve">TOC \h \o "1-2"</w:instrText>
            <w:fldChar w:fldCharType="separate"/>
          </w:r>
        </w:p>
        <w:p>
          <w:r>
            <w:fldChar w:fldCharType="end"/>
          </w:r>
        </w:p>
      </w:sdtContent>
    </w:sdt>
    <w:p>
      <w:r>
        <w:br w:type="page"/>
      </w:r>
    </w:p>
    <w:p>
      <w:pPr>
        <w:pStyle w:val="Heading1"/>
        <w:keepNext/>
        <w:bidi/>
        <w:spacing w:after="180" w:before="360"/>
        <w:jc w:val="right"/>
      </w:pPr>
      <w:r>
        <w:rPr>
          <w:b/>
          <w:bCs/>
          <w:rtl/>
        </w:rPr>
        <w:t xml:space="preserve">البند الأول — قاعدة المصادر الحاكمة</w:t>
      </w:r>
    </w:p>
    <w:p>
      <w:pPr>
        <w:bidi/>
        <w:spacing w:after="130" w:line="330"/>
        <w:jc w:val="right"/>
      </w:pPr>
      <w:r>
        <w:rPr>
          <w:b w:val="false"/>
          <w:bCs w:val="false"/>
          <w:i w:val="false"/>
          <w:iCs w:val="false"/>
          <w:sz w:val="24"/>
          <w:szCs w:val="24"/>
          <w:rtl/>
        </w:rPr>
        <w:t xml:space="preserve">عند اختلاف المصادر يُحسم بترتيب أولوية واحد لا يُخالف في هذه الجولة:</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1200"/>
        <w:gridCol w:w="2600"/>
        <w:gridCol w:w="6000"/>
      </w:tblGrid>
      <w:tr>
        <w:trPr>
          <w:cantSplit/>
          <w:tblHeader/>
        </w:trPr>
        <w:tc>
          <w:tcPr>
            <w:tcW w:type="dxa" w:w="1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الرتبة</w:t>
            </w:r>
          </w:p>
        </w:tc>
        <w:tc>
          <w:tcPr>
            <w:tcW w:type="dxa" w:w="2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المصدر</w:t>
            </w:r>
          </w:p>
        </w:tc>
        <w:tc>
          <w:tcPr>
            <w:tcW w:type="dxa" w:w="60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ما يحكمه</w:t>
            </w:r>
          </w:p>
        </w:tc>
      </w:tr>
      <w:tr>
        <w:trPr>
          <w:cantSplit/>
        </w:trPr>
        <w:tc>
          <w:tcPr>
            <w:tcW w:type="dxa" w:w="1200"/>
            <w:tcMar>
              <w:top w:type="dxa" w:w="70"/>
              <w:left w:type="dxa" w:w="95"/>
              <w:bottom w:type="dxa" w:w="70"/>
              <w:right w:type="dxa" w:w="95"/>
            </w:tcMar>
            <w:vAlign w:val="center"/>
          </w:tcPr>
          <w:p>
            <w:pPr>
              <w:bidi w:val="false"/>
              <w:spacing w:after="20" w:line="280"/>
              <w:jc w:val="center"/>
            </w:pPr>
            <w:r>
              <w:rPr>
                <w:b/>
                <w:bCs/>
                <w:sz w:val="21"/>
                <w:szCs w:val="21"/>
                <w:rtl/>
              </w:rPr>
              <w:t xml:space="preserve">1</w:t>
            </w:r>
          </w:p>
        </w:tc>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المرجع الحاكم المرفق</w:t>
            </w:r>
          </w:p>
        </w:tc>
        <w:tc>
          <w:tcPr>
            <w:tcW w:type="dxa" w:w="6000"/>
            <w:tcMar>
              <w:top w:type="dxa" w:w="70"/>
              <w:left w:type="dxa" w:w="95"/>
              <w:bottom w:type="dxa" w:w="70"/>
              <w:right w:type="dxa" w:w="95"/>
            </w:tcMar>
            <w:vAlign w:val="center"/>
          </w:tcPr>
          <w:p>
            <w:pPr>
              <w:bidi/>
              <w:spacing w:after="20" w:line="280"/>
              <w:jc w:val="right"/>
            </w:pPr>
            <w:r>
              <w:rPr>
                <w:b w:val="false"/>
                <w:bCs w:val="false"/>
                <w:sz w:val="21"/>
                <w:szCs w:val="21"/>
                <w:rtl/>
              </w:rPr>
              <w:t xml:space="preserve">دورة العمل وترتيب المراحل وترتيب السجلات وأسماء الأقسام والبيانات التي تحتاجها كل مرحلة.</w:t>
            </w:r>
          </w:p>
        </w:tc>
      </w:tr>
      <w:tr>
        <w:trPr>
          <w:cantSplit/>
        </w:trPr>
        <w:tc>
          <w:tcPr>
            <w:tcW w:type="dxa" w:w="1200"/>
            <w:shd w:fill="F2F6FA" w:color="auto" w:val="clear"/>
            <w:tcMar>
              <w:top w:type="dxa" w:w="70"/>
              <w:left w:type="dxa" w:w="95"/>
              <w:bottom w:type="dxa" w:w="70"/>
              <w:right w:type="dxa" w:w="95"/>
            </w:tcMar>
            <w:vAlign w:val="center"/>
          </w:tcPr>
          <w:p>
            <w:pPr>
              <w:bidi w:val="false"/>
              <w:spacing w:after="20" w:line="280"/>
              <w:jc w:val="center"/>
            </w:pPr>
            <w:r>
              <w:rPr>
                <w:b/>
                <w:bCs/>
                <w:sz w:val="21"/>
                <w:szCs w:val="21"/>
                <w:rtl/>
              </w:rPr>
              <w:t xml:space="preserve">2</w:t>
            </w:r>
          </w:p>
        </w:tc>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الوثائق الوظيفية والمعمارية النافذة</w:t>
            </w:r>
          </w:p>
        </w:tc>
        <w:tc>
          <w:tcPr>
            <w:tcW w:type="dxa" w:w="60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الملكية وحدود الإدارات ومصدر الحقيقة والصلاحيات والأحداث والاعتمادات وقواعد التغطية.</w:t>
            </w:r>
          </w:p>
        </w:tc>
      </w:tr>
      <w:tr>
        <w:trPr>
          <w:cantSplit/>
        </w:trPr>
        <w:tc>
          <w:tcPr>
            <w:tcW w:type="dxa" w:w="1200"/>
            <w:tcMar>
              <w:top w:type="dxa" w:w="70"/>
              <w:left w:type="dxa" w:w="95"/>
              <w:bottom w:type="dxa" w:w="70"/>
              <w:right w:type="dxa" w:w="95"/>
            </w:tcMar>
            <w:vAlign w:val="center"/>
          </w:tcPr>
          <w:p>
            <w:pPr>
              <w:bidi w:val="false"/>
              <w:spacing w:after="20" w:line="280"/>
              <w:jc w:val="center"/>
            </w:pPr>
            <w:r>
              <w:rPr>
                <w:b/>
                <w:bCs/>
                <w:sz w:val="21"/>
                <w:szCs w:val="21"/>
                <w:rtl/>
              </w:rPr>
              <w:t xml:space="preserve">3</w:t>
            </w:r>
          </w:p>
        </w:tc>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وثائق الحالة الفعلية والتصحيح</w:t>
            </w:r>
          </w:p>
        </w:tc>
        <w:tc>
          <w:tcPr>
            <w:tcW w:type="dxa" w:w="6000"/>
            <w:tcMar>
              <w:top w:type="dxa" w:w="70"/>
              <w:left w:type="dxa" w:w="95"/>
              <w:bottom w:type="dxa" w:w="70"/>
              <w:right w:type="dxa" w:w="95"/>
            </w:tcMar>
            <w:vAlign w:val="center"/>
          </w:tcPr>
          <w:p>
            <w:pPr>
              <w:bidi/>
              <w:spacing w:after="20" w:line="280"/>
              <w:jc w:val="right"/>
            </w:pPr>
            <w:r>
              <w:rPr>
                <w:b w:val="false"/>
                <w:bCs w:val="false"/>
                <w:sz w:val="21"/>
                <w:szCs w:val="21"/>
                <w:rtl/>
              </w:rPr>
              <w:t xml:space="preserve">ما هو مبنيٌّ فعلًا وكيف يعمل وما سبق إصلاحه وما لا يجوز كسره.</w:t>
            </w:r>
          </w:p>
        </w:tc>
      </w:tr>
      <w:tr>
        <w:trPr>
          <w:cantSplit/>
        </w:trPr>
        <w:tc>
          <w:tcPr>
            <w:tcW w:type="dxa" w:w="1200"/>
            <w:shd w:fill="F2F6FA" w:color="auto" w:val="clear"/>
            <w:tcMar>
              <w:top w:type="dxa" w:w="70"/>
              <w:left w:type="dxa" w:w="95"/>
              <w:bottom w:type="dxa" w:w="70"/>
              <w:right w:type="dxa" w:w="95"/>
            </w:tcMar>
            <w:vAlign w:val="center"/>
          </w:tcPr>
          <w:p>
            <w:pPr>
              <w:bidi w:val="false"/>
              <w:spacing w:after="20" w:line="280"/>
              <w:jc w:val="center"/>
            </w:pPr>
            <w:r>
              <w:rPr>
                <w:b/>
                <w:bCs/>
                <w:sz w:val="21"/>
                <w:szCs w:val="21"/>
                <w:rtl/>
              </w:rPr>
              <w:t xml:space="preserve">4</w:t>
            </w:r>
          </w:p>
        </w:tc>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الكود وقاعدة البيانات والتشغيل الحي</w:t>
            </w:r>
          </w:p>
        </w:tc>
        <w:tc>
          <w:tcPr>
            <w:tcW w:type="dxa" w:w="60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دليل الحالة الراهنة — لا مصدرٌ لتغيير دورة عملٍ صحيحة لمجرد أن التنفيذ القديم خالفها.</w:t>
            </w:r>
          </w:p>
        </w:tc>
      </w:tr>
    </w:tbl>
    <w:p>
      <w:pPr>
        <w:pStyle w:val="Heading1"/>
        <w:keepNext/>
        <w:bidi/>
        <w:spacing w:after="180" w:before="360"/>
        <w:jc w:val="right"/>
      </w:pPr>
      <w:r>
        <w:rPr>
          <w:b/>
          <w:bCs/>
          <w:rtl/>
        </w:rPr>
        <w:t xml:space="preserve">البند الثاني — الجرد العكسي الحي قبل أي تعديل</w:t>
      </w:r>
    </w:p>
    <w:p>
      <w:pPr>
        <w:bidi/>
        <w:spacing w:after="130" w:line="330"/>
        <w:jc w:val="right"/>
      </w:pPr>
      <w:r>
        <w:rPr>
          <w:b w:val="false"/>
          <w:bCs w:val="false"/>
          <w:i w:val="false"/>
          <w:iCs w:val="false"/>
          <w:sz w:val="24"/>
          <w:szCs w:val="24"/>
          <w:rtl/>
        </w:rPr>
        <w:t xml:space="preserve">لا يُغيَّر اسم واحد في التنقّل قبل جرد كل ما يخص الإدارة في النظام الحي وربطه بالإدارة والمرحلة والمستند الذي يخدمه. والجرد لا يعتمد على التنقّل وحده — فما لا يظهر في التنقّل قد يكون حيًّا بمسار مباشر أو استدعاءٍ خلفي.</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3300"/>
        <w:gridCol w:w="6500"/>
      </w:tblGrid>
      <w:tr>
        <w:trPr>
          <w:cantSplit/>
          <w:tblHeader/>
        </w:trPr>
        <w:tc>
          <w:tcPr>
            <w:tcW w:type="dxa" w:w="33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ما يُجرد</w:t>
            </w:r>
          </w:p>
        </w:tc>
        <w:tc>
          <w:tcPr>
            <w:tcW w:type="dxa" w:w="65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قاعدة الربط</w:t>
            </w:r>
          </w:p>
        </w:tc>
      </w:tr>
      <w:tr>
        <w:trPr>
          <w:cantSplit/>
        </w:trPr>
        <w:tc>
          <w:tcPr>
            <w:tcW w:type="dxa" w:w="3300"/>
            <w:tcMar>
              <w:top w:type="dxa" w:w="70"/>
              <w:left w:type="dxa" w:w="95"/>
              <w:bottom w:type="dxa" w:w="70"/>
              <w:right w:type="dxa" w:w="95"/>
            </w:tcMar>
            <w:vAlign w:val="center"/>
          </w:tcPr>
          <w:p>
            <w:pPr>
              <w:bidi/>
              <w:spacing w:after="20" w:line="280"/>
              <w:jc w:val="right"/>
            </w:pPr>
            <w:r>
              <w:rPr>
                <w:b/>
                <w:bCs/>
                <w:sz w:val="21"/>
                <w:szCs w:val="21"/>
                <w:rtl/>
              </w:rPr>
              <w:t xml:space="preserve">بنود التنقّل والمسارات</w:t>
            </w:r>
          </w:p>
        </w:tc>
        <w:tc>
          <w:tcPr>
            <w:tcW w:type="dxa" w:w="6500"/>
            <w:tcMar>
              <w:top w:type="dxa" w:w="70"/>
              <w:left w:type="dxa" w:w="95"/>
              <w:bottom w:type="dxa" w:w="70"/>
              <w:right w:type="dxa" w:w="95"/>
            </w:tcMar>
            <w:vAlign w:val="center"/>
          </w:tcPr>
          <w:p>
            <w:pPr>
              <w:bidi/>
              <w:spacing w:after="20" w:line="280"/>
              <w:jc w:val="right"/>
            </w:pPr>
            <w:r>
              <w:rPr>
                <w:b w:val="false"/>
                <w:bCs w:val="false"/>
                <w:sz w:val="21"/>
                <w:szCs w:val="21"/>
                <w:rtl/>
              </w:rPr>
              <w:t xml:space="preserve">كل بند يُربط بمرحلته المستندية أو يُوسم خارج الدورة بسبب موثق.</w:t>
            </w:r>
          </w:p>
        </w:tc>
      </w:tr>
      <w:tr>
        <w:trPr>
          <w:cantSplit/>
        </w:trPr>
        <w:tc>
          <w:tcPr>
            <w:tcW w:type="dxa" w:w="33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الشاشات والتبويبات والأسطح التابعة</w:t>
            </w:r>
          </w:p>
        </w:tc>
        <w:tc>
          <w:tcPr>
            <w:tcW w:type="dxa" w:w="65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كل سطح يُربط بملفه الأمّ إن كان تابعًا، أو يُعلن سطحًا رئيسيًّا.</w:t>
            </w:r>
          </w:p>
        </w:tc>
      </w:tr>
      <w:tr>
        <w:trPr>
          <w:cantSplit/>
        </w:trPr>
        <w:tc>
          <w:tcPr>
            <w:tcW w:type="dxa" w:w="3300"/>
            <w:tcMar>
              <w:top w:type="dxa" w:w="70"/>
              <w:left w:type="dxa" w:w="95"/>
              <w:bottom w:type="dxa" w:w="70"/>
              <w:right w:type="dxa" w:w="95"/>
            </w:tcMar>
            <w:vAlign w:val="center"/>
          </w:tcPr>
          <w:p>
            <w:pPr>
              <w:bidi/>
              <w:spacing w:after="20" w:line="280"/>
              <w:jc w:val="right"/>
            </w:pPr>
            <w:r>
              <w:rPr>
                <w:b/>
                <w:bCs/>
                <w:sz w:val="21"/>
                <w:szCs w:val="21"/>
                <w:rtl/>
              </w:rPr>
              <w:t xml:space="preserve">المنظورات المحفوظة والتقارير</w:t>
            </w:r>
          </w:p>
        </w:tc>
        <w:tc>
          <w:tcPr>
            <w:tcW w:type="dxa" w:w="6500"/>
            <w:tcMar>
              <w:top w:type="dxa" w:w="70"/>
              <w:left w:type="dxa" w:w="95"/>
              <w:bottom w:type="dxa" w:w="70"/>
              <w:right w:type="dxa" w:w="95"/>
            </w:tcMar>
            <w:vAlign w:val="center"/>
          </w:tcPr>
          <w:p>
            <w:pPr>
              <w:bidi/>
              <w:spacing w:after="20" w:line="280"/>
              <w:jc w:val="right"/>
            </w:pPr>
            <w:r>
              <w:rPr>
                <w:b w:val="false"/>
                <w:bCs w:val="false"/>
                <w:sz w:val="21"/>
                <w:szCs w:val="21"/>
                <w:rtl/>
              </w:rPr>
              <w:t xml:space="preserve">تُفصل عن الشاشات: المنظور ليس وظيفة جديدة بل قراءة مختلفة للسجل نفسه.</w:t>
            </w:r>
          </w:p>
        </w:tc>
      </w:tr>
      <w:tr>
        <w:trPr>
          <w:cantSplit/>
        </w:trPr>
        <w:tc>
          <w:tcPr>
            <w:tcW w:type="dxa" w:w="33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النماذج والجداول والحقول</w:t>
            </w:r>
          </w:p>
        </w:tc>
        <w:tc>
          <w:tcPr>
            <w:tcW w:type="dxa" w:w="65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كل حقل يُربط بمصدر حقيقته ومالكه — والحقل الحساس يُوسم قبل أي نقل.</w:t>
            </w:r>
          </w:p>
        </w:tc>
      </w:tr>
      <w:tr>
        <w:trPr>
          <w:cantSplit/>
        </w:trPr>
        <w:tc>
          <w:tcPr>
            <w:tcW w:type="dxa" w:w="3300"/>
            <w:tcMar>
              <w:top w:type="dxa" w:w="70"/>
              <w:left w:type="dxa" w:w="95"/>
              <w:bottom w:type="dxa" w:w="70"/>
              <w:right w:type="dxa" w:w="95"/>
            </w:tcMar>
            <w:vAlign w:val="center"/>
          </w:tcPr>
          <w:p>
            <w:pPr>
              <w:bidi/>
              <w:spacing w:after="20" w:line="280"/>
              <w:jc w:val="right"/>
            </w:pPr>
            <w:r>
              <w:rPr>
                <w:b/>
                <w:bCs/>
                <w:sz w:val="21"/>
                <w:szCs w:val="21"/>
                <w:rtl/>
              </w:rPr>
              <w:t xml:space="preserve">الأفعال والحالات والاعتمادات</w:t>
            </w:r>
          </w:p>
        </w:tc>
        <w:tc>
          <w:tcPr>
            <w:tcW w:type="dxa" w:w="6500"/>
            <w:tcMar>
              <w:top w:type="dxa" w:w="70"/>
              <w:left w:type="dxa" w:w="95"/>
              <w:bottom w:type="dxa" w:w="70"/>
              <w:right w:type="dxa" w:w="95"/>
            </w:tcMar>
            <w:vAlign w:val="center"/>
          </w:tcPr>
          <w:p>
            <w:pPr>
              <w:bidi/>
              <w:spacing w:after="20" w:line="280"/>
              <w:jc w:val="right"/>
            </w:pPr>
            <w:r>
              <w:rPr>
                <w:b w:val="false"/>
                <w:bCs w:val="false"/>
                <w:sz w:val="21"/>
                <w:szCs w:val="21"/>
                <w:rtl/>
              </w:rPr>
              <w:t xml:space="preserve">كل فعل يُربط بحالته وسلّم اعتماده، ولا يُنقل فعل بلا سلّمه.</w:t>
            </w:r>
          </w:p>
        </w:tc>
      </w:tr>
      <w:tr>
        <w:trPr>
          <w:cantSplit/>
        </w:trPr>
        <w:tc>
          <w:tcPr>
            <w:tcW w:type="dxa" w:w="33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الصلاحيات والبحث والتصدير</w:t>
            </w:r>
          </w:p>
        </w:tc>
        <w:tc>
          <w:tcPr>
            <w:tcW w:type="dxa" w:w="65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كل قناة خروج تُفحص مع الشاشة: ما يُمنع في الشاشة يُمنع في البحث والتصدير والواجهة البرمجية.</w:t>
            </w:r>
          </w:p>
        </w:tc>
      </w:tr>
      <w:tr>
        <w:trPr>
          <w:cantSplit/>
        </w:trPr>
        <w:tc>
          <w:tcPr>
            <w:tcW w:type="dxa" w:w="3300"/>
            <w:tcMar>
              <w:top w:type="dxa" w:w="70"/>
              <w:left w:type="dxa" w:w="95"/>
              <w:bottom w:type="dxa" w:w="70"/>
              <w:right w:type="dxa" w:w="95"/>
            </w:tcMar>
            <w:vAlign w:val="center"/>
          </w:tcPr>
          <w:p>
            <w:pPr>
              <w:bidi/>
              <w:spacing w:after="20" w:line="280"/>
              <w:jc w:val="right"/>
            </w:pPr>
            <w:r>
              <w:rPr>
                <w:b/>
                <w:bCs/>
                <w:sz w:val="21"/>
                <w:szCs w:val="21"/>
                <w:rtl/>
              </w:rPr>
              <w:t xml:space="preserve">الأحداث والخدمات والجداول</w:t>
            </w:r>
          </w:p>
        </w:tc>
        <w:tc>
          <w:tcPr>
            <w:tcW w:type="dxa" w:w="6500"/>
            <w:tcMar>
              <w:top w:type="dxa" w:w="70"/>
              <w:left w:type="dxa" w:w="95"/>
              <w:bottom w:type="dxa" w:w="70"/>
              <w:right w:type="dxa" w:w="95"/>
            </w:tcMar>
            <w:vAlign w:val="center"/>
          </w:tcPr>
          <w:p>
            <w:pPr>
              <w:bidi/>
              <w:spacing w:after="20" w:line="280"/>
              <w:jc w:val="right"/>
            </w:pPr>
            <w:r>
              <w:rPr>
                <w:b w:val="false"/>
                <w:bCs w:val="false"/>
                <w:sz w:val="21"/>
                <w:szCs w:val="21"/>
                <w:rtl/>
              </w:rPr>
              <w:t xml:space="preserve">كل حدث يُربط بمنتجه ومستهلكيه — ونقل الشاشة لا يقطع أثر حدثها.</w:t>
            </w:r>
          </w:p>
        </w:tc>
      </w:tr>
    </w:tbl>
    <w:p>
      <w:r>
        <w:br w:type="page"/>
      </w:r>
    </w:p>
    <w:p>
      <w:pPr>
        <w:pStyle w:val="Heading1"/>
        <w:keepNext/>
        <w:bidi/>
        <w:spacing w:after="180" w:before="360"/>
        <w:jc w:val="right"/>
      </w:pPr>
      <w:r>
        <w:rPr>
          <w:b/>
          <w:bCs/>
          <w:rtl/>
        </w:rPr>
        <w:t xml:space="preserve">البند الثالث — قرار السطح لكل ورقة</w:t>
      </w:r>
    </w:p>
    <w:p>
      <w:pPr>
        <w:bidi/>
        <w:spacing w:after="130" w:line="330"/>
        <w:jc w:val="right"/>
      </w:pPr>
      <w:r>
        <w:rPr>
          <w:b w:val="false"/>
          <w:bCs w:val="false"/>
          <w:i w:val="false"/>
          <w:iCs w:val="false"/>
          <w:sz w:val="24"/>
          <w:szCs w:val="24"/>
          <w:rtl/>
        </w:rPr>
        <w:t xml:space="preserve">الورقة لا تعني شاشة جديدة. ولكل ورقة قرار واحد لا غير، ولا يُعلَن نقصٌ إلا بعد إثبات غياب المسار والتبويب والسطح التابع والمنظور والوظيفة المدمجة في سطح آخر. وهذه قرارات الجولة كاملة:</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500"/>
        <w:gridCol w:w="2100"/>
        <w:gridCol w:w="5200"/>
      </w:tblGrid>
      <w:tr>
        <w:trPr>
          <w:cantSplit/>
          <w:tblHeader/>
        </w:trPr>
        <w:tc>
          <w:tcPr>
            <w:tcW w:type="dxa" w:w="25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الورقة</w:t>
            </w:r>
          </w:p>
        </w:tc>
        <w:tc>
          <w:tcPr>
            <w:tcW w:type="dxa" w:w="21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القرار</w:t>
            </w:r>
          </w:p>
        </w:tc>
        <w:tc>
          <w:tcPr>
            <w:tcW w:type="dxa" w:w="5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السطح المستهدف</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الرئيسية</w:t>
            </w:r>
          </w:p>
          <w:p>
            <w:pPr>
              <w:bidi/>
              <w:spacing w:after="20" w:line="280"/>
              <w:jc w:val="right"/>
            </w:pPr>
            <w:r>
              <w:rPr>
                <w:b w:val="false"/>
                <w:bCs w:val="false"/>
                <w:color w:val="5A6B7B"/>
                <w:sz w:val="19"/>
                <w:szCs w:val="19"/>
                <w:rtl/>
              </w:rPr>
              <w:t xml:space="preserve">00 · الإدارة</w:t>
            </w:r>
          </w:p>
        </w:tc>
        <w:tc>
          <w:tcPr>
            <w:tcW w:type="dxa" w:w="2100"/>
            <w:tcMar>
              <w:top w:type="dxa" w:w="70"/>
              <w:left w:type="dxa" w:w="95"/>
              <w:bottom w:type="dxa" w:w="70"/>
              <w:right w:type="dxa" w:w="95"/>
            </w:tcMar>
            <w:vAlign w:val="center"/>
          </w:tcPr>
          <w:p>
            <w:pPr>
              <w:bidi/>
              <w:spacing w:after="20" w:line="280"/>
              <w:jc w:val="center"/>
            </w:pPr>
            <w:r>
              <w:rPr>
                <w:b/>
                <w:bCs/>
                <w:color w:val="1F3B57"/>
                <w:sz w:val="21"/>
                <w:szCs w:val="21"/>
                <w:rtl/>
              </w:rPr>
              <w:t xml:space="preserve">تقرير أو لوحة</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لوحة المبيعات — تُشتق من اللوحة التجارية القائمة</w:t>
            </w:r>
          </w:p>
          <w:p>
            <w:pPr>
              <w:bidi w:val="false"/>
              <w:spacing w:after="20" w:line="280"/>
              <w:jc w:val="left"/>
            </w:pPr>
            <w:r>
              <w:rPr>
                <w:b w:val="false"/>
                <w:bCs w:val="false"/>
                <w:color w:val="5A6B7B"/>
                <w:sz w:val="18"/>
                <w:szCs w:val="18"/>
                <w:rtl w:val="false"/>
              </w:rPr>
              <w:t xml:space="preserve">commercial_board.php</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سجل العملاء</w:t>
            </w:r>
          </w:p>
          <w:p>
            <w:pPr>
              <w:bidi/>
              <w:spacing w:after="20" w:line="280"/>
              <w:jc w:val="right"/>
            </w:pPr>
            <w:r>
              <w:rPr>
                <w:b w:val="false"/>
                <w:bCs w:val="false"/>
                <w:color w:val="5A6B7B"/>
                <w:sz w:val="19"/>
                <w:szCs w:val="19"/>
                <w:rtl/>
              </w:rPr>
              <w:t xml:space="preserve">01 · التمهيدية</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6B3A"/>
                <w:sz w:val="21"/>
                <w:szCs w:val="21"/>
                <w:rtl/>
              </w:rPr>
              <w:t xml:space="preserve">شاشة قائمة</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قائمة كما هي — تُنقل مرحلتها من الأصول إلى التمهيدية</w:t>
            </w:r>
          </w:p>
          <w:p>
            <w:pPr>
              <w:bidi w:val="false"/>
              <w:spacing w:after="20" w:line="280"/>
              <w:jc w:val="left"/>
            </w:pPr>
            <w:r>
              <w:rPr>
                <w:b w:val="false"/>
                <w:bCs w:val="false"/>
                <w:color w:val="5A6B7B"/>
                <w:sz w:val="18"/>
                <w:szCs w:val="18"/>
                <w:rtl w:val="false"/>
              </w:rPr>
              <w:t xml:space="preserve">clients.php</w:t>
            </w:r>
            <w:r>
              <w:rPr>
                <w:b w:val="false"/>
                <w:bCs w:val="false"/>
                <w:color w:val="5A6B7B"/>
                <w:sz w:val="18"/>
                <w:szCs w:val="18"/>
                <w:rtl/>
              </w:rPr>
              <w:t xml:space="preserve"> · </w:t>
            </w:r>
            <w:r>
              <w:rPr>
                <w:b w:val="false"/>
                <w:bCs w:val="false"/>
                <w:color w:val="5A6B7B"/>
                <w:sz w:val="18"/>
                <w:szCs w:val="18"/>
                <w:rtl w:val="false"/>
              </w:rPr>
              <w:t xml:space="preserve">SCR-0025</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جهات اتصال العملاء</w:t>
            </w:r>
          </w:p>
          <w:p>
            <w:pPr>
              <w:bidi/>
              <w:spacing w:after="20" w:line="280"/>
              <w:jc w:val="right"/>
            </w:pPr>
            <w:r>
              <w:rPr>
                <w:b w:val="false"/>
                <w:bCs w:val="false"/>
                <w:color w:val="5A6B7B"/>
                <w:sz w:val="19"/>
                <w:szCs w:val="19"/>
                <w:rtl/>
              </w:rPr>
              <w:t xml:space="preserve">02 · التمهيدية</w:t>
            </w:r>
          </w:p>
        </w:tc>
        <w:tc>
          <w:tcPr>
            <w:tcW w:type="dxa" w:w="2100"/>
            <w:tcMar>
              <w:top w:type="dxa" w:w="70"/>
              <w:left w:type="dxa" w:w="95"/>
              <w:bottom w:type="dxa" w:w="70"/>
              <w:right w:type="dxa" w:w="95"/>
            </w:tcMar>
            <w:vAlign w:val="center"/>
          </w:tcPr>
          <w:p>
            <w:pPr>
              <w:bidi/>
              <w:spacing w:after="20" w:line="280"/>
              <w:jc w:val="center"/>
            </w:pPr>
            <w:r>
              <w:rPr>
                <w:b/>
                <w:bCs/>
                <w:color w:val="1F3B57"/>
                <w:sz w:val="21"/>
                <w:szCs w:val="21"/>
                <w:rtl/>
              </w:rPr>
              <w:t xml:space="preserve">تبويب في الملف الأم</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تبويب داخل ملف العميل — لا شاشة مستقلة</w:t>
            </w:r>
          </w:p>
          <w:p>
            <w:pPr>
              <w:bidi w:val="false"/>
              <w:spacing w:after="20" w:line="280"/>
              <w:jc w:val="left"/>
            </w:pPr>
            <w:r>
              <w:rPr>
                <w:b w:val="false"/>
                <w:bCs w:val="false"/>
                <w:color w:val="5A6B7B"/>
                <w:sz w:val="18"/>
                <w:szCs w:val="18"/>
                <w:rtl w:val="false"/>
              </w:rPr>
              <w:t xml:space="preserve">client_profile.php</w:t>
            </w:r>
            <w:r>
              <w:rPr>
                <w:b w:val="false"/>
                <w:bCs w:val="false"/>
                <w:color w:val="5A6B7B"/>
                <w:sz w:val="18"/>
                <w:szCs w:val="18"/>
                <w:rtl/>
              </w:rPr>
              <w:t xml:space="preserve"> · </w:t>
            </w:r>
            <w:r>
              <w:rPr>
                <w:b w:val="false"/>
                <w:bCs w:val="false"/>
                <w:color w:val="5A6B7B"/>
                <w:sz w:val="18"/>
                <w:szCs w:val="18"/>
                <w:rtl w:val="false"/>
              </w:rPr>
              <w:t xml:space="preserve">SCR-0024</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سجل المشاريع</w:t>
            </w:r>
          </w:p>
          <w:p>
            <w:pPr>
              <w:bidi/>
              <w:spacing w:after="20" w:line="280"/>
              <w:jc w:val="right"/>
            </w:pPr>
            <w:r>
              <w:rPr>
                <w:b w:val="false"/>
                <w:bCs w:val="false"/>
                <w:color w:val="5A6B7B"/>
                <w:sz w:val="19"/>
                <w:szCs w:val="19"/>
                <w:rtl/>
              </w:rPr>
              <w:t xml:space="preserve">03 · التمهيدية</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6B3A"/>
                <w:sz w:val="21"/>
                <w:szCs w:val="21"/>
                <w:rtl/>
              </w:rPr>
              <w:t xml:space="preserve">شاشة قائمة</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قائمة — تُصحَّح مرحلتها من الأصول والحركة إلى التمهيدية</w:t>
            </w:r>
          </w:p>
          <w:p>
            <w:pPr>
              <w:bidi w:val="false"/>
              <w:spacing w:after="20" w:line="280"/>
              <w:jc w:val="left"/>
            </w:pPr>
            <w:r>
              <w:rPr>
                <w:b w:val="false"/>
                <w:bCs w:val="false"/>
                <w:color w:val="5A6B7B"/>
                <w:sz w:val="18"/>
                <w:szCs w:val="18"/>
                <w:rtl w:val="false"/>
              </w:rPr>
              <w:t xml:space="preserve">projects.php</w:t>
            </w:r>
            <w:r>
              <w:rPr>
                <w:b w:val="false"/>
                <w:bCs w:val="false"/>
                <w:color w:val="5A6B7B"/>
                <w:sz w:val="18"/>
                <w:szCs w:val="18"/>
                <w:rtl/>
              </w:rPr>
              <w:t xml:space="preserve"> · </w:t>
            </w:r>
            <w:r>
              <w:rPr>
                <w:b w:val="false"/>
                <w:bCs w:val="false"/>
                <w:color w:val="5A6B7B"/>
                <w:sz w:val="18"/>
                <w:szCs w:val="18"/>
                <w:rtl w:val="false"/>
              </w:rPr>
              <w:t xml:space="preserve">SCR-0374</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الفرص البيعية</w:t>
            </w:r>
          </w:p>
          <w:p>
            <w:pPr>
              <w:bidi/>
              <w:spacing w:after="20" w:line="280"/>
              <w:jc w:val="right"/>
            </w:pPr>
            <w:r>
              <w:rPr>
                <w:b w:val="false"/>
                <w:bCs w:val="false"/>
                <w:color w:val="5A6B7B"/>
                <w:sz w:val="19"/>
                <w:szCs w:val="19"/>
                <w:rtl/>
              </w:rPr>
              <w:t xml:space="preserve">04 · إدارة الفرص البيعية</w:t>
            </w:r>
          </w:p>
        </w:tc>
        <w:tc>
          <w:tcPr>
            <w:tcW w:type="dxa" w:w="2100"/>
            <w:tcMar>
              <w:top w:type="dxa" w:w="70"/>
              <w:left w:type="dxa" w:w="95"/>
              <w:bottom w:type="dxa" w:w="70"/>
              <w:right w:type="dxa" w:w="95"/>
            </w:tcMar>
            <w:vAlign w:val="center"/>
          </w:tcPr>
          <w:p>
            <w:pPr>
              <w:bidi/>
              <w:spacing w:after="20" w:line="280"/>
              <w:jc w:val="center"/>
            </w:pPr>
            <w:r>
              <w:rPr>
                <w:b/>
                <w:bCs/>
                <w:color w:val="1F6B3A"/>
                <w:sz w:val="21"/>
                <w:szCs w:val="21"/>
                <w:rtl/>
              </w:rPr>
              <w:t xml:space="preserve">شاشة قائمة</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قائمة — وتبتلع شاشة المناقصات المكررة</w:t>
            </w:r>
          </w:p>
          <w:p>
            <w:pPr>
              <w:bidi w:val="false"/>
              <w:spacing w:after="20" w:line="280"/>
              <w:jc w:val="left"/>
            </w:pPr>
            <w:r>
              <w:rPr>
                <w:b w:val="false"/>
                <w:bCs w:val="false"/>
                <w:color w:val="5A6B7B"/>
                <w:sz w:val="18"/>
                <w:szCs w:val="18"/>
                <w:rtl w:val="false"/>
              </w:rPr>
              <w:t xml:space="preserve">opportunities.php</w:t>
            </w:r>
            <w:r>
              <w:rPr>
                <w:b w:val="false"/>
                <w:bCs w:val="false"/>
                <w:color w:val="5A6B7B"/>
                <w:sz w:val="18"/>
                <w:szCs w:val="18"/>
                <w:rtl/>
              </w:rPr>
              <w:t xml:space="preserve"> · </w:t>
            </w:r>
            <w:r>
              <w:rPr>
                <w:b w:val="false"/>
                <w:bCs w:val="false"/>
                <w:color w:val="5A6B7B"/>
                <w:sz w:val="18"/>
                <w:szCs w:val="18"/>
                <w:rtl w:val="false"/>
              </w:rPr>
              <w:t xml:space="preserve">SCR-0314</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الأنشطة والمتابعات</w:t>
            </w:r>
          </w:p>
          <w:p>
            <w:pPr>
              <w:bidi/>
              <w:spacing w:after="20" w:line="280"/>
              <w:jc w:val="right"/>
            </w:pPr>
            <w:r>
              <w:rPr>
                <w:b w:val="false"/>
                <w:bCs w:val="false"/>
                <w:color w:val="5A6B7B"/>
                <w:sz w:val="19"/>
                <w:szCs w:val="19"/>
                <w:rtl/>
              </w:rPr>
              <w:t xml:space="preserve">05 · إدارة الفرص البيعية</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3B57"/>
                <w:sz w:val="21"/>
                <w:szCs w:val="21"/>
                <w:rtl/>
              </w:rPr>
              <w:t xml:space="preserve">سجل تابع</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سجل تابع للعميل والفرصة — قائم وغير مسجَّل في الدورة</w:t>
            </w:r>
          </w:p>
          <w:p>
            <w:pPr>
              <w:bidi w:val="false"/>
              <w:spacing w:after="20" w:line="280"/>
              <w:jc w:val="left"/>
            </w:pPr>
            <w:r>
              <w:rPr>
                <w:b w:val="false"/>
                <w:bCs w:val="false"/>
                <w:color w:val="5A6B7B"/>
                <w:sz w:val="18"/>
                <w:szCs w:val="18"/>
                <w:rtl w:val="false"/>
              </w:rPr>
              <w:t xml:space="preserve">activities.php</w:t>
            </w:r>
            <w:r>
              <w:rPr>
                <w:b w:val="false"/>
                <w:bCs w:val="false"/>
                <w:color w:val="5A6B7B"/>
                <w:sz w:val="18"/>
                <w:szCs w:val="18"/>
                <w:rtl/>
              </w:rPr>
              <w:t xml:space="preserve"> · </w:t>
            </w:r>
            <w:r>
              <w:rPr>
                <w:b w:val="false"/>
                <w:bCs w:val="false"/>
                <w:color w:val="5A6B7B"/>
                <w:sz w:val="18"/>
                <w:szCs w:val="18"/>
                <w:rtl w:val="false"/>
              </w:rPr>
              <w:t xml:space="preserve">SCR-0023</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احتياج العميل وطلب العرض</w:t>
            </w:r>
          </w:p>
          <w:p>
            <w:pPr>
              <w:bidi/>
              <w:spacing w:after="20" w:line="280"/>
              <w:jc w:val="right"/>
            </w:pPr>
            <w:r>
              <w:rPr>
                <w:b w:val="false"/>
                <w:bCs w:val="false"/>
                <w:color w:val="5A6B7B"/>
                <w:sz w:val="19"/>
                <w:szCs w:val="19"/>
                <w:rtl/>
              </w:rPr>
              <w:t xml:space="preserve">06 · إدارة الفرص البيعية</w:t>
            </w:r>
          </w:p>
        </w:tc>
        <w:tc>
          <w:tcPr>
            <w:tcW w:type="dxa" w:w="2100"/>
            <w:tcMar>
              <w:top w:type="dxa" w:w="70"/>
              <w:left w:type="dxa" w:w="95"/>
              <w:bottom w:type="dxa" w:w="70"/>
              <w:right w:type="dxa" w:w="95"/>
            </w:tcMar>
            <w:vAlign w:val="center"/>
          </w:tcPr>
          <w:p>
            <w:pPr>
              <w:bidi/>
              <w:spacing w:after="20" w:line="280"/>
              <w:jc w:val="center"/>
            </w:pPr>
            <w:r>
              <w:rPr>
                <w:b/>
                <w:bCs/>
                <w:color w:val="A3151F"/>
                <w:sz w:val="21"/>
                <w:szCs w:val="21"/>
                <w:rtl/>
              </w:rPr>
              <w:t xml:space="preserve">قدرة مفقودة</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لا سطح مكافئ: طلبات العروض القائمة تخص الموردين لا العملاء</w:t>
            </w:r>
          </w:p>
          <w:p>
            <w:pPr>
              <w:bidi w:val="false"/>
              <w:spacing w:after="20" w:line="280"/>
              <w:jc w:val="left"/>
            </w:pPr>
            <w:r>
              <w:rPr>
                <w:b w:val="false"/>
                <w:bCs w:val="false"/>
                <w:color w:val="5A6B7B"/>
                <w:sz w:val="18"/>
                <w:szCs w:val="18"/>
                <w:rtl w:val="false"/>
              </w:rPr>
              <w:t xml:space="preserve">build</w:t>
            </w:r>
            <w:r>
              <w:rPr>
                <w:b w:val="false"/>
                <w:bCs w:val="false"/>
                <w:color w:val="5A6B7B"/>
                <w:sz w:val="18"/>
                <w:szCs w:val="18"/>
                <w:rtl/>
              </w:rPr>
              <w:t xml:space="preserve"> </w:t>
            </w:r>
            <w:r>
              <w:rPr>
                <w:b w:val="false"/>
                <w:bCs w:val="false"/>
                <w:color w:val="5A6B7B"/>
                <w:sz w:val="18"/>
                <w:szCs w:val="18"/>
                <w:rtl w:val="false"/>
              </w:rPr>
              <w:t xml:space="preserve">as</w:t>
            </w:r>
            <w:r>
              <w:rPr>
                <w:b w:val="false"/>
                <w:bCs w:val="false"/>
                <w:color w:val="5A6B7B"/>
                <w:sz w:val="18"/>
                <w:szCs w:val="18"/>
                <w:rtl/>
              </w:rPr>
              <w:t xml:space="preserve"> </w:t>
            </w:r>
            <w:r>
              <w:rPr>
                <w:b w:val="false"/>
                <w:bCs w:val="false"/>
                <w:color w:val="5A6B7B"/>
                <w:sz w:val="18"/>
                <w:szCs w:val="18"/>
                <w:rtl w:val="false"/>
              </w:rPr>
              <w:t xml:space="preserve">child</w:t>
            </w:r>
            <w:r>
              <w:rPr>
                <w:b w:val="false"/>
                <w:bCs w:val="false"/>
                <w:color w:val="5A6B7B"/>
                <w:sz w:val="18"/>
                <w:szCs w:val="18"/>
                <w:rtl/>
              </w:rPr>
              <w:t xml:space="preserve"> </w:t>
            </w:r>
            <w:r>
              <w:rPr>
                <w:b w:val="false"/>
                <w:bCs w:val="false"/>
                <w:color w:val="5A6B7B"/>
                <w:sz w:val="18"/>
                <w:szCs w:val="18"/>
                <w:rtl w:val="false"/>
              </w:rPr>
              <w:t xml:space="preserve">of</w:t>
            </w:r>
            <w:r>
              <w:rPr>
                <w:b w:val="false"/>
                <w:bCs w:val="false"/>
                <w:color w:val="5A6B7B"/>
                <w:sz w:val="18"/>
                <w:szCs w:val="18"/>
                <w:rtl/>
              </w:rPr>
              <w:t xml:space="preserve"> </w:t>
            </w:r>
            <w:r>
              <w:rPr>
                <w:b w:val="false"/>
                <w:bCs w:val="false"/>
                <w:color w:val="5A6B7B"/>
                <w:sz w:val="18"/>
                <w:szCs w:val="18"/>
                <w:rtl w:val="false"/>
              </w:rPr>
              <w:t xml:space="preserve">opportunity</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سجل العروض</w:t>
            </w:r>
          </w:p>
          <w:p>
            <w:pPr>
              <w:bidi/>
              <w:spacing w:after="20" w:line="280"/>
              <w:jc w:val="right"/>
            </w:pPr>
            <w:r>
              <w:rPr>
                <w:b w:val="false"/>
                <w:bCs w:val="false"/>
                <w:color w:val="5A6B7B"/>
                <w:sz w:val="19"/>
                <w:szCs w:val="19"/>
                <w:rtl/>
              </w:rPr>
              <w:t xml:space="preserve">07 · العرض والتفاوض</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6B3A"/>
                <w:sz w:val="21"/>
                <w:szCs w:val="21"/>
                <w:rtl/>
              </w:rPr>
              <w:t xml:space="preserve">شاشة قائمة</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قائمة كما هي</w:t>
            </w:r>
          </w:p>
          <w:p>
            <w:pPr>
              <w:bidi w:val="false"/>
              <w:spacing w:after="20" w:line="280"/>
              <w:jc w:val="left"/>
            </w:pPr>
            <w:r>
              <w:rPr>
                <w:b w:val="false"/>
                <w:bCs w:val="false"/>
                <w:color w:val="5A6B7B"/>
                <w:sz w:val="18"/>
                <w:szCs w:val="18"/>
                <w:rtl w:val="false"/>
              </w:rPr>
              <w:t xml:space="preserve">quotations.php</w:t>
            </w:r>
            <w:r>
              <w:rPr>
                <w:b w:val="false"/>
                <w:bCs w:val="false"/>
                <w:color w:val="5A6B7B"/>
                <w:sz w:val="18"/>
                <w:szCs w:val="18"/>
                <w:rtl/>
              </w:rPr>
              <w:t xml:space="preserve"> · </w:t>
            </w:r>
            <w:r>
              <w:rPr>
                <w:b w:val="false"/>
                <w:bCs w:val="false"/>
                <w:color w:val="5A6B7B"/>
                <w:sz w:val="18"/>
                <w:szCs w:val="18"/>
                <w:rtl w:val="false"/>
              </w:rPr>
              <w:t xml:space="preserve">SCR-0032</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بنود العروض</w:t>
            </w:r>
          </w:p>
          <w:p>
            <w:pPr>
              <w:bidi/>
              <w:spacing w:after="20" w:line="280"/>
              <w:jc w:val="right"/>
            </w:pPr>
            <w:r>
              <w:rPr>
                <w:b w:val="false"/>
                <w:bCs w:val="false"/>
                <w:color w:val="5A6B7B"/>
                <w:sz w:val="19"/>
                <w:szCs w:val="19"/>
                <w:rtl/>
              </w:rPr>
              <w:t xml:space="preserve">08 · العرض والتفاوض</w:t>
            </w:r>
          </w:p>
        </w:tc>
        <w:tc>
          <w:tcPr>
            <w:tcW w:type="dxa" w:w="2100"/>
            <w:tcMar>
              <w:top w:type="dxa" w:w="70"/>
              <w:left w:type="dxa" w:w="95"/>
              <w:bottom w:type="dxa" w:w="70"/>
              <w:right w:type="dxa" w:w="95"/>
            </w:tcMar>
            <w:vAlign w:val="center"/>
          </w:tcPr>
          <w:p>
            <w:pPr>
              <w:bidi/>
              <w:spacing w:after="20" w:line="280"/>
              <w:jc w:val="center"/>
            </w:pPr>
            <w:r>
              <w:rPr>
                <w:b/>
                <w:bCs/>
                <w:color w:val="1F3B57"/>
                <w:sz w:val="21"/>
                <w:szCs w:val="21"/>
                <w:rtl/>
              </w:rPr>
              <w:t xml:space="preserve">سجل تابع</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بنود العرض تابعة لرأسه — تُبنى داخل شاشة العروض</w:t>
            </w:r>
          </w:p>
          <w:p>
            <w:pPr>
              <w:bidi w:val="false"/>
              <w:spacing w:after="20" w:line="280"/>
              <w:jc w:val="left"/>
            </w:pPr>
            <w:r>
              <w:rPr>
                <w:b w:val="false"/>
                <w:bCs w:val="false"/>
                <w:color w:val="5A6B7B"/>
                <w:sz w:val="18"/>
                <w:szCs w:val="18"/>
                <w:rtl w:val="false"/>
              </w:rPr>
              <w:t xml:space="preserve">child</w:t>
            </w:r>
            <w:r>
              <w:rPr>
                <w:b w:val="false"/>
                <w:bCs w:val="false"/>
                <w:color w:val="5A6B7B"/>
                <w:sz w:val="18"/>
                <w:szCs w:val="18"/>
                <w:rtl/>
              </w:rPr>
              <w:t xml:space="preserve"> </w:t>
            </w:r>
            <w:r>
              <w:rPr>
                <w:b w:val="false"/>
                <w:bCs w:val="false"/>
                <w:color w:val="5A6B7B"/>
                <w:sz w:val="18"/>
                <w:szCs w:val="18"/>
                <w:rtl w:val="false"/>
              </w:rPr>
              <w:t xml:space="preserve">of</w:t>
            </w:r>
            <w:r>
              <w:rPr>
                <w:b w:val="false"/>
                <w:bCs w:val="false"/>
                <w:color w:val="5A6B7B"/>
                <w:sz w:val="18"/>
                <w:szCs w:val="18"/>
                <w:rtl/>
              </w:rPr>
              <w:t xml:space="preserve"> </w:t>
            </w:r>
            <w:r>
              <w:rPr>
                <w:b w:val="false"/>
                <w:bCs w:val="false"/>
                <w:color w:val="5A6B7B"/>
                <w:sz w:val="18"/>
                <w:szCs w:val="18"/>
                <w:rtl w:val="false"/>
              </w:rPr>
              <w:t xml:space="preserve">quotations.php</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التفاوض ومراجعات العرض</w:t>
            </w:r>
          </w:p>
          <w:p>
            <w:pPr>
              <w:bidi/>
              <w:spacing w:after="20" w:line="280"/>
              <w:jc w:val="right"/>
            </w:pPr>
            <w:r>
              <w:rPr>
                <w:b w:val="false"/>
                <w:bCs w:val="false"/>
                <w:color w:val="5A6B7B"/>
                <w:sz w:val="19"/>
                <w:szCs w:val="19"/>
                <w:rtl/>
              </w:rPr>
              <w:t xml:space="preserve">09 · العرض والتفاوض</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3B57"/>
                <w:sz w:val="21"/>
                <w:szCs w:val="21"/>
                <w:rtl/>
              </w:rPr>
              <w:t xml:space="preserve">سجل تابع</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سجل نسخ ووقائع تفاوض تابع للعرض</w:t>
            </w:r>
          </w:p>
          <w:p>
            <w:pPr>
              <w:bidi w:val="false"/>
              <w:spacing w:after="20" w:line="280"/>
              <w:jc w:val="left"/>
            </w:pPr>
            <w:r>
              <w:rPr>
                <w:b w:val="false"/>
                <w:bCs w:val="false"/>
                <w:color w:val="5A6B7B"/>
                <w:sz w:val="18"/>
                <w:szCs w:val="18"/>
                <w:rtl w:val="false"/>
              </w:rPr>
              <w:t xml:space="preserve">child</w:t>
            </w:r>
            <w:r>
              <w:rPr>
                <w:b w:val="false"/>
                <w:bCs w:val="false"/>
                <w:color w:val="5A6B7B"/>
                <w:sz w:val="18"/>
                <w:szCs w:val="18"/>
                <w:rtl/>
              </w:rPr>
              <w:t xml:space="preserve"> </w:t>
            </w:r>
            <w:r>
              <w:rPr>
                <w:b w:val="false"/>
                <w:bCs w:val="false"/>
                <w:color w:val="5A6B7B"/>
                <w:sz w:val="18"/>
                <w:szCs w:val="18"/>
                <w:rtl w:val="false"/>
              </w:rPr>
              <w:t xml:space="preserve">of</w:t>
            </w:r>
            <w:r>
              <w:rPr>
                <w:b w:val="false"/>
                <w:bCs w:val="false"/>
                <w:color w:val="5A6B7B"/>
                <w:sz w:val="18"/>
                <w:szCs w:val="18"/>
                <w:rtl/>
              </w:rPr>
              <w:t xml:space="preserve"> </w:t>
            </w:r>
            <w:r>
              <w:rPr>
                <w:b w:val="false"/>
                <w:bCs w:val="false"/>
                <w:color w:val="5A6B7B"/>
                <w:sz w:val="18"/>
                <w:szCs w:val="18"/>
                <w:rtl w:val="false"/>
              </w:rPr>
              <w:t xml:space="preserve">quotations.php</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مراجعة ما قبل العقد</w:t>
            </w:r>
          </w:p>
          <w:p>
            <w:pPr>
              <w:bidi/>
              <w:spacing w:after="20" w:line="280"/>
              <w:jc w:val="right"/>
            </w:pPr>
            <w:r>
              <w:rPr>
                <w:b w:val="false"/>
                <w:bCs w:val="false"/>
                <w:color w:val="5A6B7B"/>
                <w:sz w:val="19"/>
                <w:szCs w:val="19"/>
                <w:rtl/>
              </w:rPr>
              <w:t xml:space="preserve">10 · العرض والتفاوض</w:t>
            </w:r>
          </w:p>
        </w:tc>
        <w:tc>
          <w:tcPr>
            <w:tcW w:type="dxa" w:w="2100"/>
            <w:tcMar>
              <w:top w:type="dxa" w:w="70"/>
              <w:left w:type="dxa" w:w="95"/>
              <w:bottom w:type="dxa" w:w="70"/>
              <w:right w:type="dxa" w:w="95"/>
            </w:tcMar>
            <w:vAlign w:val="center"/>
          </w:tcPr>
          <w:p>
            <w:pPr>
              <w:bidi/>
              <w:spacing w:after="20" w:line="280"/>
              <w:jc w:val="center"/>
            </w:pPr>
            <w:r>
              <w:rPr>
                <w:b/>
                <w:bCs/>
                <w:color w:val="1F6B3A"/>
                <w:sz w:val="21"/>
                <w:szCs w:val="21"/>
                <w:rtl/>
              </w:rPr>
              <w:t xml:space="preserve">شاشة قائمة</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جاهزية العروض القائمة هي هذه المراجعة — تُعاد تسميتها</w:t>
            </w:r>
          </w:p>
          <w:p>
            <w:pPr>
              <w:bidi w:val="false"/>
              <w:spacing w:after="20" w:line="280"/>
              <w:jc w:val="left"/>
            </w:pPr>
            <w:r>
              <w:rPr>
                <w:b w:val="false"/>
                <w:bCs w:val="false"/>
                <w:color w:val="5A6B7B"/>
                <w:sz w:val="18"/>
                <w:szCs w:val="18"/>
                <w:rtl w:val="false"/>
              </w:rPr>
              <w:t xml:space="preserve">readiness_lines.php</w:t>
            </w:r>
            <w:r>
              <w:rPr>
                <w:b w:val="false"/>
                <w:bCs w:val="false"/>
                <w:color w:val="5A6B7B"/>
                <w:sz w:val="18"/>
                <w:szCs w:val="18"/>
                <w:rtl/>
              </w:rPr>
              <w:t xml:space="preserve"> · </w:t>
            </w:r>
            <w:r>
              <w:rPr>
                <w:b w:val="false"/>
                <w:bCs w:val="false"/>
                <w:color w:val="5A6B7B"/>
                <w:sz w:val="18"/>
                <w:szCs w:val="18"/>
                <w:rtl w:val="false"/>
              </w:rPr>
              <w:t xml:space="preserve">SCR-0034</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سجل عقود المشاريع</w:t>
            </w:r>
          </w:p>
          <w:p>
            <w:pPr>
              <w:bidi/>
              <w:spacing w:after="20" w:line="280"/>
              <w:jc w:val="right"/>
            </w:pPr>
            <w:r>
              <w:rPr>
                <w:b w:val="false"/>
                <w:bCs w:val="false"/>
                <w:color w:val="5A6B7B"/>
                <w:sz w:val="19"/>
                <w:szCs w:val="19"/>
                <w:rtl/>
              </w:rPr>
              <w:t xml:space="preserve">11 · التعاقد</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6B3A"/>
                <w:sz w:val="21"/>
                <w:szCs w:val="21"/>
                <w:rtl/>
              </w:rPr>
              <w:t xml:space="preserve">شاشة قائمة</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رأس السجل — ويصير ملفًّا أمًّا لأربع عشرة شاشة عقد متفرقة</w:t>
            </w:r>
          </w:p>
          <w:p>
            <w:pPr>
              <w:bidi w:val="false"/>
              <w:spacing w:after="20" w:line="280"/>
              <w:jc w:val="left"/>
            </w:pPr>
            <w:r>
              <w:rPr>
                <w:b w:val="false"/>
                <w:bCs w:val="false"/>
                <w:color w:val="5A6B7B"/>
                <w:sz w:val="18"/>
                <w:szCs w:val="18"/>
                <w:rtl w:val="false"/>
              </w:rPr>
              <w:t xml:space="preserve">contracts.php</w:t>
            </w:r>
            <w:r>
              <w:rPr>
                <w:b w:val="false"/>
                <w:bCs w:val="false"/>
                <w:color w:val="5A6B7B"/>
                <w:sz w:val="18"/>
                <w:szCs w:val="18"/>
                <w:rtl/>
              </w:rPr>
              <w:t xml:space="preserve"> · </w:t>
            </w:r>
            <w:r>
              <w:rPr>
                <w:b w:val="false"/>
                <w:bCs w:val="false"/>
                <w:color w:val="5A6B7B"/>
                <w:sz w:val="18"/>
                <w:szCs w:val="18"/>
                <w:rtl w:val="false"/>
              </w:rPr>
              <w:t xml:space="preserve">SCR-0055</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بنود العقد والالتزام</w:t>
            </w:r>
          </w:p>
          <w:p>
            <w:pPr>
              <w:bidi/>
              <w:spacing w:after="20" w:line="280"/>
              <w:jc w:val="right"/>
            </w:pPr>
            <w:r>
              <w:rPr>
                <w:b w:val="false"/>
                <w:bCs w:val="false"/>
                <w:color w:val="5A6B7B"/>
                <w:sz w:val="19"/>
                <w:szCs w:val="19"/>
                <w:rtl/>
              </w:rPr>
              <w:t xml:space="preserve">12 · التعاقد</w:t>
            </w:r>
          </w:p>
        </w:tc>
        <w:tc>
          <w:tcPr>
            <w:tcW w:type="dxa" w:w="2100"/>
            <w:tcMar>
              <w:top w:type="dxa" w:w="70"/>
              <w:left w:type="dxa" w:w="95"/>
              <w:bottom w:type="dxa" w:w="70"/>
              <w:right w:type="dxa" w:w="95"/>
            </w:tcMar>
            <w:vAlign w:val="center"/>
          </w:tcPr>
          <w:p>
            <w:pPr>
              <w:bidi/>
              <w:spacing w:after="20" w:line="280"/>
              <w:jc w:val="center"/>
            </w:pPr>
            <w:r>
              <w:rPr>
                <w:b/>
                <w:bCs/>
                <w:color w:val="1F3B57"/>
                <w:sz w:val="21"/>
                <w:szCs w:val="21"/>
                <w:rtl/>
              </w:rPr>
              <w:t xml:space="preserve">تبويب في الملف الأم</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تبويب داخل ملف العقد</w:t>
            </w:r>
          </w:p>
          <w:p>
            <w:pPr>
              <w:bidi w:val="false"/>
              <w:spacing w:after="20" w:line="280"/>
              <w:jc w:val="left"/>
            </w:pPr>
            <w:r>
              <w:rPr>
                <w:b w:val="false"/>
                <w:bCs w:val="false"/>
                <w:color w:val="5A6B7B"/>
                <w:sz w:val="18"/>
                <w:szCs w:val="18"/>
                <w:rtl w:val="false"/>
              </w:rPr>
              <w:t xml:space="preserve">contract_lines.php</w:t>
            </w:r>
            <w:r>
              <w:rPr>
                <w:b w:val="false"/>
                <w:bCs w:val="false"/>
                <w:color w:val="5A6B7B"/>
                <w:sz w:val="18"/>
                <w:szCs w:val="18"/>
                <w:rtl/>
              </w:rPr>
              <w:t xml:space="preserve"> · </w:t>
            </w:r>
            <w:r>
              <w:rPr>
                <w:b w:val="false"/>
                <w:bCs w:val="false"/>
                <w:color w:val="5A6B7B"/>
                <w:sz w:val="18"/>
                <w:szCs w:val="18"/>
                <w:rtl w:val="false"/>
              </w:rPr>
              <w:t xml:space="preserve">SCR-0048</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مصفوفة الالتزامات</w:t>
            </w:r>
          </w:p>
          <w:p>
            <w:pPr>
              <w:bidi/>
              <w:spacing w:after="20" w:line="280"/>
              <w:jc w:val="right"/>
            </w:pPr>
            <w:r>
              <w:rPr>
                <w:b w:val="false"/>
                <w:bCs w:val="false"/>
                <w:color w:val="5A6B7B"/>
                <w:sz w:val="19"/>
                <w:szCs w:val="19"/>
                <w:rtl w:val="false"/>
              </w:rPr>
              <w:t xml:space="preserve">12-2</w:t>
            </w:r>
            <w:r>
              <w:rPr>
                <w:b w:val="false"/>
                <w:bCs w:val="false"/>
                <w:color w:val="5A6B7B"/>
                <w:sz w:val="19"/>
                <w:szCs w:val="19"/>
                <w:rtl/>
              </w:rPr>
              <w:t xml:space="preserve"> · التعاقد</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3B57"/>
                <w:sz w:val="21"/>
                <w:szCs w:val="21"/>
                <w:rtl/>
              </w:rPr>
              <w:t xml:space="preserve">دمج في شاشة قائمة</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تُدمج شاشتا الالتزامات في مصفوفة واحدة</w:t>
            </w:r>
          </w:p>
          <w:p>
            <w:pPr>
              <w:bidi w:val="false"/>
              <w:spacing w:after="20" w:line="280"/>
              <w:jc w:val="left"/>
            </w:pPr>
            <w:r>
              <w:rPr>
                <w:b w:val="false"/>
                <w:bCs w:val="false"/>
                <w:color w:val="5A6B7B"/>
                <w:sz w:val="18"/>
                <w:szCs w:val="18"/>
                <w:rtl w:val="false"/>
              </w:rPr>
              <w:t xml:space="preserve">contract_obligations</w:t>
            </w:r>
            <w:r>
              <w:rPr>
                <w:b w:val="false"/>
                <w:bCs w:val="false"/>
                <w:color w:val="5A6B7B"/>
                <w:sz w:val="18"/>
                <w:szCs w:val="18"/>
                <w:rtl/>
              </w:rPr>
              <w:t xml:space="preserve"> + </w:t>
            </w:r>
            <w:r>
              <w:rPr>
                <w:b w:val="false"/>
                <w:bCs w:val="false"/>
                <w:color w:val="5A6B7B"/>
                <w:sz w:val="18"/>
                <w:szCs w:val="18"/>
                <w:rtl w:val="false"/>
              </w:rPr>
              <w:t xml:space="preserve">contract_commitments</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خط الأساس والمستهدفات</w:t>
            </w:r>
          </w:p>
          <w:p>
            <w:pPr>
              <w:bidi/>
              <w:spacing w:after="20" w:line="280"/>
              <w:jc w:val="right"/>
            </w:pPr>
            <w:r>
              <w:rPr>
                <w:b w:val="false"/>
                <w:bCs w:val="false"/>
                <w:color w:val="5A6B7B"/>
                <w:sz w:val="19"/>
                <w:szCs w:val="19"/>
                <w:rtl/>
              </w:rPr>
              <w:t xml:space="preserve">13 · التعاقد</w:t>
            </w:r>
          </w:p>
        </w:tc>
        <w:tc>
          <w:tcPr>
            <w:tcW w:type="dxa" w:w="2100"/>
            <w:tcMar>
              <w:top w:type="dxa" w:w="70"/>
              <w:left w:type="dxa" w:w="95"/>
              <w:bottom w:type="dxa" w:w="70"/>
              <w:right w:type="dxa" w:w="95"/>
            </w:tcMar>
            <w:vAlign w:val="center"/>
          </w:tcPr>
          <w:p>
            <w:pPr>
              <w:bidi/>
              <w:spacing w:after="20" w:line="280"/>
              <w:jc w:val="center"/>
            </w:pPr>
            <w:r>
              <w:rPr>
                <w:b/>
                <w:bCs/>
                <w:color w:val="1F3B57"/>
                <w:sz w:val="21"/>
                <w:szCs w:val="21"/>
                <w:rtl/>
              </w:rPr>
              <w:t xml:space="preserve">دمج في شاشة قائمة</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خط الأساس والجدول الشهري سطح واحد</w:t>
            </w:r>
          </w:p>
          <w:p>
            <w:pPr>
              <w:bidi w:val="false"/>
              <w:spacing w:after="20" w:line="280"/>
              <w:jc w:val="left"/>
            </w:pPr>
            <w:r>
              <w:rPr>
                <w:b w:val="false"/>
                <w:bCs w:val="false"/>
                <w:color w:val="5A6B7B"/>
                <w:sz w:val="18"/>
                <w:szCs w:val="18"/>
                <w:rtl w:val="false"/>
              </w:rPr>
              <w:t xml:space="preserve">contract_baseline</w:t>
            </w:r>
            <w:r>
              <w:rPr>
                <w:b w:val="false"/>
                <w:bCs w:val="false"/>
                <w:color w:val="5A6B7B"/>
                <w:sz w:val="18"/>
                <w:szCs w:val="18"/>
                <w:rtl/>
              </w:rPr>
              <w:t xml:space="preserve"> + </w:t>
            </w:r>
            <w:r>
              <w:rPr>
                <w:b w:val="false"/>
                <w:bCs w:val="false"/>
                <w:color w:val="5A6B7B"/>
                <w:sz w:val="18"/>
                <w:szCs w:val="18"/>
                <w:rtl w:val="false"/>
              </w:rPr>
              <w:t xml:space="preserve">contract_monthly_plan</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الحاويات التعاقدية</w:t>
            </w:r>
          </w:p>
          <w:p>
            <w:pPr>
              <w:bidi/>
              <w:spacing w:after="20" w:line="280"/>
              <w:jc w:val="right"/>
            </w:pPr>
            <w:r>
              <w:rPr>
                <w:b w:val="false"/>
                <w:bCs w:val="false"/>
                <w:color w:val="5A6B7B"/>
                <w:sz w:val="19"/>
                <w:szCs w:val="19"/>
                <w:rtl/>
              </w:rPr>
              <w:t xml:space="preserve">14 · التعاقد</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3B57"/>
                <w:sz w:val="21"/>
                <w:szCs w:val="21"/>
                <w:rtl/>
              </w:rPr>
              <w:t xml:space="preserve">تبويب في الملف الأم</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تبويب التغطية التعاقدية داخل ملف العقد — ولا يظهر باسمه الفني</w:t>
            </w:r>
          </w:p>
          <w:p>
            <w:pPr>
              <w:bidi w:val="false"/>
              <w:spacing w:after="20" w:line="280"/>
              <w:jc w:val="left"/>
            </w:pPr>
            <w:r>
              <w:rPr>
                <w:b w:val="false"/>
                <w:bCs w:val="false"/>
                <w:color w:val="5A6B7B"/>
                <w:sz w:val="18"/>
                <w:szCs w:val="18"/>
                <w:rtl w:val="false"/>
              </w:rPr>
              <w:t xml:space="preserve">contract_coverage.php</w:t>
            </w:r>
            <w:r>
              <w:rPr>
                <w:b w:val="false"/>
                <w:bCs w:val="false"/>
                <w:color w:val="5A6B7B"/>
                <w:sz w:val="18"/>
                <w:szCs w:val="18"/>
                <w:rtl/>
              </w:rPr>
              <w:t xml:space="preserve"> · </w:t>
            </w:r>
            <w:r>
              <w:rPr>
                <w:b w:val="false"/>
                <w:bCs w:val="false"/>
                <w:color w:val="5A6B7B"/>
                <w:sz w:val="18"/>
                <w:szCs w:val="18"/>
                <w:rtl w:val="false"/>
              </w:rPr>
              <w:t xml:space="preserve">SCR-0045</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الأداء والمبيعات الشهرية</w:t>
            </w:r>
          </w:p>
          <w:p>
            <w:pPr>
              <w:bidi/>
              <w:spacing w:after="20" w:line="280"/>
              <w:jc w:val="right"/>
            </w:pPr>
            <w:r>
              <w:rPr>
                <w:b w:val="false"/>
                <w:bCs w:val="false"/>
                <w:color w:val="5A6B7B"/>
                <w:sz w:val="19"/>
                <w:szCs w:val="19"/>
                <w:rtl/>
              </w:rPr>
              <w:t xml:space="preserve">15 · الأداء والمطالبات</w:t>
            </w:r>
          </w:p>
        </w:tc>
        <w:tc>
          <w:tcPr>
            <w:tcW w:type="dxa" w:w="2100"/>
            <w:tcMar>
              <w:top w:type="dxa" w:w="70"/>
              <w:left w:type="dxa" w:w="95"/>
              <w:bottom w:type="dxa" w:w="70"/>
              <w:right w:type="dxa" w:w="95"/>
            </w:tcMar>
            <w:vAlign w:val="center"/>
          </w:tcPr>
          <w:p>
            <w:pPr>
              <w:bidi/>
              <w:spacing w:after="20" w:line="280"/>
              <w:jc w:val="center"/>
            </w:pPr>
            <w:r>
              <w:rPr>
                <w:b/>
                <w:bCs/>
                <w:color w:val="1F3B57"/>
                <w:sz w:val="21"/>
                <w:szCs w:val="21"/>
                <w:rtl/>
              </w:rPr>
              <w:t xml:space="preserve">إسقاط قراءة</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قراءة من التايم شيت المعتمد — لا إدخال ساعات في المبيعات</w:t>
            </w:r>
          </w:p>
          <w:p>
            <w:pPr>
              <w:bidi w:val="false"/>
              <w:spacing w:after="20" w:line="280"/>
              <w:jc w:val="left"/>
            </w:pPr>
            <w:r>
              <w:rPr>
                <w:b w:val="false"/>
                <w:bCs w:val="false"/>
                <w:color w:val="5A6B7B"/>
                <w:sz w:val="18"/>
                <w:szCs w:val="18"/>
                <w:rtl w:val="false"/>
              </w:rPr>
              <w:t xml:space="preserve">unit_statement_client</w:t>
            </w:r>
            <w:r>
              <w:rPr>
                <w:b w:val="false"/>
                <w:bCs w:val="false"/>
                <w:color w:val="5A6B7B"/>
                <w:sz w:val="18"/>
                <w:szCs w:val="18"/>
                <w:rtl/>
              </w:rPr>
              <w:t xml:space="preserve"> + </w:t>
            </w:r>
            <w:r>
              <w:rPr>
                <w:b w:val="false"/>
                <w:bCs w:val="false"/>
                <w:color w:val="5A6B7B"/>
                <w:sz w:val="18"/>
                <w:szCs w:val="18"/>
                <w:rtl w:val="false"/>
              </w:rPr>
              <w:t xml:space="preserve">plan_actual_link</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المطالبات والتسليم للمالية</w:t>
            </w:r>
          </w:p>
          <w:p>
            <w:pPr>
              <w:bidi/>
              <w:spacing w:after="20" w:line="280"/>
              <w:jc w:val="right"/>
            </w:pPr>
            <w:r>
              <w:rPr>
                <w:b w:val="false"/>
                <w:bCs w:val="false"/>
                <w:color w:val="5A6B7B"/>
                <w:sz w:val="19"/>
                <w:szCs w:val="19"/>
                <w:rtl/>
              </w:rPr>
              <w:t xml:space="preserve">16 · الأداء والمطالبات</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6B3A"/>
                <w:sz w:val="21"/>
                <w:szCs w:val="21"/>
                <w:rtl/>
              </w:rPr>
              <w:t xml:space="preserve">شاشة قائمة</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قائمة — ويلحق بها قبول العميل بدل شاشة مستقلة</w:t>
            </w:r>
          </w:p>
          <w:p>
            <w:pPr>
              <w:bidi w:val="false"/>
              <w:spacing w:after="20" w:line="280"/>
              <w:jc w:val="left"/>
            </w:pPr>
            <w:r>
              <w:rPr>
                <w:b w:val="false"/>
                <w:bCs w:val="false"/>
                <w:color w:val="5A6B7B"/>
                <w:sz w:val="18"/>
                <w:szCs w:val="18"/>
                <w:rtl w:val="false"/>
              </w:rPr>
              <w:t xml:space="preserve">claims.php</w:t>
            </w:r>
            <w:r>
              <w:rPr>
                <w:b w:val="false"/>
                <w:bCs w:val="false"/>
                <w:color w:val="5A6B7B"/>
                <w:sz w:val="18"/>
                <w:szCs w:val="18"/>
                <w:rtl/>
              </w:rPr>
              <w:t xml:space="preserve"> · </w:t>
            </w:r>
            <w:r>
              <w:rPr>
                <w:b w:val="false"/>
                <w:bCs w:val="false"/>
                <w:color w:val="5A6B7B"/>
                <w:sz w:val="18"/>
                <w:szCs w:val="18"/>
                <w:rtl w:val="false"/>
              </w:rPr>
              <w:t xml:space="preserve">SCR-0037</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الملحقات والتجديد والإغلاق</w:t>
            </w:r>
          </w:p>
          <w:p>
            <w:pPr>
              <w:bidi/>
              <w:spacing w:after="20" w:line="280"/>
              <w:jc w:val="right"/>
            </w:pPr>
            <w:r>
              <w:rPr>
                <w:b w:val="false"/>
                <w:bCs w:val="false"/>
                <w:color w:val="5A6B7B"/>
                <w:sz w:val="19"/>
                <w:szCs w:val="19"/>
                <w:rtl/>
              </w:rPr>
              <w:t xml:space="preserve">17 · الأداء والمطالبات</w:t>
            </w:r>
          </w:p>
        </w:tc>
        <w:tc>
          <w:tcPr>
            <w:tcW w:type="dxa" w:w="2100"/>
            <w:tcMar>
              <w:top w:type="dxa" w:w="70"/>
              <w:left w:type="dxa" w:w="95"/>
              <w:bottom w:type="dxa" w:w="70"/>
              <w:right w:type="dxa" w:w="95"/>
            </w:tcMar>
            <w:vAlign w:val="center"/>
          </w:tcPr>
          <w:p>
            <w:pPr>
              <w:bidi/>
              <w:spacing w:after="20" w:line="280"/>
              <w:jc w:val="center"/>
            </w:pPr>
            <w:r>
              <w:rPr>
                <w:b/>
                <w:bCs/>
                <w:color w:val="1F3B57"/>
                <w:sz w:val="21"/>
                <w:szCs w:val="21"/>
                <w:rtl/>
              </w:rPr>
              <w:t xml:space="preserve">دمج في شاشة قائمة</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الملاحق وسجل الحركة واقتصاد دورة الحياة سطح واحد</w:t>
            </w:r>
          </w:p>
          <w:p>
            <w:pPr>
              <w:bidi w:val="false"/>
              <w:spacing w:after="20" w:line="280"/>
              <w:jc w:val="left"/>
            </w:pPr>
            <w:r>
              <w:rPr>
                <w:b w:val="false"/>
                <w:bCs w:val="false"/>
                <w:color w:val="5A6B7B"/>
                <w:sz w:val="18"/>
                <w:szCs w:val="18"/>
                <w:rtl w:val="false"/>
              </w:rPr>
              <w:t xml:space="preserve">contract_amendments</w:t>
            </w:r>
            <w:r>
              <w:rPr>
                <w:b w:val="false"/>
                <w:bCs w:val="false"/>
                <w:color w:val="5A6B7B"/>
                <w:sz w:val="18"/>
                <w:szCs w:val="18"/>
                <w:rtl/>
              </w:rPr>
              <w:t xml:space="preserve"> + </w:t>
            </w:r>
            <w:r>
              <w:rPr>
                <w:b w:val="false"/>
                <w:bCs w:val="false"/>
                <w:color w:val="5A6B7B"/>
                <w:sz w:val="18"/>
                <w:szCs w:val="18"/>
                <w:rtl w:val="false"/>
              </w:rPr>
              <w:t xml:space="preserve">contract_events</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لوحة المبيعات</w:t>
            </w:r>
          </w:p>
          <w:p>
            <w:pPr>
              <w:bidi/>
              <w:spacing w:after="20" w:line="280"/>
              <w:jc w:val="right"/>
            </w:pPr>
            <w:r>
              <w:rPr>
                <w:b w:val="false"/>
                <w:bCs w:val="false"/>
                <w:color w:val="5A6B7B"/>
                <w:sz w:val="19"/>
                <w:szCs w:val="19"/>
                <w:rtl/>
              </w:rPr>
              <w:t xml:space="preserve">18 · الإدارة</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6B3A"/>
                <w:sz w:val="21"/>
                <w:szCs w:val="21"/>
                <w:rtl/>
              </w:rPr>
              <w:t xml:space="preserve">شاشة قائمة</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اللوحة التجارية القائمة تُعاد تسميتها لوحة المبيعات</w:t>
            </w:r>
          </w:p>
          <w:p>
            <w:pPr>
              <w:bidi w:val="false"/>
              <w:spacing w:after="20" w:line="280"/>
              <w:jc w:val="left"/>
            </w:pPr>
            <w:r>
              <w:rPr>
                <w:b w:val="false"/>
                <w:bCs w:val="false"/>
                <w:color w:val="5A6B7B"/>
                <w:sz w:val="18"/>
                <w:szCs w:val="18"/>
                <w:rtl w:val="false"/>
              </w:rPr>
              <w:t xml:space="preserve">commercial_board.php</w:t>
            </w:r>
            <w:r>
              <w:rPr>
                <w:b w:val="false"/>
                <w:bCs w:val="false"/>
                <w:color w:val="5A6B7B"/>
                <w:sz w:val="18"/>
                <w:szCs w:val="18"/>
                <w:rtl/>
              </w:rPr>
              <w:t xml:space="preserve"> · </w:t>
            </w:r>
            <w:r>
              <w:rPr>
                <w:b w:val="false"/>
                <w:bCs w:val="false"/>
                <w:color w:val="5A6B7B"/>
                <w:sz w:val="18"/>
                <w:szCs w:val="18"/>
                <w:rtl w:val="false"/>
              </w:rPr>
              <w:t xml:space="preserve">SCR-0041</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القوائم المرجعية</w:t>
            </w:r>
          </w:p>
          <w:p>
            <w:pPr>
              <w:bidi/>
              <w:spacing w:after="20" w:line="280"/>
              <w:jc w:val="right"/>
            </w:pPr>
            <w:r>
              <w:rPr>
                <w:b w:val="false"/>
                <w:bCs w:val="false"/>
                <w:color w:val="5A6B7B"/>
                <w:sz w:val="19"/>
                <w:szCs w:val="19"/>
                <w:rtl/>
              </w:rPr>
              <w:t xml:space="preserve">19 · الإدارة</w:t>
            </w:r>
          </w:p>
        </w:tc>
        <w:tc>
          <w:tcPr>
            <w:tcW w:type="dxa" w:w="2100"/>
            <w:tcMar>
              <w:top w:type="dxa" w:w="70"/>
              <w:left w:type="dxa" w:w="95"/>
              <w:bottom w:type="dxa" w:w="70"/>
              <w:right w:type="dxa" w:w="95"/>
            </w:tcMar>
            <w:vAlign w:val="center"/>
          </w:tcPr>
          <w:p>
            <w:pPr>
              <w:bidi/>
              <w:spacing w:after="20" w:line="280"/>
              <w:jc w:val="center"/>
            </w:pPr>
            <w:r>
              <w:rPr>
                <w:b/>
                <w:bCs/>
                <w:color w:val="1F6B3A"/>
                <w:sz w:val="21"/>
                <w:szCs w:val="21"/>
                <w:rtl/>
              </w:rPr>
              <w:t xml:space="preserve">شاشة قائمة</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خمس شاشات مرجعية قائمة تُجمع في مجموعة البيانات المرجعية</w:t>
            </w:r>
          </w:p>
          <w:p>
            <w:pPr>
              <w:bidi w:val="false"/>
              <w:spacing w:after="20" w:line="280"/>
              <w:jc w:val="left"/>
            </w:pPr>
            <w:r>
              <w:rPr>
                <w:b w:val="false"/>
                <w:bCs w:val="false"/>
                <w:color w:val="5A6B7B"/>
                <w:sz w:val="18"/>
                <w:szCs w:val="18"/>
                <w:rtl w:val="false"/>
              </w:rPr>
              <w:t xml:space="preserve">products</w:t>
            </w:r>
            <w:r>
              <w:rPr>
                <w:b w:val="false"/>
                <w:bCs w:val="false"/>
                <w:color w:val="5A6B7B"/>
                <w:sz w:val="18"/>
                <w:szCs w:val="18"/>
                <w:rtl/>
              </w:rPr>
              <w:t xml:space="preserve"> · </w:t>
            </w:r>
            <w:r>
              <w:rPr>
                <w:b w:val="false"/>
                <w:bCs w:val="false"/>
                <w:color w:val="5A6B7B"/>
                <w:sz w:val="18"/>
                <w:szCs w:val="18"/>
                <w:rtl w:val="false"/>
              </w:rPr>
              <w:t xml:space="preserve">pricelists</w:t>
            </w:r>
            <w:r>
              <w:rPr>
                <w:b w:val="false"/>
                <w:bCs w:val="false"/>
                <w:color w:val="5A6B7B"/>
                <w:sz w:val="18"/>
                <w:szCs w:val="18"/>
                <w:rtl/>
              </w:rPr>
              <w:t xml:space="preserve"> · </w:t>
            </w:r>
            <w:r>
              <w:rPr>
                <w:b w:val="false"/>
                <w:bCs w:val="false"/>
                <w:color w:val="5A6B7B"/>
                <w:sz w:val="18"/>
                <w:szCs w:val="18"/>
                <w:rtl w:val="false"/>
              </w:rPr>
              <w:t xml:space="preserve">rate_books</w:t>
            </w:r>
            <w:r>
              <w:rPr>
                <w:b w:val="false"/>
                <w:bCs w:val="false"/>
                <w:color w:val="5A6B7B"/>
                <w:sz w:val="18"/>
                <w:szCs w:val="18"/>
                <w:rtl/>
              </w:rPr>
              <w:t xml:space="preserve"> · </w:t>
            </w:r>
            <w:r>
              <w:rPr>
                <w:b w:val="false"/>
                <w:bCs w:val="false"/>
                <w:color w:val="5A6B7B"/>
                <w:sz w:val="18"/>
                <w:szCs w:val="18"/>
                <w:rtl w:val="false"/>
              </w:rPr>
              <w:t xml:space="preserve">uom</w:t>
            </w:r>
            <w:r>
              <w:rPr>
                <w:b w:val="false"/>
                <w:bCs w:val="false"/>
                <w:color w:val="5A6B7B"/>
                <w:sz w:val="18"/>
                <w:szCs w:val="18"/>
                <w:rtl/>
              </w:rPr>
              <w:t xml:space="preserve"> · </w:t>
            </w:r>
            <w:r>
              <w:rPr>
                <w:b w:val="false"/>
                <w:bCs w:val="false"/>
                <w:color w:val="5A6B7B"/>
                <w:sz w:val="18"/>
                <w:szCs w:val="18"/>
                <w:rtl w:val="false"/>
              </w:rPr>
              <w:t xml:space="preserve">business_models</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قاموس البيانات</w:t>
            </w:r>
          </w:p>
          <w:p>
            <w:pPr>
              <w:bidi/>
              <w:spacing w:after="20" w:line="280"/>
              <w:jc w:val="right"/>
            </w:pPr>
            <w:r>
              <w:rPr>
                <w:b w:val="false"/>
                <w:bCs w:val="false"/>
                <w:color w:val="5A6B7B"/>
                <w:sz w:val="19"/>
                <w:szCs w:val="19"/>
                <w:rtl/>
              </w:rPr>
              <w:t xml:space="preserve">20 · الإدارة</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3B57"/>
                <w:sz w:val="21"/>
                <w:szCs w:val="21"/>
                <w:rtl/>
              </w:rPr>
              <w:t xml:space="preserve">مرجع لا شاشة</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ليست شاشة — تغذّي سجل الحقول وتصنيف البيانات</w:t>
            </w:r>
          </w:p>
          <w:p>
            <w:pPr>
              <w:bidi w:val="false"/>
              <w:spacing w:after="20" w:line="280"/>
              <w:jc w:val="left"/>
            </w:pPr>
            <w:r>
              <w:rPr>
                <w:b w:val="false"/>
                <w:bCs w:val="false"/>
                <w:color w:val="5A6B7B"/>
                <w:sz w:val="18"/>
                <w:szCs w:val="18"/>
                <w:rtl w:val="false"/>
              </w:rPr>
              <w:t xml:space="preserve">feeds</w:t>
            </w:r>
            <w:r>
              <w:rPr>
                <w:b w:val="false"/>
                <w:bCs w:val="false"/>
                <w:color w:val="5A6B7B"/>
                <w:sz w:val="18"/>
                <w:szCs w:val="18"/>
                <w:rtl/>
              </w:rPr>
              <w:t xml:space="preserve"> </w:t>
            </w:r>
            <w:r>
              <w:rPr>
                <w:b w:val="false"/>
                <w:bCs w:val="false"/>
                <w:color w:val="5A6B7B"/>
                <w:sz w:val="18"/>
                <w:szCs w:val="18"/>
                <w:rtl w:val="false"/>
              </w:rPr>
              <w:t xml:space="preserve">field</w:t>
            </w:r>
            <w:r>
              <w:rPr>
                <w:b w:val="false"/>
                <w:bCs w:val="false"/>
                <w:color w:val="5A6B7B"/>
                <w:sz w:val="18"/>
                <w:szCs w:val="18"/>
                <w:rtl/>
              </w:rPr>
              <w:t xml:space="preserve"> </w:t>
            </w:r>
            <w:r>
              <w:rPr>
                <w:b w:val="false"/>
                <w:bCs w:val="false"/>
                <w:color w:val="5A6B7B"/>
                <w:sz w:val="18"/>
                <w:szCs w:val="18"/>
                <w:rtl w:val="false"/>
              </w:rPr>
              <w:t xml:space="preserve">registry</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خريطة الترحيل</w:t>
            </w:r>
          </w:p>
          <w:p>
            <w:pPr>
              <w:bidi/>
              <w:spacing w:after="20" w:line="280"/>
              <w:jc w:val="right"/>
            </w:pPr>
            <w:r>
              <w:rPr>
                <w:b w:val="false"/>
                <w:bCs w:val="false"/>
                <w:color w:val="5A6B7B"/>
                <w:sz w:val="19"/>
                <w:szCs w:val="19"/>
                <w:rtl/>
              </w:rPr>
              <w:t xml:space="preserve">21 · الإدارة</w:t>
            </w:r>
          </w:p>
        </w:tc>
        <w:tc>
          <w:tcPr>
            <w:tcW w:type="dxa" w:w="2100"/>
            <w:tcMar>
              <w:top w:type="dxa" w:w="70"/>
              <w:left w:type="dxa" w:w="95"/>
              <w:bottom w:type="dxa" w:w="70"/>
              <w:right w:type="dxa" w:w="95"/>
            </w:tcMar>
            <w:vAlign w:val="center"/>
          </w:tcPr>
          <w:p>
            <w:pPr>
              <w:bidi/>
              <w:spacing w:after="20" w:line="280"/>
              <w:jc w:val="center"/>
            </w:pPr>
            <w:r>
              <w:rPr>
                <w:b/>
                <w:bCs/>
                <w:color w:val="1F3B57"/>
                <w:sz w:val="21"/>
                <w:szCs w:val="21"/>
                <w:rtl/>
              </w:rPr>
              <w:t xml:space="preserve">مرجع لا شاشة</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ليست شاشة — تغذّي دفتر التصحيح</w:t>
            </w:r>
          </w:p>
          <w:p>
            <w:pPr>
              <w:bidi w:val="false"/>
              <w:spacing w:after="20" w:line="280"/>
              <w:jc w:val="left"/>
            </w:pPr>
            <w:r>
              <w:rPr>
                <w:b w:val="false"/>
                <w:bCs w:val="false"/>
                <w:color w:val="5A6B7B"/>
                <w:sz w:val="18"/>
                <w:szCs w:val="18"/>
                <w:rtl w:val="false"/>
              </w:rPr>
              <w:t xml:space="preserve">feeds</w:t>
            </w:r>
            <w:r>
              <w:rPr>
                <w:b w:val="false"/>
                <w:bCs w:val="false"/>
                <w:color w:val="5A6B7B"/>
                <w:sz w:val="18"/>
                <w:szCs w:val="18"/>
                <w:rtl/>
              </w:rPr>
              <w:t xml:space="preserve"> </w:t>
            </w:r>
            <w:r>
              <w:rPr>
                <w:b w:val="false"/>
                <w:bCs w:val="false"/>
                <w:color w:val="5A6B7B"/>
                <w:sz w:val="18"/>
                <w:szCs w:val="18"/>
                <w:rtl w:val="false"/>
              </w:rPr>
              <w:t xml:space="preserve">INJ-FIX-02</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تقرير المراجعة</w:t>
            </w:r>
          </w:p>
          <w:p>
            <w:pPr>
              <w:bidi/>
              <w:spacing w:after="20" w:line="280"/>
              <w:jc w:val="right"/>
            </w:pPr>
            <w:r>
              <w:rPr>
                <w:b w:val="false"/>
                <w:bCs w:val="false"/>
                <w:color w:val="5A6B7B"/>
                <w:sz w:val="19"/>
                <w:szCs w:val="19"/>
                <w:rtl/>
              </w:rPr>
              <w:t xml:space="preserve">22 · الإدارة</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3B57"/>
                <w:sz w:val="21"/>
                <w:szCs w:val="21"/>
                <w:rtl/>
              </w:rPr>
              <w:t xml:space="preserve">أثر تدقيقي</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دليل قبول لا سطح</w:t>
            </w:r>
          </w:p>
          <w:p>
            <w:pPr>
              <w:bidi w:val="false"/>
              <w:spacing w:after="20" w:line="280"/>
              <w:jc w:val="left"/>
            </w:pPr>
            <w:r>
              <w:rPr>
                <w:b w:val="false"/>
                <w:bCs w:val="false"/>
                <w:color w:val="5A6B7B"/>
                <w:sz w:val="18"/>
                <w:szCs w:val="18"/>
                <w:rtl w:val="false"/>
              </w:rPr>
              <w:t xml:space="preserve">acceptance</w:t>
            </w:r>
            <w:r>
              <w:rPr>
                <w:b w:val="false"/>
                <w:bCs w:val="false"/>
                <w:color w:val="5A6B7B"/>
                <w:sz w:val="18"/>
                <w:szCs w:val="18"/>
                <w:rtl/>
              </w:rPr>
              <w:t xml:space="preserve"> </w:t>
            </w:r>
            <w:r>
              <w:rPr>
                <w:b w:val="false"/>
                <w:bCs w:val="false"/>
                <w:color w:val="5A6B7B"/>
                <w:sz w:val="18"/>
                <w:szCs w:val="18"/>
                <w:rtl w:val="false"/>
              </w:rPr>
              <w:t xml:space="preserve">evidence</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قاموس قواعد الاستنتاج</w:t>
            </w:r>
          </w:p>
          <w:p>
            <w:pPr>
              <w:bidi/>
              <w:spacing w:after="20" w:line="280"/>
              <w:jc w:val="right"/>
            </w:pPr>
            <w:r>
              <w:rPr>
                <w:b w:val="false"/>
                <w:bCs w:val="false"/>
                <w:color w:val="5A6B7B"/>
                <w:sz w:val="19"/>
                <w:szCs w:val="19"/>
                <w:rtl/>
              </w:rPr>
              <w:t xml:space="preserve">23 · الإدارة</w:t>
            </w:r>
          </w:p>
        </w:tc>
        <w:tc>
          <w:tcPr>
            <w:tcW w:type="dxa" w:w="2100"/>
            <w:tcMar>
              <w:top w:type="dxa" w:w="70"/>
              <w:left w:type="dxa" w:w="95"/>
              <w:bottom w:type="dxa" w:w="70"/>
              <w:right w:type="dxa" w:w="95"/>
            </w:tcMar>
            <w:vAlign w:val="center"/>
          </w:tcPr>
          <w:p>
            <w:pPr>
              <w:bidi/>
              <w:spacing w:after="20" w:line="280"/>
              <w:jc w:val="center"/>
            </w:pPr>
            <w:r>
              <w:rPr>
                <w:b/>
                <w:bCs/>
                <w:color w:val="1F3B57"/>
                <w:sz w:val="21"/>
                <w:szCs w:val="21"/>
                <w:rtl/>
              </w:rPr>
              <w:t xml:space="preserve">مرجع لا شاشة</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قواعد اشتقاق الحقول المحسوبة</w:t>
            </w:r>
          </w:p>
          <w:p>
            <w:pPr>
              <w:bidi w:val="false"/>
              <w:spacing w:after="20" w:line="280"/>
              <w:jc w:val="left"/>
            </w:pPr>
            <w:r>
              <w:rPr>
                <w:b w:val="false"/>
                <w:bCs w:val="false"/>
                <w:color w:val="5A6B7B"/>
                <w:sz w:val="18"/>
                <w:szCs w:val="18"/>
                <w:rtl w:val="false"/>
              </w:rPr>
              <w:t xml:space="preserve">derivation</w:t>
            </w:r>
            <w:r>
              <w:rPr>
                <w:b w:val="false"/>
                <w:bCs w:val="false"/>
                <w:color w:val="5A6B7B"/>
                <w:sz w:val="18"/>
                <w:szCs w:val="18"/>
                <w:rtl/>
              </w:rPr>
              <w:t xml:space="preserve"> </w:t>
            </w:r>
            <w:r>
              <w:rPr>
                <w:b w:val="false"/>
                <w:bCs w:val="false"/>
                <w:color w:val="5A6B7B"/>
                <w:sz w:val="18"/>
                <w:szCs w:val="18"/>
                <w:rtl w:val="false"/>
              </w:rPr>
              <w:t xml:space="preserve">rules</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سجل تتبع القيم الرجعية</w:t>
            </w:r>
          </w:p>
          <w:p>
            <w:pPr>
              <w:bidi/>
              <w:spacing w:after="20" w:line="280"/>
              <w:jc w:val="right"/>
            </w:pPr>
            <w:r>
              <w:rPr>
                <w:b w:val="false"/>
                <w:bCs w:val="false"/>
                <w:color w:val="5A6B7B"/>
                <w:sz w:val="19"/>
                <w:szCs w:val="19"/>
                <w:rtl/>
              </w:rPr>
              <w:t xml:space="preserve">24 · الإدارة</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3B57"/>
                <w:sz w:val="21"/>
                <w:szCs w:val="21"/>
                <w:rtl/>
              </w:rPr>
              <w:t xml:space="preserve">أثر تدقيقي</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أثر تدقيقي يُحفظ ولا يُعرض شاشةً</w:t>
            </w:r>
          </w:p>
          <w:p>
            <w:pPr>
              <w:bidi w:val="false"/>
              <w:spacing w:after="20" w:line="280"/>
              <w:jc w:val="left"/>
            </w:pPr>
            <w:r>
              <w:rPr>
                <w:b w:val="false"/>
                <w:bCs w:val="false"/>
                <w:color w:val="5A6B7B"/>
                <w:sz w:val="18"/>
                <w:szCs w:val="18"/>
                <w:rtl w:val="false"/>
              </w:rPr>
              <w:t xml:space="preserve">audit</w:t>
            </w:r>
            <w:r>
              <w:rPr>
                <w:b w:val="false"/>
                <w:bCs w:val="false"/>
                <w:color w:val="5A6B7B"/>
                <w:sz w:val="18"/>
                <w:szCs w:val="18"/>
                <w:rtl/>
              </w:rPr>
              <w:t xml:space="preserve"> </w:t>
            </w:r>
            <w:r>
              <w:rPr>
                <w:b w:val="false"/>
                <w:bCs w:val="false"/>
                <w:color w:val="5A6B7B"/>
                <w:sz w:val="18"/>
                <w:szCs w:val="18"/>
                <w:rtl w:val="false"/>
              </w:rPr>
              <w:t xml:space="preserve">trail</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تقرير اكتمال البيانات</w:t>
            </w:r>
          </w:p>
          <w:p>
            <w:pPr>
              <w:bidi/>
              <w:spacing w:after="20" w:line="280"/>
              <w:jc w:val="right"/>
            </w:pPr>
            <w:r>
              <w:rPr>
                <w:b w:val="false"/>
                <w:bCs w:val="false"/>
                <w:color w:val="5A6B7B"/>
                <w:sz w:val="19"/>
                <w:szCs w:val="19"/>
                <w:rtl/>
              </w:rPr>
              <w:t xml:space="preserve">25 · الإدارة</w:t>
            </w:r>
          </w:p>
        </w:tc>
        <w:tc>
          <w:tcPr>
            <w:tcW w:type="dxa" w:w="2100"/>
            <w:tcMar>
              <w:top w:type="dxa" w:w="70"/>
              <w:left w:type="dxa" w:w="95"/>
              <w:bottom w:type="dxa" w:w="70"/>
              <w:right w:type="dxa" w:w="95"/>
            </w:tcMar>
            <w:vAlign w:val="center"/>
          </w:tcPr>
          <w:p>
            <w:pPr>
              <w:bidi/>
              <w:spacing w:after="20" w:line="280"/>
              <w:jc w:val="center"/>
            </w:pPr>
            <w:r>
              <w:rPr>
                <w:b/>
                <w:bCs/>
                <w:color w:val="1F3B57"/>
                <w:sz w:val="21"/>
                <w:szCs w:val="21"/>
                <w:rtl/>
              </w:rPr>
              <w:t xml:space="preserve">أثر تدقيقي</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دليل قبول لا سطح</w:t>
            </w:r>
          </w:p>
          <w:p>
            <w:pPr>
              <w:bidi w:val="false"/>
              <w:spacing w:after="20" w:line="280"/>
              <w:jc w:val="left"/>
            </w:pPr>
            <w:r>
              <w:rPr>
                <w:b w:val="false"/>
                <w:bCs w:val="false"/>
                <w:color w:val="5A6B7B"/>
                <w:sz w:val="18"/>
                <w:szCs w:val="18"/>
                <w:rtl w:val="false"/>
              </w:rPr>
              <w:t xml:space="preserve">completeness</w:t>
            </w:r>
            <w:r>
              <w:rPr>
                <w:b w:val="false"/>
                <w:bCs w:val="false"/>
                <w:color w:val="5A6B7B"/>
                <w:sz w:val="18"/>
                <w:szCs w:val="18"/>
                <w:rtl/>
              </w:rPr>
              <w:t xml:space="preserve"> </w:t>
            </w:r>
            <w:r>
              <w:rPr>
                <w:b w:val="false"/>
                <w:bCs w:val="false"/>
                <w:color w:val="5A6B7B"/>
                <w:sz w:val="18"/>
                <w:szCs w:val="18"/>
                <w:rtl w:val="false"/>
              </w:rPr>
              <w:t xml:space="preserve">evidence</w:t>
            </w:r>
          </w:p>
        </w:tc>
      </w:tr>
    </w:tbl>
    <w:p>
      <w:r>
        <w:br w:type="page"/>
      </w:r>
    </w:p>
    <w:p>
      <w:pPr>
        <w:pStyle w:val="Heading1"/>
        <w:keepNext/>
        <w:bidi/>
        <w:spacing w:after="180" w:before="360"/>
        <w:jc w:val="right"/>
      </w:pPr>
      <w:r>
        <w:rPr>
          <w:b/>
          <w:bCs/>
          <w:rtl/>
        </w:rPr>
        <w:t xml:space="preserve">البند الرابع والبند التاسع عشر — حكم الأعمدة ومصادرها</w:t>
      </w:r>
    </w:p>
    <w:p>
      <w:pPr>
        <w:bidi/>
        <w:spacing w:after="130" w:line="330"/>
        <w:jc w:val="right"/>
      </w:pPr>
      <w:r>
        <w:rPr>
          <w:b w:val="false"/>
          <w:bCs w:val="false"/>
          <w:i w:val="false"/>
          <w:iCs w:val="false"/>
          <w:sz w:val="24"/>
          <w:szCs w:val="24"/>
          <w:rtl/>
        </w:rPr>
        <w:t xml:space="preserve">العمود لا يعني خانة إدخال. ولكل عمود حكم مصدرٍ واحد، والبيان يُدخل مرة واحدة في بيته ويُقرأ في بقية الإدارات بالإشارة. والمرجع الحاكم نفسه يعلن هذا الفصل برموزه: العمود الموسوم بسهم قراءةٍ محسوبٌ أو مستورد، والعمود الموسوم بحثًا مرجعٌ من سجل أمّ.</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350"/>
        <w:gridCol w:w="4550"/>
        <w:gridCol w:w="2900"/>
      </w:tblGrid>
      <w:tr>
        <w:trPr>
          <w:cantSplit/>
          <w:tblHeader/>
        </w:trPr>
        <w:tc>
          <w:tcPr>
            <w:tcW w:type="dxa" w:w="235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حكم العمود</w:t>
            </w:r>
          </w:p>
        </w:tc>
        <w:tc>
          <w:tcPr>
            <w:tcW w:type="dxa" w:w="455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متى يُطبَّق</w:t>
            </w:r>
          </w:p>
        </w:tc>
        <w:tc>
          <w:tcPr>
            <w:tcW w:type="dxa" w:w="2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أثره في الواجهة</w:t>
            </w:r>
          </w:p>
        </w:tc>
      </w:tr>
      <w:tr>
        <w:trPr>
          <w:cantSplit/>
        </w:trPr>
        <w:tc>
          <w:tcPr>
            <w:tcW w:type="dxa" w:w="2350"/>
            <w:tcMar>
              <w:top w:type="dxa" w:w="70"/>
              <w:left w:type="dxa" w:w="95"/>
              <w:bottom w:type="dxa" w:w="70"/>
              <w:right w:type="dxa" w:w="95"/>
            </w:tcMar>
            <w:vAlign w:val="center"/>
          </w:tcPr>
          <w:p>
            <w:pPr>
              <w:bidi w:val="false"/>
              <w:spacing w:after="20" w:line="280"/>
              <w:jc w:val="left"/>
            </w:pPr>
            <w:r>
              <w:rPr>
                <w:b/>
                <w:bCs/>
                <w:color w:val="1F3B57"/>
                <w:sz w:val="18"/>
                <w:szCs w:val="18"/>
                <w:rtl w:val="false"/>
              </w:rPr>
              <w:t xml:space="preserve">MANUAL_INPUT</w:t>
            </w:r>
          </w:p>
        </w:tc>
        <w:tc>
          <w:tcPr>
            <w:tcW w:type="dxa" w:w="4550"/>
            <w:tcMar>
              <w:top w:type="dxa" w:w="70"/>
              <w:left w:type="dxa" w:w="95"/>
              <w:bottom w:type="dxa" w:w="70"/>
              <w:right w:type="dxa" w:w="95"/>
            </w:tcMar>
            <w:vAlign w:val="center"/>
          </w:tcPr>
          <w:p>
            <w:pPr>
              <w:bidi/>
              <w:spacing w:after="20" w:line="280"/>
              <w:jc w:val="right"/>
            </w:pPr>
            <w:r>
              <w:rPr>
                <w:b w:val="false"/>
                <w:bCs w:val="false"/>
                <w:sz w:val="21"/>
                <w:szCs w:val="21"/>
                <w:rtl/>
              </w:rPr>
              <w:t xml:space="preserve">بيانٌ يُنشأ في هذه الإدارة أول مرة ولا مصدر له سواها.</w:t>
            </w:r>
          </w:p>
        </w:tc>
        <w:tc>
          <w:tcPr>
            <w:tcW w:type="dxa" w:w="2900"/>
            <w:tcMar>
              <w:top w:type="dxa" w:w="70"/>
              <w:left w:type="dxa" w:w="95"/>
              <w:bottom w:type="dxa" w:w="70"/>
              <w:right w:type="dxa" w:w="95"/>
            </w:tcMar>
            <w:vAlign w:val="center"/>
          </w:tcPr>
          <w:p>
            <w:pPr>
              <w:bidi/>
              <w:spacing w:after="20" w:line="280"/>
              <w:jc w:val="right"/>
            </w:pPr>
            <w:r>
              <w:rPr>
                <w:b w:val="false"/>
                <w:bCs w:val="false"/>
                <w:sz w:val="20"/>
                <w:szCs w:val="20"/>
                <w:rtl/>
              </w:rPr>
              <w:t xml:space="preserve">خانة إدخال مفتوحة.</w:t>
            </w:r>
          </w:p>
        </w:tc>
      </w:tr>
      <w:tr>
        <w:trPr>
          <w:cantSplit/>
        </w:trPr>
        <w:tc>
          <w:tcPr>
            <w:tcW w:type="dxa" w:w="2350"/>
            <w:shd w:fill="F2F6FA" w:color="auto" w:val="clear"/>
            <w:tcMar>
              <w:top w:type="dxa" w:w="70"/>
              <w:left w:type="dxa" w:w="95"/>
              <w:bottom w:type="dxa" w:w="70"/>
              <w:right w:type="dxa" w:w="95"/>
            </w:tcMar>
            <w:vAlign w:val="center"/>
          </w:tcPr>
          <w:p>
            <w:pPr>
              <w:bidi w:val="false"/>
              <w:spacing w:after="20" w:line="280"/>
              <w:jc w:val="left"/>
            </w:pPr>
            <w:r>
              <w:rPr>
                <w:b/>
                <w:bCs/>
                <w:color w:val="1F3B57"/>
                <w:sz w:val="18"/>
                <w:szCs w:val="18"/>
                <w:rtl w:val="false"/>
              </w:rPr>
              <w:t xml:space="preserve">LOOKUP_FROM_MASTER</w:t>
            </w:r>
          </w:p>
        </w:tc>
        <w:tc>
          <w:tcPr>
            <w:tcW w:type="dxa" w:w="455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بيانٌ مصدره سجل أمٌّ داخل الإدارة أو خارجها.</w:t>
            </w:r>
          </w:p>
        </w:tc>
        <w:tc>
          <w:tcPr>
            <w:tcW w:type="dxa" w:w="29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قائمة اختيار من السجل — لا كتابة حرة.</w:t>
            </w:r>
          </w:p>
        </w:tc>
      </w:tr>
      <w:tr>
        <w:trPr>
          <w:cantSplit/>
        </w:trPr>
        <w:tc>
          <w:tcPr>
            <w:tcW w:type="dxa" w:w="2350"/>
            <w:tcMar>
              <w:top w:type="dxa" w:w="70"/>
              <w:left w:type="dxa" w:w="95"/>
              <w:bottom w:type="dxa" w:w="70"/>
              <w:right w:type="dxa" w:w="95"/>
            </w:tcMar>
            <w:vAlign w:val="center"/>
          </w:tcPr>
          <w:p>
            <w:pPr>
              <w:bidi w:val="false"/>
              <w:spacing w:after="20" w:line="280"/>
              <w:jc w:val="left"/>
            </w:pPr>
            <w:r>
              <w:rPr>
                <w:b/>
                <w:bCs/>
                <w:color w:val="1F3B57"/>
                <w:sz w:val="18"/>
                <w:szCs w:val="18"/>
                <w:rtl w:val="false"/>
              </w:rPr>
              <w:t xml:space="preserve">DERIVED</w:t>
            </w:r>
          </w:p>
        </w:tc>
        <w:tc>
          <w:tcPr>
            <w:tcW w:type="dxa" w:w="4550"/>
            <w:tcMar>
              <w:top w:type="dxa" w:w="70"/>
              <w:left w:type="dxa" w:w="95"/>
              <w:bottom w:type="dxa" w:w="70"/>
              <w:right w:type="dxa" w:w="95"/>
            </w:tcMar>
            <w:vAlign w:val="center"/>
          </w:tcPr>
          <w:p>
            <w:pPr>
              <w:bidi/>
              <w:spacing w:after="20" w:line="280"/>
              <w:jc w:val="right"/>
            </w:pPr>
            <w:r>
              <w:rPr>
                <w:b w:val="false"/>
                <w:bCs w:val="false"/>
                <w:sz w:val="21"/>
                <w:szCs w:val="21"/>
                <w:rtl/>
              </w:rPr>
              <w:t xml:space="preserve">قيمة محسوبة من حقول أخرى أو من سجل تابع.</w:t>
            </w:r>
          </w:p>
        </w:tc>
        <w:tc>
          <w:tcPr>
            <w:tcW w:type="dxa" w:w="2900"/>
            <w:tcMar>
              <w:top w:type="dxa" w:w="70"/>
              <w:left w:type="dxa" w:w="95"/>
              <w:bottom w:type="dxa" w:w="70"/>
              <w:right w:type="dxa" w:w="95"/>
            </w:tcMar>
            <w:vAlign w:val="center"/>
          </w:tcPr>
          <w:p>
            <w:pPr>
              <w:bidi/>
              <w:spacing w:after="20" w:line="280"/>
              <w:jc w:val="right"/>
            </w:pPr>
            <w:r>
              <w:rPr>
                <w:b w:val="false"/>
                <w:bCs w:val="false"/>
                <w:sz w:val="20"/>
                <w:szCs w:val="20"/>
                <w:rtl/>
              </w:rPr>
              <w:t xml:space="preserve">تُعرض ولا تُدخل — والحساب في طبقة الخدمة.</w:t>
            </w:r>
          </w:p>
        </w:tc>
      </w:tr>
      <w:tr>
        <w:trPr>
          <w:cantSplit/>
        </w:trPr>
        <w:tc>
          <w:tcPr>
            <w:tcW w:type="dxa" w:w="2350"/>
            <w:shd w:fill="F2F6FA" w:color="auto" w:val="clear"/>
            <w:tcMar>
              <w:top w:type="dxa" w:w="70"/>
              <w:left w:type="dxa" w:w="95"/>
              <w:bottom w:type="dxa" w:w="70"/>
              <w:right w:type="dxa" w:w="95"/>
            </w:tcMar>
            <w:vAlign w:val="center"/>
          </w:tcPr>
          <w:p>
            <w:pPr>
              <w:bidi w:val="false"/>
              <w:spacing w:after="20" w:line="280"/>
              <w:jc w:val="left"/>
            </w:pPr>
            <w:r>
              <w:rPr>
                <w:b/>
                <w:bCs/>
                <w:color w:val="1F3B57"/>
                <w:sz w:val="18"/>
                <w:szCs w:val="18"/>
                <w:rtl w:val="false"/>
              </w:rPr>
              <w:t xml:space="preserve">READ_ONLY_FROM_OTHER_DOMAIN</w:t>
            </w:r>
          </w:p>
        </w:tc>
        <w:tc>
          <w:tcPr>
            <w:tcW w:type="dxa" w:w="455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بيانٌ يملكه نطاق آخر ويحتاج هذا النطاق رؤيته.</w:t>
            </w:r>
          </w:p>
        </w:tc>
        <w:tc>
          <w:tcPr>
            <w:tcW w:type="dxa" w:w="29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إسقاط قراءة موسوم بمالكه.</w:t>
            </w:r>
          </w:p>
        </w:tc>
      </w:tr>
      <w:tr>
        <w:trPr>
          <w:cantSplit/>
        </w:trPr>
        <w:tc>
          <w:tcPr>
            <w:tcW w:type="dxa" w:w="2350"/>
            <w:tcMar>
              <w:top w:type="dxa" w:w="70"/>
              <w:left w:type="dxa" w:w="95"/>
              <w:bottom w:type="dxa" w:w="70"/>
              <w:right w:type="dxa" w:w="95"/>
            </w:tcMar>
            <w:vAlign w:val="center"/>
          </w:tcPr>
          <w:p>
            <w:pPr>
              <w:bidi w:val="false"/>
              <w:spacing w:after="20" w:line="280"/>
              <w:jc w:val="left"/>
            </w:pPr>
            <w:r>
              <w:rPr>
                <w:b/>
                <w:bCs/>
                <w:color w:val="1F3B57"/>
                <w:sz w:val="18"/>
                <w:szCs w:val="18"/>
                <w:rtl w:val="false"/>
              </w:rPr>
              <w:t xml:space="preserve">SYSTEM_GENERATED</w:t>
            </w:r>
          </w:p>
        </w:tc>
        <w:tc>
          <w:tcPr>
            <w:tcW w:type="dxa" w:w="4550"/>
            <w:tcMar>
              <w:top w:type="dxa" w:w="70"/>
              <w:left w:type="dxa" w:w="95"/>
              <w:bottom w:type="dxa" w:w="70"/>
              <w:right w:type="dxa" w:w="95"/>
            </w:tcMar>
            <w:vAlign w:val="center"/>
          </w:tcPr>
          <w:p>
            <w:pPr>
              <w:bidi/>
              <w:spacing w:after="20" w:line="280"/>
              <w:jc w:val="right"/>
            </w:pPr>
            <w:r>
              <w:rPr>
                <w:b w:val="false"/>
                <w:bCs w:val="false"/>
                <w:sz w:val="21"/>
                <w:szCs w:val="21"/>
                <w:rtl/>
              </w:rPr>
              <w:t xml:space="preserve">معرّف أو ختم زمني أو رقم تسلسلي.</w:t>
            </w:r>
          </w:p>
        </w:tc>
        <w:tc>
          <w:tcPr>
            <w:tcW w:type="dxa" w:w="2900"/>
            <w:tcMar>
              <w:top w:type="dxa" w:w="70"/>
              <w:left w:type="dxa" w:w="95"/>
              <w:bottom w:type="dxa" w:w="70"/>
              <w:right w:type="dxa" w:w="95"/>
            </w:tcMar>
            <w:vAlign w:val="center"/>
          </w:tcPr>
          <w:p>
            <w:pPr>
              <w:bidi/>
              <w:spacing w:after="20" w:line="280"/>
              <w:jc w:val="right"/>
            </w:pPr>
            <w:r>
              <w:rPr>
                <w:b w:val="false"/>
                <w:bCs w:val="false"/>
                <w:sz w:val="20"/>
                <w:szCs w:val="20"/>
                <w:rtl/>
              </w:rPr>
              <w:t xml:space="preserve">يولّده النظام ولا يُعرض للتحرير.</w:t>
            </w:r>
          </w:p>
        </w:tc>
      </w:tr>
      <w:tr>
        <w:trPr>
          <w:cantSplit/>
        </w:trPr>
        <w:tc>
          <w:tcPr>
            <w:tcW w:type="dxa" w:w="2350"/>
            <w:shd w:fill="F2F6FA" w:color="auto" w:val="clear"/>
            <w:tcMar>
              <w:top w:type="dxa" w:w="70"/>
              <w:left w:type="dxa" w:w="95"/>
              <w:bottom w:type="dxa" w:w="70"/>
              <w:right w:type="dxa" w:w="95"/>
            </w:tcMar>
            <w:vAlign w:val="center"/>
          </w:tcPr>
          <w:p>
            <w:pPr>
              <w:bidi w:val="false"/>
              <w:spacing w:after="20" w:line="280"/>
              <w:jc w:val="left"/>
            </w:pPr>
            <w:r>
              <w:rPr>
                <w:b/>
                <w:bCs/>
                <w:color w:val="1F3B57"/>
                <w:sz w:val="18"/>
                <w:szCs w:val="18"/>
                <w:rtl w:val="false"/>
              </w:rPr>
              <w:t xml:space="preserve">AUDIT_ONLY</w:t>
            </w:r>
          </w:p>
        </w:tc>
        <w:tc>
          <w:tcPr>
            <w:tcW w:type="dxa" w:w="455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أثر تدقيقي: المُنشئ والمراجع والمعتمِد وتواريخها.</w:t>
            </w:r>
          </w:p>
        </w:tc>
        <w:tc>
          <w:tcPr>
            <w:tcW w:type="dxa" w:w="29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يُحفظ ويُعرض في سجل الأثر لا في النموذج.</w:t>
            </w:r>
          </w:p>
        </w:tc>
      </w:tr>
      <w:tr>
        <w:trPr>
          <w:cantSplit/>
        </w:trPr>
        <w:tc>
          <w:tcPr>
            <w:tcW w:type="dxa" w:w="2350"/>
            <w:tcMar>
              <w:top w:type="dxa" w:w="70"/>
              <w:left w:type="dxa" w:w="95"/>
              <w:bottom w:type="dxa" w:w="70"/>
              <w:right w:type="dxa" w:w="95"/>
            </w:tcMar>
            <w:vAlign w:val="center"/>
          </w:tcPr>
          <w:p>
            <w:pPr>
              <w:bidi w:val="false"/>
              <w:spacing w:after="20" w:line="280"/>
              <w:jc w:val="left"/>
            </w:pPr>
            <w:r>
              <w:rPr>
                <w:b/>
                <w:bCs/>
                <w:color w:val="1F3B57"/>
                <w:sz w:val="18"/>
                <w:szCs w:val="18"/>
                <w:rtl w:val="false"/>
              </w:rPr>
              <w:t xml:space="preserve">SENSITIVE</w:t>
            </w:r>
          </w:p>
        </w:tc>
        <w:tc>
          <w:tcPr>
            <w:tcW w:type="dxa" w:w="4550"/>
            <w:tcMar>
              <w:top w:type="dxa" w:w="70"/>
              <w:left w:type="dxa" w:w="95"/>
              <w:bottom w:type="dxa" w:w="70"/>
              <w:right w:type="dxa" w:w="95"/>
            </w:tcMar>
            <w:vAlign w:val="center"/>
          </w:tcPr>
          <w:p>
            <w:pPr>
              <w:bidi/>
              <w:spacing w:after="20" w:line="280"/>
              <w:jc w:val="right"/>
            </w:pPr>
            <w:r>
              <w:rPr>
                <w:b w:val="false"/>
                <w:bCs w:val="false"/>
                <w:sz w:val="21"/>
                <w:szCs w:val="21"/>
                <w:rtl/>
              </w:rPr>
              <w:t xml:space="preserve">حقلٌ يخضع لسياسة إظهار وحجب.</w:t>
            </w:r>
          </w:p>
        </w:tc>
        <w:tc>
          <w:tcPr>
            <w:tcW w:type="dxa" w:w="2900"/>
            <w:tcMar>
              <w:top w:type="dxa" w:w="70"/>
              <w:left w:type="dxa" w:w="95"/>
              <w:bottom w:type="dxa" w:w="70"/>
              <w:right w:type="dxa" w:w="95"/>
            </w:tcMar>
            <w:vAlign w:val="center"/>
          </w:tcPr>
          <w:p>
            <w:pPr>
              <w:bidi/>
              <w:spacing w:after="20" w:line="280"/>
              <w:jc w:val="right"/>
            </w:pPr>
            <w:r>
              <w:rPr>
                <w:b w:val="false"/>
                <w:bCs w:val="false"/>
                <w:sz w:val="20"/>
                <w:szCs w:val="20"/>
                <w:rtl/>
              </w:rPr>
              <w:t xml:space="preserve">يُوسم في سجل الحقول ويُنفَّذ حجبه في الشاشة والبحث والتصدير معًا.</w:t>
            </w:r>
          </w:p>
        </w:tc>
      </w:tr>
      <w:tr>
        <w:trPr>
          <w:cantSplit/>
        </w:trPr>
        <w:tc>
          <w:tcPr>
            <w:tcW w:type="dxa" w:w="2350"/>
            <w:shd w:fill="F2F6FA" w:color="auto" w:val="clear"/>
            <w:tcMar>
              <w:top w:type="dxa" w:w="70"/>
              <w:left w:type="dxa" w:w="95"/>
              <w:bottom w:type="dxa" w:w="70"/>
              <w:right w:type="dxa" w:w="95"/>
            </w:tcMar>
            <w:vAlign w:val="center"/>
          </w:tcPr>
          <w:p>
            <w:pPr>
              <w:bidi w:val="false"/>
              <w:spacing w:after="20" w:line="280"/>
              <w:jc w:val="left"/>
            </w:pPr>
            <w:r>
              <w:rPr>
                <w:b/>
                <w:bCs/>
                <w:color w:val="1F3B57"/>
                <w:sz w:val="18"/>
                <w:szCs w:val="18"/>
                <w:rtl w:val="false"/>
              </w:rPr>
              <w:t xml:space="preserve">REFERENCE_ONLY</w:t>
            </w:r>
          </w:p>
        </w:tc>
        <w:tc>
          <w:tcPr>
            <w:tcW w:type="dxa" w:w="455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قائمة أو تصنيف مرجعي.</w:t>
            </w:r>
          </w:p>
        </w:tc>
        <w:tc>
          <w:tcPr>
            <w:tcW w:type="dxa" w:w="29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بيت البيانات المرجعية — لا يتكرر في الشاشات.</w:t>
            </w:r>
          </w:p>
        </w:tc>
      </w:tr>
      <w:tr>
        <w:trPr>
          <w:cantSplit/>
        </w:trPr>
        <w:tc>
          <w:tcPr>
            <w:tcW w:type="dxa" w:w="2350"/>
            <w:tcMar>
              <w:top w:type="dxa" w:w="70"/>
              <w:left w:type="dxa" w:w="95"/>
              <w:bottom w:type="dxa" w:w="70"/>
              <w:right w:type="dxa" w:w="95"/>
            </w:tcMar>
            <w:vAlign w:val="center"/>
          </w:tcPr>
          <w:p>
            <w:pPr>
              <w:bidi w:val="false"/>
              <w:spacing w:after="20" w:line="280"/>
              <w:jc w:val="left"/>
            </w:pPr>
            <w:r>
              <w:rPr>
                <w:b/>
                <w:bCs/>
                <w:color w:val="1F3B57"/>
                <w:sz w:val="18"/>
                <w:szCs w:val="18"/>
                <w:rtl w:val="false"/>
              </w:rPr>
              <w:t xml:space="preserve">DEPRECATED_DUPLICATE</w:t>
            </w:r>
          </w:p>
        </w:tc>
        <w:tc>
          <w:tcPr>
            <w:tcW w:type="dxa" w:w="4550"/>
            <w:tcMar>
              <w:top w:type="dxa" w:w="70"/>
              <w:left w:type="dxa" w:w="95"/>
              <w:bottom w:type="dxa" w:w="70"/>
              <w:right w:type="dxa" w:w="95"/>
            </w:tcMar>
            <w:vAlign w:val="center"/>
          </w:tcPr>
          <w:p>
            <w:pPr>
              <w:bidi/>
              <w:spacing w:after="20" w:line="280"/>
              <w:jc w:val="right"/>
            </w:pPr>
            <w:r>
              <w:rPr>
                <w:b w:val="false"/>
                <w:bCs w:val="false"/>
                <w:sz w:val="21"/>
                <w:szCs w:val="21"/>
                <w:rtl/>
              </w:rPr>
              <w:t xml:space="preserve">عمود يكرر بيانًا موجودًا باسم آخر.</w:t>
            </w:r>
          </w:p>
        </w:tc>
        <w:tc>
          <w:tcPr>
            <w:tcW w:type="dxa" w:w="2900"/>
            <w:tcMar>
              <w:top w:type="dxa" w:w="70"/>
              <w:left w:type="dxa" w:w="95"/>
              <w:bottom w:type="dxa" w:w="70"/>
              <w:right w:type="dxa" w:w="95"/>
            </w:tcMar>
            <w:vAlign w:val="center"/>
          </w:tcPr>
          <w:p>
            <w:pPr>
              <w:bidi/>
              <w:spacing w:after="20" w:line="280"/>
              <w:jc w:val="right"/>
            </w:pPr>
            <w:r>
              <w:rPr>
                <w:b w:val="false"/>
                <w:bCs w:val="false"/>
                <w:sz w:val="20"/>
                <w:szCs w:val="20"/>
                <w:rtl/>
              </w:rPr>
              <w:t xml:space="preserve">يُوسم متقاعدًا بعد إثبات التكافؤ.</w:t>
            </w:r>
          </w:p>
        </w:tc>
      </w:tr>
    </w:tbl>
    <w:p>
      <w:pPr>
        <w:bidi/>
        <w:spacing w:before="120"/>
        <w:jc w:val="right"/>
      </w:pPr>
      <w:r>
        <w:rPr>
          <w:b w:val="false"/>
          <w:bCs w:val="false"/>
          <w:i w:val="false"/>
          <w:iCs w:val="false"/>
          <w:sz w:val="24"/>
          <w:szCs w:val="24"/>
          <w:rtl/>
        </w:rPr>
        <w:t xml:space="preserve">وشرط القبول أن يصير لكل عمود في المرجع الحاكم هدفٌ في النظام أو سببٌ موثق لعدم ظهوره — بلا استثناء واحد.</w:t>
      </w:r>
    </w:p>
    <w:p>
      <w:r>
        <w:br w:type="page"/>
      </w:r>
    </w:p>
    <w:p>
      <w:pPr>
        <w:pStyle w:val="Heading1"/>
        <w:keepNext/>
        <w:bidi/>
        <w:spacing w:after="180" w:before="360"/>
        <w:jc w:val="right"/>
      </w:pPr>
      <w:r>
        <w:rPr>
          <w:b/>
          <w:bCs/>
          <w:rtl/>
        </w:rPr>
        <w:t xml:space="preserve">البند الخامس والسادس والسابع — دورة العمل الحاكمة والبنية المعلوماتية</w:t>
      </w:r>
    </w:p>
    <w:p>
      <w:pPr>
        <w:bidi/>
        <w:spacing w:after="130" w:line="330"/>
        <w:jc w:val="right"/>
      </w:pPr>
      <w:r>
        <w:rPr>
          <w:b w:val="false"/>
          <w:bCs w:val="false"/>
          <w:i w:val="false"/>
          <w:iCs w:val="false"/>
          <w:sz w:val="24"/>
          <w:szCs w:val="24"/>
          <w:rtl/>
        </w:rPr>
        <w:t xml:space="preserve">بنية المعلومات تُعاد من ترتيب المرجع الحاكم لا من ترتيب التنقّل القديم، وأسماء الأقسام تُنتج من عناوين الدورة نفسها: اسمٌ مؤسسيٌّ يصف السجل أو المرحلة، لا اسمٌ عامٌّ ولا محادثيّ.</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200"/>
        <w:gridCol w:w="5600"/>
        <w:gridCol w:w="2000"/>
      </w:tblGrid>
      <w:tr>
        <w:trPr>
          <w:cantSplit/>
          <w:tblHeader/>
        </w:trPr>
        <w:tc>
          <w:tcPr>
            <w:tcW w:type="dxa" w:w="2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المرحلة في المرجع</w:t>
            </w:r>
          </w:p>
        </w:tc>
        <w:tc>
          <w:tcPr>
            <w:tcW w:type="dxa" w:w="5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سجلاتها</w:t>
            </w:r>
          </w:p>
        </w:tc>
        <w:tc>
          <w:tcPr>
            <w:tcW w:type="dxa" w:w="20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مرجعها</w:t>
            </w:r>
          </w:p>
        </w:tc>
      </w:tr>
      <w:tr>
        <w:trPr>
          <w:cantSplit/>
        </w:trPr>
        <w:tc>
          <w:tcPr>
            <w:tcW w:type="dxa" w:w="2200"/>
            <w:tcMar>
              <w:top w:type="dxa" w:w="70"/>
              <w:left w:type="dxa" w:w="95"/>
              <w:bottom w:type="dxa" w:w="70"/>
              <w:right w:type="dxa" w:w="95"/>
            </w:tcMar>
            <w:vAlign w:val="center"/>
          </w:tcPr>
          <w:p>
            <w:pPr>
              <w:bidi/>
              <w:spacing w:after="20" w:line="280"/>
              <w:jc w:val="right"/>
            </w:pPr>
            <w:r>
              <w:rPr>
                <w:b/>
                <w:bCs/>
                <w:sz w:val="21"/>
                <w:szCs w:val="21"/>
                <w:rtl/>
              </w:rPr>
              <w:t xml:space="preserve">المرحلة التمهيدية</w:t>
            </w:r>
          </w:p>
        </w:tc>
        <w:tc>
          <w:tcPr>
            <w:tcW w:type="dxa" w:w="5600"/>
            <w:tcMar>
              <w:top w:type="dxa" w:w="70"/>
              <w:left w:type="dxa" w:w="95"/>
              <w:bottom w:type="dxa" w:w="70"/>
              <w:right w:type="dxa" w:w="95"/>
            </w:tcMar>
            <w:vAlign w:val="center"/>
          </w:tcPr>
          <w:p>
            <w:pPr>
              <w:bidi/>
              <w:spacing w:after="20" w:line="280"/>
              <w:jc w:val="right"/>
            </w:pPr>
            <w:r>
              <w:rPr>
                <w:b w:val="false"/>
                <w:bCs w:val="false"/>
                <w:sz w:val="20"/>
                <w:szCs w:val="20"/>
                <w:rtl/>
              </w:rPr>
              <w:t xml:space="preserve">سجل العملاء · جهات اتصال العملاء · سجل المشاريع</w:t>
            </w:r>
          </w:p>
        </w:tc>
        <w:tc>
          <w:tcPr>
            <w:tcW w:type="dxa" w:w="2000"/>
            <w:tcMar>
              <w:top w:type="dxa" w:w="70"/>
              <w:left w:type="dxa" w:w="95"/>
              <w:bottom w:type="dxa" w:w="70"/>
              <w:right w:type="dxa" w:w="95"/>
            </w:tcMar>
            <w:vAlign w:val="center"/>
          </w:tcPr>
          <w:p>
            <w:pPr>
              <w:bidi w:val="false"/>
              <w:spacing w:after="20" w:line="280"/>
              <w:jc w:val="left"/>
            </w:pPr>
            <w:r>
              <w:rPr>
                <w:b w:val="false"/>
                <w:bCs w:val="false"/>
                <w:color w:val="2E4A63"/>
                <w:sz w:val="19"/>
                <w:szCs w:val="19"/>
                <w:rtl/>
              </w:rPr>
              <w:t xml:space="preserve">01 · 02 · 03</w:t>
            </w:r>
          </w:p>
        </w:tc>
      </w:tr>
      <w:tr>
        <w:trPr>
          <w:cantSplit/>
        </w:trPr>
        <w:tc>
          <w:tcPr>
            <w:tcW w:type="dxa" w:w="22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إدارة الفرص البيعية</w:t>
            </w:r>
          </w:p>
        </w:tc>
        <w:tc>
          <w:tcPr>
            <w:tcW w:type="dxa" w:w="56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الفرص البيعية · الأنشطة والمتابعات · احتياج العميل وطلب العرض</w:t>
            </w:r>
          </w:p>
        </w:tc>
        <w:tc>
          <w:tcPr>
            <w:tcW w:type="dxa" w:w="20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9"/>
                <w:szCs w:val="19"/>
                <w:rtl/>
              </w:rPr>
              <w:t xml:space="preserve">04 · 05 · 06</w:t>
            </w:r>
          </w:p>
        </w:tc>
      </w:tr>
      <w:tr>
        <w:trPr>
          <w:cantSplit/>
        </w:trPr>
        <w:tc>
          <w:tcPr>
            <w:tcW w:type="dxa" w:w="2200"/>
            <w:tcMar>
              <w:top w:type="dxa" w:w="70"/>
              <w:left w:type="dxa" w:w="95"/>
              <w:bottom w:type="dxa" w:w="70"/>
              <w:right w:type="dxa" w:w="95"/>
            </w:tcMar>
            <w:vAlign w:val="center"/>
          </w:tcPr>
          <w:p>
            <w:pPr>
              <w:bidi/>
              <w:spacing w:after="20" w:line="280"/>
              <w:jc w:val="right"/>
            </w:pPr>
            <w:r>
              <w:rPr>
                <w:b/>
                <w:bCs/>
                <w:sz w:val="21"/>
                <w:szCs w:val="21"/>
                <w:rtl/>
              </w:rPr>
              <w:t xml:space="preserve">العرض والتفاوض</w:t>
            </w:r>
          </w:p>
        </w:tc>
        <w:tc>
          <w:tcPr>
            <w:tcW w:type="dxa" w:w="5600"/>
            <w:tcMar>
              <w:top w:type="dxa" w:w="70"/>
              <w:left w:type="dxa" w:w="95"/>
              <w:bottom w:type="dxa" w:w="70"/>
              <w:right w:type="dxa" w:w="95"/>
            </w:tcMar>
            <w:vAlign w:val="center"/>
          </w:tcPr>
          <w:p>
            <w:pPr>
              <w:bidi/>
              <w:spacing w:after="20" w:line="280"/>
              <w:jc w:val="right"/>
            </w:pPr>
            <w:r>
              <w:rPr>
                <w:b w:val="false"/>
                <w:bCs w:val="false"/>
                <w:sz w:val="20"/>
                <w:szCs w:val="20"/>
                <w:rtl/>
              </w:rPr>
              <w:t xml:space="preserve">سجل العروض · بنود العروض · التفاوض ومراجعات العرض · مراجعة ما قبل العقد</w:t>
            </w:r>
          </w:p>
        </w:tc>
        <w:tc>
          <w:tcPr>
            <w:tcW w:type="dxa" w:w="2000"/>
            <w:tcMar>
              <w:top w:type="dxa" w:w="70"/>
              <w:left w:type="dxa" w:w="95"/>
              <w:bottom w:type="dxa" w:w="70"/>
              <w:right w:type="dxa" w:w="95"/>
            </w:tcMar>
            <w:vAlign w:val="center"/>
          </w:tcPr>
          <w:p>
            <w:pPr>
              <w:bidi w:val="false"/>
              <w:spacing w:after="20" w:line="280"/>
              <w:jc w:val="left"/>
            </w:pPr>
            <w:r>
              <w:rPr>
                <w:b w:val="false"/>
                <w:bCs w:val="false"/>
                <w:color w:val="2E4A63"/>
                <w:sz w:val="19"/>
                <w:szCs w:val="19"/>
                <w:rtl/>
              </w:rPr>
              <w:t xml:space="preserve">07 · 08 · 09 · 10</w:t>
            </w:r>
          </w:p>
        </w:tc>
      </w:tr>
      <w:tr>
        <w:trPr>
          <w:cantSplit/>
        </w:trPr>
        <w:tc>
          <w:tcPr>
            <w:tcW w:type="dxa" w:w="22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التعاقد والالتزام</w:t>
            </w:r>
          </w:p>
        </w:tc>
        <w:tc>
          <w:tcPr>
            <w:tcW w:type="dxa" w:w="56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سجل عقود المشاريع · بنود العقد · مصفوفة الالتزامات · خط الأساس · التغطية التعاقدية</w:t>
            </w:r>
          </w:p>
        </w:tc>
        <w:tc>
          <w:tcPr>
            <w:tcW w:type="dxa" w:w="20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9"/>
                <w:szCs w:val="19"/>
                <w:rtl/>
              </w:rPr>
              <w:t xml:space="preserve">11 · 12 · </w:t>
            </w:r>
            <w:r>
              <w:rPr>
                <w:b w:val="false"/>
                <w:bCs w:val="false"/>
                <w:color w:val="2E4A63"/>
                <w:sz w:val="19"/>
                <w:szCs w:val="19"/>
                <w:rtl w:val="false"/>
              </w:rPr>
              <w:t xml:space="preserve">12-2</w:t>
            </w:r>
            <w:r>
              <w:rPr>
                <w:b w:val="false"/>
                <w:bCs w:val="false"/>
                <w:color w:val="2E4A63"/>
                <w:sz w:val="19"/>
                <w:szCs w:val="19"/>
                <w:rtl/>
              </w:rPr>
              <w:t xml:space="preserve"> · 13 · 14</w:t>
            </w:r>
          </w:p>
        </w:tc>
      </w:tr>
      <w:tr>
        <w:trPr>
          <w:cantSplit/>
        </w:trPr>
        <w:tc>
          <w:tcPr>
            <w:tcW w:type="dxa" w:w="2200"/>
            <w:tcMar>
              <w:top w:type="dxa" w:w="70"/>
              <w:left w:type="dxa" w:w="95"/>
              <w:bottom w:type="dxa" w:w="70"/>
              <w:right w:type="dxa" w:w="95"/>
            </w:tcMar>
            <w:vAlign w:val="center"/>
          </w:tcPr>
          <w:p>
            <w:pPr>
              <w:bidi/>
              <w:spacing w:after="20" w:line="280"/>
              <w:jc w:val="right"/>
            </w:pPr>
            <w:r>
              <w:rPr>
                <w:b/>
                <w:bCs/>
                <w:sz w:val="21"/>
                <w:szCs w:val="21"/>
                <w:rtl/>
              </w:rPr>
              <w:t xml:space="preserve">الأداء والمطالبات التجارية</w:t>
            </w:r>
          </w:p>
        </w:tc>
        <w:tc>
          <w:tcPr>
            <w:tcW w:type="dxa" w:w="5600"/>
            <w:tcMar>
              <w:top w:type="dxa" w:w="70"/>
              <w:left w:type="dxa" w:w="95"/>
              <w:bottom w:type="dxa" w:w="70"/>
              <w:right w:type="dxa" w:w="95"/>
            </w:tcMar>
            <w:vAlign w:val="center"/>
          </w:tcPr>
          <w:p>
            <w:pPr>
              <w:bidi/>
              <w:spacing w:after="20" w:line="280"/>
              <w:jc w:val="right"/>
            </w:pPr>
            <w:r>
              <w:rPr>
                <w:b w:val="false"/>
                <w:bCs w:val="false"/>
                <w:sz w:val="20"/>
                <w:szCs w:val="20"/>
                <w:rtl/>
              </w:rPr>
              <w:t xml:space="preserve">الأداء والمبيعات الشهرية · المطالبات والتسليم للمالية · الملحقات والتجديد والإغلاق</w:t>
            </w:r>
          </w:p>
        </w:tc>
        <w:tc>
          <w:tcPr>
            <w:tcW w:type="dxa" w:w="2000"/>
            <w:tcMar>
              <w:top w:type="dxa" w:w="70"/>
              <w:left w:type="dxa" w:w="95"/>
              <w:bottom w:type="dxa" w:w="70"/>
              <w:right w:type="dxa" w:w="95"/>
            </w:tcMar>
            <w:vAlign w:val="center"/>
          </w:tcPr>
          <w:p>
            <w:pPr>
              <w:bidi w:val="false"/>
              <w:spacing w:after="20" w:line="280"/>
              <w:jc w:val="left"/>
            </w:pPr>
            <w:r>
              <w:rPr>
                <w:b w:val="false"/>
                <w:bCs w:val="false"/>
                <w:color w:val="2E4A63"/>
                <w:sz w:val="19"/>
                <w:szCs w:val="19"/>
                <w:rtl/>
              </w:rPr>
              <w:t xml:space="preserve">15 · 16 · 17</w:t>
            </w:r>
          </w:p>
        </w:tc>
      </w:tr>
      <w:tr>
        <w:trPr>
          <w:cantSplit/>
        </w:trPr>
        <w:tc>
          <w:tcPr>
            <w:tcW w:type="dxa" w:w="22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الإدارة والحوكمة</w:t>
            </w:r>
          </w:p>
        </w:tc>
        <w:tc>
          <w:tcPr>
            <w:tcW w:type="dxa" w:w="56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لوحة المبيعات · القوائم المرجعية · القاموس · خريطة الترحيل · تقارير المراجعة</w:t>
            </w:r>
          </w:p>
        </w:tc>
        <w:tc>
          <w:tcPr>
            <w:tcW w:type="dxa" w:w="20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9"/>
                <w:szCs w:val="19"/>
                <w:rtl/>
              </w:rPr>
              <w:t xml:space="preserve">18 · 19 · 20 … 25</w:t>
            </w:r>
          </w:p>
        </w:tc>
      </w:tr>
    </w:tbl>
    <w:p>
      <w:pPr>
        <w:pStyle w:val="Heading2"/>
        <w:keepNext/>
        <w:bidi/>
        <w:spacing w:after="140" w:before="280"/>
        <w:jc w:val="right"/>
      </w:pPr>
      <w:r>
        <w:rPr>
          <w:b/>
          <w:bCs/>
          <w:rtl/>
        </w:rPr>
        <w:t xml:space="preserve">البند العشرون — التنقّل ناتجٌ من الدورة لا جدولٌ يدوي</w:t>
      </w:r>
    </w:p>
    <w:p>
      <w:pPr>
        <w:bidi/>
        <w:spacing w:after="130" w:line="330"/>
        <w:jc w:val="right"/>
      </w:pPr>
      <w:r>
        <w:rPr>
          <w:b w:val="false"/>
          <w:bCs w:val="false"/>
          <w:i w:val="false"/>
          <w:iCs w:val="false"/>
          <w:sz w:val="24"/>
          <w:szCs w:val="24"/>
          <w:rtl/>
        </w:rPr>
        <w:t xml:space="preserve">الترتيب لا يُكتب يدويًّا في ثلاثة مواضع. الأصل هو تسلسل الدورة، ويُشتق منه إسقاط التنقّل آليًّا: مرحلة الدورة تصير مجموعة، والكيان الرئيسي يصير شاشة، وترتيبه المستندي يصير رقم ترتيبه، وتوابعه تصير تبويبات داخله. والتنقّل المستهدف النهائي — بعد الدمج المعياري — مذكور كاملًا في باب تقليل الأقسام أدناه، وهو المعتمد لا غيره.</w:t>
      </w:r>
    </w:p>
    <w:p>
      <w:pPr>
        <w:pStyle w:val="Heading2"/>
        <w:keepNext/>
        <w:bidi/>
        <w:spacing w:after="140" w:before="280"/>
        <w:jc w:val="right"/>
      </w:pPr>
      <w:r>
        <w:rPr>
          <w:b/>
          <w:bCs/>
          <w:rtl/>
        </w:rPr>
        <w:t xml:space="preserve">الملفات الأمّ وتبويباتها</w:t>
      </w:r>
    </w:p>
    <w:p>
      <w:pPr>
        <w:bidi/>
        <w:spacing w:after="130" w:line="330"/>
        <w:jc w:val="right"/>
      </w:pPr>
      <w:r>
        <w:rPr>
          <w:b w:val="false"/>
          <w:bCs w:val="false"/>
          <w:i w:val="false"/>
          <w:iCs w:val="false"/>
          <w:sz w:val="24"/>
          <w:szCs w:val="24"/>
          <w:rtl/>
        </w:rPr>
        <w:t xml:space="preserve">السجل الرئيسي يصير ملفًّا أمًّا، وتوابعه تبويبات داخله بدل أن تكون شاشات متفرقة في التنقّل — بلا حذف مسار واحد، فكل مسارٍ قديم يُحوَّل إلى تبويبه.</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6300"/>
        <w:gridCol w:w="3500"/>
      </w:tblGrid>
      <w:tr>
        <w:trPr>
          <w:cantSplit/>
          <w:tblHeader/>
        </w:trPr>
        <w:tc>
          <w:tcPr>
            <w:tcW w:type="dxa" w:w="63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التبويب</w:t>
            </w:r>
          </w:p>
        </w:tc>
        <w:tc>
          <w:tcPr>
            <w:tcW w:type="dxa" w:w="35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مساره القائم</w:t>
            </w:r>
          </w:p>
        </w:tc>
      </w:tr>
      <w:tr>
        <w:trPr>
          <w:cantSplit/>
        </w:trPr>
        <w:tc>
          <w:tcPr>
            <w:tcW w:type="dxa" w:w="6300"/>
            <w:tcMar>
              <w:top w:type="dxa" w:w="70"/>
              <w:left w:type="dxa" w:w="95"/>
              <w:bottom w:type="dxa" w:w="70"/>
              <w:right w:type="dxa" w:w="95"/>
            </w:tcMar>
            <w:vAlign w:val="center"/>
          </w:tcPr>
          <w:p>
            <w:pPr>
              <w:bidi/>
              <w:spacing w:after="20" w:line="280"/>
              <w:jc w:val="right"/>
            </w:pPr>
            <w:r>
              <w:rPr>
                <w:b w:val="false"/>
                <w:bCs w:val="false"/>
                <w:sz w:val="21"/>
                <w:szCs w:val="21"/>
                <w:rtl/>
              </w:rPr>
              <w:t xml:space="preserve">أحكام العقد</w:t>
            </w:r>
          </w:p>
        </w:tc>
        <w:tc>
          <w:tcPr>
            <w:tcW w:type="dxa" w:w="35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contract_card.php</w:t>
            </w:r>
          </w:p>
        </w:tc>
      </w:tr>
      <w:tr>
        <w:trPr>
          <w:cantSplit/>
        </w:trPr>
        <w:tc>
          <w:tcPr>
            <w:tcW w:type="dxa" w:w="63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بنود العقد وقيمته</w:t>
            </w:r>
          </w:p>
        </w:tc>
        <w:tc>
          <w:tcPr>
            <w:tcW w:type="dxa" w:w="35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contract_lines.php</w:t>
            </w:r>
          </w:p>
        </w:tc>
      </w:tr>
      <w:tr>
        <w:trPr>
          <w:cantSplit/>
        </w:trPr>
        <w:tc>
          <w:tcPr>
            <w:tcW w:type="dxa" w:w="6300"/>
            <w:tcMar>
              <w:top w:type="dxa" w:w="70"/>
              <w:left w:type="dxa" w:w="95"/>
              <w:bottom w:type="dxa" w:w="70"/>
              <w:right w:type="dxa" w:w="95"/>
            </w:tcMar>
            <w:vAlign w:val="center"/>
          </w:tcPr>
          <w:p>
            <w:pPr>
              <w:bidi/>
              <w:spacing w:after="20" w:line="280"/>
              <w:jc w:val="right"/>
            </w:pPr>
            <w:r>
              <w:rPr>
                <w:b w:val="false"/>
                <w:bCs w:val="false"/>
                <w:sz w:val="21"/>
                <w:szCs w:val="21"/>
                <w:rtl/>
              </w:rPr>
              <w:t xml:space="preserve">مصفوفة الالتزامات</w:t>
            </w:r>
          </w:p>
        </w:tc>
        <w:tc>
          <w:tcPr>
            <w:tcW w:type="dxa" w:w="35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contract_obligations.php</w:t>
            </w:r>
          </w:p>
        </w:tc>
      </w:tr>
      <w:tr>
        <w:trPr>
          <w:cantSplit/>
        </w:trPr>
        <w:tc>
          <w:tcPr>
            <w:tcW w:type="dxa" w:w="63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خط الأساس والمستهدفات</w:t>
            </w:r>
          </w:p>
        </w:tc>
        <w:tc>
          <w:tcPr>
            <w:tcW w:type="dxa" w:w="35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contract_baseline.php</w:t>
            </w:r>
          </w:p>
        </w:tc>
      </w:tr>
      <w:tr>
        <w:trPr>
          <w:cantSplit/>
        </w:trPr>
        <w:tc>
          <w:tcPr>
            <w:tcW w:type="dxa" w:w="6300"/>
            <w:tcMar>
              <w:top w:type="dxa" w:w="70"/>
              <w:left w:type="dxa" w:w="95"/>
              <w:bottom w:type="dxa" w:w="70"/>
              <w:right w:type="dxa" w:w="95"/>
            </w:tcMar>
            <w:vAlign w:val="center"/>
          </w:tcPr>
          <w:p>
            <w:pPr>
              <w:bidi/>
              <w:spacing w:after="20" w:line="280"/>
              <w:jc w:val="right"/>
            </w:pPr>
            <w:r>
              <w:rPr>
                <w:b w:val="false"/>
                <w:bCs w:val="false"/>
                <w:sz w:val="21"/>
                <w:szCs w:val="21"/>
                <w:rtl/>
              </w:rPr>
              <w:t xml:space="preserve">التغطية التعاقدية</w:t>
            </w:r>
          </w:p>
        </w:tc>
        <w:tc>
          <w:tcPr>
            <w:tcW w:type="dxa" w:w="35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contract_coverage.php</w:t>
            </w:r>
          </w:p>
        </w:tc>
      </w:tr>
      <w:tr>
        <w:trPr>
          <w:cantSplit/>
        </w:trPr>
        <w:tc>
          <w:tcPr>
            <w:tcW w:type="dxa" w:w="63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الضمانات</w:t>
            </w:r>
          </w:p>
        </w:tc>
        <w:tc>
          <w:tcPr>
            <w:tcW w:type="dxa" w:w="35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contract_guarantees.php</w:t>
            </w:r>
          </w:p>
        </w:tc>
      </w:tr>
      <w:tr>
        <w:trPr>
          <w:cantSplit/>
        </w:trPr>
        <w:tc>
          <w:tcPr>
            <w:tcW w:type="dxa" w:w="6300"/>
            <w:tcMar>
              <w:top w:type="dxa" w:w="70"/>
              <w:left w:type="dxa" w:w="95"/>
              <w:bottom w:type="dxa" w:w="70"/>
              <w:right w:type="dxa" w:w="95"/>
            </w:tcMar>
            <w:vAlign w:val="center"/>
          </w:tcPr>
          <w:p>
            <w:pPr>
              <w:bidi/>
              <w:spacing w:after="20" w:line="280"/>
              <w:jc w:val="right"/>
            </w:pPr>
            <w:r>
              <w:rPr>
                <w:b w:val="false"/>
                <w:bCs w:val="false"/>
                <w:sz w:val="21"/>
                <w:szCs w:val="21"/>
                <w:rtl/>
              </w:rPr>
              <w:t xml:space="preserve">خطة الدفع</w:t>
            </w:r>
          </w:p>
        </w:tc>
        <w:tc>
          <w:tcPr>
            <w:tcW w:type="dxa" w:w="35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contract_payment_schedule.php</w:t>
            </w:r>
          </w:p>
        </w:tc>
      </w:tr>
      <w:tr>
        <w:trPr>
          <w:cantSplit/>
        </w:trPr>
        <w:tc>
          <w:tcPr>
            <w:tcW w:type="dxa" w:w="63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نطاقات التنفيذ</w:t>
            </w:r>
          </w:p>
        </w:tc>
        <w:tc>
          <w:tcPr>
            <w:tcW w:type="dxa" w:w="35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contract_sites.php</w:t>
            </w:r>
          </w:p>
        </w:tc>
      </w:tr>
      <w:tr>
        <w:trPr>
          <w:cantSplit/>
        </w:trPr>
        <w:tc>
          <w:tcPr>
            <w:tcW w:type="dxa" w:w="6300"/>
            <w:tcMar>
              <w:top w:type="dxa" w:w="70"/>
              <w:left w:type="dxa" w:w="95"/>
              <w:bottom w:type="dxa" w:w="70"/>
              <w:right w:type="dxa" w:w="95"/>
            </w:tcMar>
            <w:vAlign w:val="center"/>
          </w:tcPr>
          <w:p>
            <w:pPr>
              <w:bidi/>
              <w:spacing w:after="20" w:line="280"/>
              <w:jc w:val="right"/>
            </w:pPr>
            <w:r>
              <w:rPr>
                <w:b w:val="false"/>
                <w:bCs w:val="false"/>
                <w:sz w:val="21"/>
                <w:szCs w:val="21"/>
                <w:rtl/>
              </w:rPr>
              <w:t xml:space="preserve">خطة الموارد</w:t>
            </w:r>
          </w:p>
        </w:tc>
        <w:tc>
          <w:tcPr>
            <w:tcW w:type="dxa" w:w="35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contract_resource_plan.php</w:t>
            </w:r>
          </w:p>
        </w:tc>
      </w:tr>
      <w:tr>
        <w:trPr>
          <w:cantSplit/>
        </w:trPr>
        <w:tc>
          <w:tcPr>
            <w:tcW w:type="dxa" w:w="63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سجل الحركة والملاحق</w:t>
            </w:r>
          </w:p>
        </w:tc>
        <w:tc>
          <w:tcPr>
            <w:tcW w:type="dxa" w:w="35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contract_events.php</w:t>
            </w:r>
          </w:p>
        </w:tc>
      </w:tr>
      <w:tr>
        <w:trPr>
          <w:cantSplit/>
        </w:trPr>
        <w:tc>
          <w:tcPr>
            <w:tcW w:type="dxa" w:w="6300"/>
            <w:tcMar>
              <w:top w:type="dxa" w:w="70"/>
              <w:left w:type="dxa" w:w="95"/>
              <w:bottom w:type="dxa" w:w="70"/>
              <w:right w:type="dxa" w:w="95"/>
            </w:tcMar>
            <w:vAlign w:val="center"/>
          </w:tcPr>
          <w:p>
            <w:pPr>
              <w:bidi/>
              <w:spacing w:after="20" w:line="280"/>
              <w:jc w:val="right"/>
            </w:pPr>
            <w:r>
              <w:rPr>
                <w:b w:val="false"/>
                <w:bCs w:val="false"/>
                <w:sz w:val="21"/>
                <w:szCs w:val="21"/>
                <w:rtl/>
              </w:rPr>
              <w:t xml:space="preserve">اقتصاد دورة الحياة</w:t>
            </w:r>
          </w:p>
        </w:tc>
        <w:tc>
          <w:tcPr>
            <w:tcW w:type="dxa" w:w="35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contract_lifecycle.php</w:t>
            </w:r>
          </w:p>
        </w:tc>
      </w:tr>
      <w:tr>
        <w:trPr>
          <w:cantSplit/>
        </w:trPr>
        <w:tc>
          <w:tcPr>
            <w:tcW w:type="dxa" w:w="63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ربط الخطة بالفعلي</w:t>
            </w:r>
          </w:p>
        </w:tc>
        <w:tc>
          <w:tcPr>
            <w:tcW w:type="dxa" w:w="35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plan_actual_link.php</w:t>
            </w:r>
          </w:p>
        </w:tc>
      </w:tr>
    </w:tbl>
    <w:p>
      <w:r>
        <w:br w:type="page"/>
      </w:r>
    </w:p>
    <w:p>
      <w:pPr>
        <w:pStyle w:val="Heading1"/>
        <w:keepNext/>
        <w:bidi/>
        <w:spacing w:after="180" w:before="360"/>
        <w:jc w:val="right"/>
      </w:pPr>
      <w:r>
        <w:rPr>
          <w:b/>
          <w:bCs/>
          <w:rtl/>
        </w:rPr>
        <w:t xml:space="preserve">البند الثامن والتاسع والعاشر — الهرم التعاقدي وقواعد التغطية</w:t>
      </w:r>
    </w:p>
    <w:p>
      <w:pPr>
        <w:bidi/>
        <w:spacing w:after="130" w:line="330"/>
        <w:jc w:val="right"/>
      </w:pPr>
      <w:r>
        <w:rPr>
          <w:b w:val="false"/>
          <w:bCs w:val="false"/>
          <w:i w:val="false"/>
          <w:iCs w:val="false"/>
          <w:sz w:val="24"/>
          <w:szCs w:val="24"/>
          <w:rtl/>
        </w:rPr>
        <w:t xml:space="preserve">الهرم الحاكم لا يُعكس بحال: عقد العميل ثم الالتزام التعاقدي ثم احتياج التغطية ثم عقد المورد ثم حصته ثم الوحدات التعاقدية ثم إسناد المعدات ثم التنفيذ ثم الاستحقاق والتسوية. ولا يجوز أن يصير المسار: مورد ثم معدة ثم عقد.</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3100"/>
        <w:gridCol w:w="6700"/>
      </w:tblGrid>
      <w:tr>
        <w:trPr>
          <w:cantSplit/>
          <w:tblHeader/>
        </w:trPr>
        <w:tc>
          <w:tcPr>
            <w:tcW w:type="dxa" w:w="31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القاعدة</w:t>
            </w:r>
          </w:p>
        </w:tc>
        <w:tc>
          <w:tcPr>
            <w:tcW w:type="dxa" w:w="67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إنفاذها</w:t>
            </w:r>
          </w:p>
        </w:tc>
      </w:tr>
      <w:tr>
        <w:trPr>
          <w:cantSplit/>
        </w:trPr>
        <w:tc>
          <w:tcPr>
            <w:tcW w:type="dxa" w:w="3100"/>
            <w:tcMar>
              <w:top w:type="dxa" w:w="70"/>
              <w:left w:type="dxa" w:w="95"/>
              <w:bottom w:type="dxa" w:w="70"/>
              <w:right w:type="dxa" w:w="95"/>
            </w:tcMar>
            <w:vAlign w:val="center"/>
          </w:tcPr>
          <w:p>
            <w:pPr>
              <w:bidi/>
              <w:spacing w:after="20" w:line="280"/>
              <w:jc w:val="right"/>
            </w:pPr>
            <w:r>
              <w:rPr>
                <w:b/>
                <w:bCs/>
                <w:sz w:val="21"/>
                <w:szCs w:val="21"/>
                <w:rtl/>
              </w:rPr>
              <w:t xml:space="preserve">لا حصة مورد بلا التزام عقد عميل</w:t>
            </w:r>
          </w:p>
        </w:tc>
        <w:tc>
          <w:tcPr>
            <w:tcW w:type="dxa" w:w="6700"/>
            <w:tcMar>
              <w:top w:type="dxa" w:w="70"/>
              <w:left w:type="dxa" w:w="95"/>
              <w:bottom w:type="dxa" w:w="70"/>
              <w:right w:type="dxa" w:w="95"/>
            </w:tcMar>
            <w:vAlign w:val="center"/>
          </w:tcPr>
          <w:p>
            <w:pPr>
              <w:bidi/>
              <w:spacing w:after="20" w:line="280"/>
              <w:jc w:val="right"/>
            </w:pPr>
            <w:r>
              <w:rPr>
                <w:b w:val="false"/>
                <w:bCs w:val="false"/>
                <w:sz w:val="21"/>
                <w:szCs w:val="21"/>
                <w:rtl/>
              </w:rPr>
              <w:t xml:space="preserve">حارس يمنع إنشاء حصة بلا مرجع التزامٍ نافذ.</w:t>
            </w:r>
          </w:p>
        </w:tc>
      </w:tr>
      <w:tr>
        <w:trPr>
          <w:cantSplit/>
        </w:trPr>
        <w:tc>
          <w:tcPr>
            <w:tcW w:type="dxa" w:w="31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الوحدة التعاقدية ثابتة والمعدة متغيرة</w:t>
            </w:r>
          </w:p>
        </w:tc>
        <w:tc>
          <w:tcPr>
            <w:tcW w:type="dxa" w:w="67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الاستبدال يسجَّل واقعة إحلال ولا ينشئ حصة جديدة.</w:t>
            </w:r>
          </w:p>
        </w:tc>
      </w:tr>
      <w:tr>
        <w:trPr>
          <w:cantSplit/>
        </w:trPr>
        <w:tc>
          <w:tcPr>
            <w:tcW w:type="dxa" w:w="3100"/>
            <w:tcMar>
              <w:top w:type="dxa" w:w="70"/>
              <w:left w:type="dxa" w:w="95"/>
              <w:bottom w:type="dxa" w:w="70"/>
              <w:right w:type="dxa" w:w="95"/>
            </w:tcMar>
            <w:vAlign w:val="center"/>
          </w:tcPr>
          <w:p>
            <w:pPr>
              <w:bidi/>
              <w:spacing w:after="20" w:line="280"/>
              <w:jc w:val="right"/>
            </w:pPr>
            <w:r>
              <w:rPr>
                <w:b/>
                <w:bCs/>
                <w:sz w:val="21"/>
                <w:szCs w:val="21"/>
                <w:rtl/>
              </w:rPr>
              <w:t xml:space="preserve">المعدة تنفّذ الحصة ولا تنشئها</w:t>
            </w:r>
          </w:p>
        </w:tc>
        <w:tc>
          <w:tcPr>
            <w:tcW w:type="dxa" w:w="6700"/>
            <w:tcMar>
              <w:top w:type="dxa" w:w="70"/>
              <w:left w:type="dxa" w:w="95"/>
              <w:bottom w:type="dxa" w:w="70"/>
              <w:right w:type="dxa" w:w="95"/>
            </w:tcMar>
            <w:vAlign w:val="center"/>
          </w:tcPr>
          <w:p>
            <w:pPr>
              <w:bidi/>
              <w:spacing w:after="20" w:line="280"/>
              <w:jc w:val="right"/>
            </w:pPr>
            <w:r>
              <w:rPr>
                <w:b w:val="false"/>
                <w:bCs w:val="false"/>
                <w:sz w:val="21"/>
                <w:szCs w:val="21"/>
                <w:rtl/>
              </w:rPr>
              <w:t xml:space="preserve">إسناد معدة إضافية لا يرفع حصة المورد ولا المستهدف.</w:t>
            </w:r>
          </w:p>
        </w:tc>
      </w:tr>
      <w:tr>
        <w:trPr>
          <w:cantSplit/>
        </w:trPr>
        <w:tc>
          <w:tcPr>
            <w:tcW w:type="dxa" w:w="31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الاحتياطي لا يزيد المستهدف</w:t>
            </w:r>
          </w:p>
        </w:tc>
        <w:tc>
          <w:tcPr>
            <w:tcW w:type="dxa" w:w="67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المعدة الاحتياطية تُحسب تغطيةً لا طاقةً إضافية.</w:t>
            </w:r>
          </w:p>
        </w:tc>
      </w:tr>
      <w:tr>
        <w:trPr>
          <w:cantSplit/>
        </w:trPr>
        <w:tc>
          <w:tcPr>
            <w:tcW w:type="dxa" w:w="3100"/>
            <w:tcMar>
              <w:top w:type="dxa" w:w="70"/>
              <w:left w:type="dxa" w:w="95"/>
              <w:bottom w:type="dxa" w:w="70"/>
              <w:right w:type="dxa" w:w="95"/>
            </w:tcMar>
            <w:vAlign w:val="center"/>
          </w:tcPr>
          <w:p>
            <w:pPr>
              <w:bidi/>
              <w:spacing w:after="20" w:line="280"/>
              <w:jc w:val="right"/>
            </w:pPr>
            <w:r>
              <w:rPr>
                <w:b/>
                <w:bCs/>
                <w:sz w:val="21"/>
                <w:szCs w:val="21"/>
                <w:rtl/>
              </w:rPr>
              <w:t xml:space="preserve">لا اسم فني في التنقّل</w:t>
            </w:r>
          </w:p>
        </w:tc>
        <w:tc>
          <w:tcPr>
            <w:tcW w:type="dxa" w:w="6700"/>
            <w:tcMar>
              <w:top w:type="dxa" w:w="70"/>
              <w:left w:type="dxa" w:w="95"/>
              <w:bottom w:type="dxa" w:w="70"/>
              <w:right w:type="dxa" w:w="95"/>
            </w:tcMar>
            <w:vAlign w:val="center"/>
          </w:tcPr>
          <w:p>
            <w:pPr>
              <w:bidi/>
              <w:spacing w:after="20" w:line="280"/>
              <w:jc w:val="right"/>
            </w:pPr>
            <w:r>
              <w:rPr>
                <w:b w:val="false"/>
                <w:bCs w:val="false"/>
                <w:sz w:val="21"/>
                <w:szCs w:val="21"/>
                <w:rtl/>
              </w:rPr>
              <w:t xml:space="preserve">لا يظهر بندٌ باسم الحاوية أو الخانة — ومنافذ الدخول هي ملف عقد العميل وملف المورد وصندوق الاستثناءات.</w:t>
            </w:r>
          </w:p>
        </w:tc>
      </w:tr>
      <w:tr>
        <w:trPr>
          <w:cantSplit/>
        </w:trPr>
        <w:tc>
          <w:tcPr>
            <w:tcW w:type="dxa" w:w="31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لغة الواجهة لغة عمل</w:t>
            </w:r>
          </w:p>
        </w:tc>
        <w:tc>
          <w:tcPr>
            <w:tcW w:type="dxa" w:w="67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التزام · حصة مورد · وحدة تعاقدية · معدات مخصَّصة · فجوة تغطية.</w:t>
            </w:r>
          </w:p>
        </w:tc>
      </w:tr>
    </w:tbl>
    <w:p>
      <w:r>
        <w:br w:type="page"/>
      </w:r>
    </w:p>
    <w:p>
      <w:pPr>
        <w:pStyle w:val="Heading1"/>
        <w:keepNext/>
        <w:bidi/>
        <w:spacing w:after="180" w:before="360"/>
        <w:jc w:val="right"/>
      </w:pPr>
      <w:r>
        <w:rPr>
          <w:b/>
          <w:bCs/>
          <w:rtl/>
        </w:rPr>
        <w:t xml:space="preserve">البند الحادي عشر إلى الرابع عشر والحادي والعشرون — الحدود والملكية</w:t>
      </w:r>
    </w:p>
    <w:p>
      <w:pPr>
        <w:bidi/>
        <w:spacing w:after="130" w:line="330"/>
        <w:jc w:val="right"/>
      </w:pPr>
      <w:r>
        <w:rPr>
          <w:b w:val="false"/>
          <w:bCs w:val="false"/>
          <w:i w:val="false"/>
          <w:iCs w:val="false"/>
          <w:sz w:val="24"/>
          <w:szCs w:val="24"/>
          <w:rtl/>
        </w:rPr>
        <w:t xml:space="preserve">لكل شاشة مالكٌ واحد، وحق القراءة لا ينقل الملكية. وما تحتاجه الإدارة من إدارة أخرى يأتي إسقاطَ قراءةٍ أو بندَ عملٍ مشتركًا أو إشرافًا رقابيًّا — لا بتسريب إدارة كاملة إلى إدارة أخرى.</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3100"/>
        <w:gridCol w:w="2300"/>
        <w:gridCol w:w="4400"/>
      </w:tblGrid>
      <w:tr>
        <w:trPr>
          <w:cantSplit/>
          <w:tblHeader/>
        </w:trPr>
        <w:tc>
          <w:tcPr>
            <w:tcW w:type="dxa" w:w="31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المفهوم</w:t>
            </w:r>
          </w:p>
        </w:tc>
        <w:tc>
          <w:tcPr>
            <w:tcW w:type="dxa" w:w="23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بيته</w:t>
            </w:r>
          </w:p>
        </w:tc>
        <w:tc>
          <w:tcPr>
            <w:tcW w:type="dxa" w:w="44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كيف يظهر هنا</w:t>
            </w:r>
          </w:p>
        </w:tc>
      </w:tr>
      <w:tr>
        <w:trPr>
          <w:cantSplit/>
        </w:trPr>
        <w:tc>
          <w:tcPr>
            <w:tcW w:type="dxa" w:w="3100"/>
            <w:tcMar>
              <w:top w:type="dxa" w:w="70"/>
              <w:left w:type="dxa" w:w="95"/>
              <w:bottom w:type="dxa" w:w="70"/>
              <w:right w:type="dxa" w:w="95"/>
            </w:tcMar>
            <w:vAlign w:val="center"/>
          </w:tcPr>
          <w:p>
            <w:pPr>
              <w:bidi/>
              <w:spacing w:after="20" w:line="280"/>
              <w:jc w:val="right"/>
            </w:pPr>
            <w:r>
              <w:rPr>
                <w:b/>
                <w:bCs/>
                <w:sz w:val="21"/>
                <w:szCs w:val="21"/>
                <w:rtl/>
              </w:rPr>
              <w:t xml:space="preserve">الفاتورة الرسمية والضريبية</w:t>
            </w:r>
          </w:p>
          <w:p>
            <w:pPr>
              <w:bidi w:val="false"/>
              <w:spacing w:after="20" w:line="280"/>
              <w:jc w:val="left"/>
            </w:pPr>
            <w:r>
              <w:rPr>
                <w:b w:val="false"/>
                <w:bCs w:val="false"/>
                <w:color w:val="5A6B7B"/>
                <w:sz w:val="17"/>
                <w:szCs w:val="17"/>
                <w:rtl w:val="false"/>
              </w:rPr>
              <w:t xml:space="preserve">tax_invoices.php</w:t>
            </w:r>
          </w:p>
        </w:tc>
        <w:tc>
          <w:tcPr>
            <w:tcW w:type="dxa" w:w="2300"/>
            <w:tcMar>
              <w:top w:type="dxa" w:w="70"/>
              <w:left w:type="dxa" w:w="95"/>
              <w:bottom w:type="dxa" w:w="70"/>
              <w:right w:type="dxa" w:w="95"/>
            </w:tcMar>
            <w:vAlign w:val="center"/>
          </w:tcPr>
          <w:p>
            <w:pPr>
              <w:bidi/>
              <w:spacing w:after="20" w:line="280"/>
              <w:jc w:val="center"/>
            </w:pPr>
            <w:r>
              <w:rPr>
                <w:b w:val="false"/>
                <w:bCs w:val="false"/>
                <w:sz w:val="20"/>
                <w:szCs w:val="20"/>
                <w:rtl/>
              </w:rPr>
              <w:t xml:space="preserve">المالية والمحاسبة</w:t>
            </w:r>
          </w:p>
        </w:tc>
        <w:tc>
          <w:tcPr>
            <w:tcW w:type="dxa" w:w="4400"/>
            <w:tcMar>
              <w:top w:type="dxa" w:w="70"/>
              <w:left w:type="dxa" w:w="95"/>
              <w:bottom w:type="dxa" w:w="70"/>
              <w:right w:type="dxa" w:w="95"/>
            </w:tcMar>
            <w:vAlign w:val="center"/>
          </w:tcPr>
          <w:p>
            <w:pPr>
              <w:bidi/>
              <w:spacing w:after="20" w:line="280"/>
              <w:jc w:val="right"/>
            </w:pPr>
            <w:r>
              <w:rPr>
                <w:b w:val="false"/>
                <w:bCs w:val="false"/>
                <w:sz w:val="20"/>
                <w:szCs w:val="20"/>
                <w:rtl/>
              </w:rPr>
              <w:t xml:space="preserve">إسقاط حالة الفاتورة ومرجعها داخل شاشة المطالبات</w:t>
            </w:r>
          </w:p>
        </w:tc>
      </w:tr>
      <w:tr>
        <w:trPr>
          <w:cantSplit/>
        </w:trPr>
        <w:tc>
          <w:tcPr>
            <w:tcW w:type="dxa" w:w="31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الذمة والرصيد</w:t>
            </w:r>
          </w:p>
          <w:p>
            <w:pPr>
              <w:bidi w:val="false"/>
              <w:spacing w:after="20" w:line="280"/>
              <w:jc w:val="left"/>
            </w:pPr>
            <w:r>
              <w:rPr>
                <w:b w:val="false"/>
                <w:bCs w:val="false"/>
                <w:color w:val="5A6B7B"/>
                <w:sz w:val="17"/>
                <w:szCs w:val="17"/>
                <w:rtl w:val="false"/>
              </w:rPr>
              <w:t xml:space="preserve">client_statement.php</w:t>
            </w:r>
          </w:p>
        </w:tc>
        <w:tc>
          <w:tcPr>
            <w:tcW w:type="dxa" w:w="2300"/>
            <w:shd w:fill="F2F6FA" w:color="auto" w:val="clear"/>
            <w:tcMar>
              <w:top w:type="dxa" w:w="70"/>
              <w:left w:type="dxa" w:w="95"/>
              <w:bottom w:type="dxa" w:w="70"/>
              <w:right w:type="dxa" w:w="95"/>
            </w:tcMar>
            <w:vAlign w:val="center"/>
          </w:tcPr>
          <w:p>
            <w:pPr>
              <w:bidi/>
              <w:spacing w:after="20" w:line="280"/>
              <w:jc w:val="center"/>
            </w:pPr>
            <w:r>
              <w:rPr>
                <w:b w:val="false"/>
                <w:bCs w:val="false"/>
                <w:sz w:val="20"/>
                <w:szCs w:val="20"/>
                <w:rtl/>
              </w:rPr>
              <w:t xml:space="preserve">المالية والمحاسبة</w:t>
            </w:r>
          </w:p>
        </w:tc>
        <w:tc>
          <w:tcPr>
            <w:tcW w:type="dxa" w:w="44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إسقاط الرصيد والمتبقي — بلا شاشة ذمم في المبيعات</w:t>
            </w:r>
          </w:p>
        </w:tc>
      </w:tr>
      <w:tr>
        <w:trPr>
          <w:cantSplit/>
        </w:trPr>
        <w:tc>
          <w:tcPr>
            <w:tcW w:type="dxa" w:w="3100"/>
            <w:tcMar>
              <w:top w:type="dxa" w:w="70"/>
              <w:left w:type="dxa" w:w="95"/>
              <w:bottom w:type="dxa" w:w="70"/>
              <w:right w:type="dxa" w:w="95"/>
            </w:tcMar>
            <w:vAlign w:val="center"/>
          </w:tcPr>
          <w:p>
            <w:pPr>
              <w:bidi/>
              <w:spacing w:after="20" w:line="280"/>
              <w:jc w:val="right"/>
            </w:pPr>
            <w:r>
              <w:rPr>
                <w:b/>
                <w:bCs/>
                <w:sz w:val="21"/>
                <w:szCs w:val="21"/>
                <w:rtl/>
              </w:rPr>
              <w:t xml:space="preserve">التحصيل النقدي ومرجع الحركة</w:t>
            </w:r>
          </w:p>
          <w:p>
            <w:pPr>
              <w:bidi w:val="false"/>
              <w:spacing w:after="20" w:line="280"/>
              <w:jc w:val="left"/>
            </w:pPr>
            <w:r>
              <w:rPr>
                <w:b w:val="false"/>
                <w:bCs w:val="false"/>
                <w:color w:val="5A6B7B"/>
                <w:sz w:val="17"/>
                <w:szCs w:val="17"/>
                <w:rtl w:val="false"/>
              </w:rPr>
              <w:t xml:space="preserve">tre_receipts.php</w:t>
            </w:r>
          </w:p>
        </w:tc>
        <w:tc>
          <w:tcPr>
            <w:tcW w:type="dxa" w:w="2300"/>
            <w:tcMar>
              <w:top w:type="dxa" w:w="70"/>
              <w:left w:type="dxa" w:w="95"/>
              <w:bottom w:type="dxa" w:w="70"/>
              <w:right w:type="dxa" w:w="95"/>
            </w:tcMar>
            <w:vAlign w:val="center"/>
          </w:tcPr>
          <w:p>
            <w:pPr>
              <w:bidi/>
              <w:spacing w:after="20" w:line="280"/>
              <w:jc w:val="center"/>
            </w:pPr>
            <w:r>
              <w:rPr>
                <w:b w:val="false"/>
                <w:bCs w:val="false"/>
                <w:sz w:val="20"/>
                <w:szCs w:val="20"/>
                <w:rtl/>
              </w:rPr>
              <w:t xml:space="preserve">الخزينة والبنوك</w:t>
            </w:r>
          </w:p>
        </w:tc>
        <w:tc>
          <w:tcPr>
            <w:tcW w:type="dxa" w:w="4400"/>
            <w:tcMar>
              <w:top w:type="dxa" w:w="70"/>
              <w:left w:type="dxa" w:w="95"/>
              <w:bottom w:type="dxa" w:w="70"/>
              <w:right w:type="dxa" w:w="95"/>
            </w:tcMar>
            <w:vAlign w:val="center"/>
          </w:tcPr>
          <w:p>
            <w:pPr>
              <w:bidi/>
              <w:spacing w:after="20" w:line="280"/>
              <w:jc w:val="right"/>
            </w:pPr>
            <w:r>
              <w:rPr>
                <w:b w:val="false"/>
                <w:bCs w:val="false"/>
                <w:sz w:val="20"/>
                <w:szCs w:val="20"/>
                <w:rtl/>
              </w:rPr>
              <w:t xml:space="preserve">إسقاط حالة القبض ومرجعه — والقبض ليس ذمةً ولا مالكهما واحد</w:t>
            </w:r>
          </w:p>
        </w:tc>
      </w:tr>
      <w:tr>
        <w:trPr>
          <w:cantSplit/>
        </w:trPr>
        <w:tc>
          <w:tcPr>
            <w:tcW w:type="dxa" w:w="31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الوحدات المنفَّذة والساعات</w:t>
            </w:r>
          </w:p>
          <w:p>
            <w:pPr>
              <w:bidi w:val="false"/>
              <w:spacing w:after="20" w:line="280"/>
              <w:jc w:val="left"/>
            </w:pPr>
            <w:r>
              <w:rPr>
                <w:b w:val="false"/>
                <w:bCs w:val="false"/>
                <w:color w:val="5A6B7B"/>
                <w:sz w:val="17"/>
                <w:szCs w:val="17"/>
                <w:rtl w:val="false"/>
              </w:rPr>
              <w:t xml:space="preserve">timesheet.php</w:t>
            </w:r>
            <w:r>
              <w:rPr>
                <w:b w:val="false"/>
                <w:bCs w:val="false"/>
                <w:color w:val="5A6B7B"/>
                <w:sz w:val="17"/>
                <w:szCs w:val="17"/>
                <w:rtl/>
              </w:rPr>
              <w:t xml:space="preserve"> · </w:t>
            </w:r>
            <w:r>
              <w:rPr>
                <w:b w:val="false"/>
                <w:bCs w:val="false"/>
                <w:color w:val="5A6B7B"/>
                <w:sz w:val="17"/>
                <w:szCs w:val="17"/>
                <w:rtl w:val="false"/>
              </w:rPr>
              <w:t xml:space="preserve">unit_perf.php</w:t>
            </w:r>
          </w:p>
        </w:tc>
        <w:tc>
          <w:tcPr>
            <w:tcW w:type="dxa" w:w="2300"/>
            <w:shd w:fill="F2F6FA" w:color="auto" w:val="clear"/>
            <w:tcMar>
              <w:top w:type="dxa" w:w="70"/>
              <w:left w:type="dxa" w:w="95"/>
              <w:bottom w:type="dxa" w:w="70"/>
              <w:right w:type="dxa" w:w="95"/>
            </w:tcMar>
            <w:vAlign w:val="center"/>
          </w:tcPr>
          <w:p>
            <w:pPr>
              <w:bidi/>
              <w:spacing w:after="20" w:line="280"/>
              <w:jc w:val="center"/>
            </w:pPr>
            <w:r>
              <w:rPr>
                <w:b w:val="false"/>
                <w:bCs w:val="false"/>
                <w:sz w:val="20"/>
                <w:szCs w:val="20"/>
                <w:rtl/>
              </w:rPr>
              <w:t xml:space="preserve">إدارة الموقع والتشغيل</w:t>
            </w:r>
          </w:p>
        </w:tc>
        <w:tc>
          <w:tcPr>
            <w:tcW w:type="dxa" w:w="44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قراءة الوحدات المعتمدة فقط — ولا إدخال ساعة واحدة في المبيعات</w:t>
            </w:r>
          </w:p>
        </w:tc>
      </w:tr>
      <w:tr>
        <w:trPr>
          <w:cantSplit/>
        </w:trPr>
        <w:tc>
          <w:tcPr>
            <w:tcW w:type="dxa" w:w="3100"/>
            <w:tcMar>
              <w:top w:type="dxa" w:w="70"/>
              <w:left w:type="dxa" w:w="95"/>
              <w:bottom w:type="dxa" w:w="70"/>
              <w:right w:type="dxa" w:w="95"/>
            </w:tcMar>
            <w:vAlign w:val="center"/>
          </w:tcPr>
          <w:p>
            <w:pPr>
              <w:bidi/>
              <w:spacing w:after="20" w:line="280"/>
              <w:jc w:val="right"/>
            </w:pPr>
            <w:r>
              <w:rPr>
                <w:b/>
                <w:bCs/>
                <w:sz w:val="21"/>
                <w:szCs w:val="21"/>
                <w:rtl/>
              </w:rPr>
              <w:t xml:space="preserve">إسناد المعدات للوحدات</w:t>
            </w:r>
          </w:p>
          <w:p>
            <w:pPr>
              <w:bidi w:val="false"/>
              <w:spacing w:after="20" w:line="280"/>
              <w:jc w:val="left"/>
            </w:pPr>
            <w:r>
              <w:rPr>
                <w:b w:val="false"/>
                <w:bCs w:val="false"/>
                <w:color w:val="5A6B7B"/>
                <w:sz w:val="17"/>
                <w:szCs w:val="17"/>
                <w:rtl w:val="false"/>
              </w:rPr>
              <w:t xml:space="preserve">containers.php</w:t>
            </w:r>
          </w:p>
        </w:tc>
        <w:tc>
          <w:tcPr>
            <w:tcW w:type="dxa" w:w="2300"/>
            <w:tcMar>
              <w:top w:type="dxa" w:w="70"/>
              <w:left w:type="dxa" w:w="95"/>
              <w:bottom w:type="dxa" w:w="70"/>
              <w:right w:type="dxa" w:w="95"/>
            </w:tcMar>
            <w:vAlign w:val="center"/>
          </w:tcPr>
          <w:p>
            <w:pPr>
              <w:bidi/>
              <w:spacing w:after="20" w:line="280"/>
              <w:jc w:val="center"/>
            </w:pPr>
            <w:r>
              <w:rPr>
                <w:b w:val="false"/>
                <w:bCs w:val="false"/>
                <w:sz w:val="20"/>
                <w:szCs w:val="20"/>
                <w:rtl/>
              </w:rPr>
              <w:t xml:space="preserve">إدارة التشغيل</w:t>
            </w:r>
          </w:p>
        </w:tc>
        <w:tc>
          <w:tcPr>
            <w:tcW w:type="dxa" w:w="4400"/>
            <w:tcMar>
              <w:top w:type="dxa" w:w="70"/>
              <w:left w:type="dxa" w:w="95"/>
              <w:bottom w:type="dxa" w:w="70"/>
              <w:right w:type="dxa" w:w="95"/>
            </w:tcMar>
            <w:vAlign w:val="center"/>
          </w:tcPr>
          <w:p>
            <w:pPr>
              <w:bidi/>
              <w:spacing w:after="20" w:line="280"/>
              <w:jc w:val="right"/>
            </w:pPr>
            <w:r>
              <w:rPr>
                <w:b w:val="false"/>
                <w:bCs w:val="false"/>
                <w:sz w:val="20"/>
                <w:szCs w:val="20"/>
                <w:rtl/>
              </w:rPr>
              <w:t xml:space="preserve">ممنوعة في مساحة المبيعات — التغطية تُقرأ بلغة الالتزام لا بلغة الإسناد</w:t>
            </w:r>
          </w:p>
        </w:tc>
      </w:tr>
      <w:tr>
        <w:trPr>
          <w:cantSplit/>
        </w:trPr>
        <w:tc>
          <w:tcPr>
            <w:tcW w:type="dxa" w:w="31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حصص الموردين</w:t>
            </w:r>
          </w:p>
          <w:p>
            <w:pPr>
              <w:bidi w:val="false"/>
              <w:spacing w:after="20" w:line="280"/>
              <w:jc w:val="left"/>
            </w:pPr>
            <w:r>
              <w:rPr>
                <w:b w:val="false"/>
                <w:bCs w:val="false"/>
                <w:color w:val="5A6B7B"/>
                <w:sz w:val="17"/>
                <w:szCs w:val="17"/>
                <w:rtl w:val="false"/>
              </w:rPr>
              <w:t xml:space="preserve">shares_coverage.php</w:t>
            </w:r>
          </w:p>
        </w:tc>
        <w:tc>
          <w:tcPr>
            <w:tcW w:type="dxa" w:w="2300"/>
            <w:shd w:fill="F2F6FA" w:color="auto" w:val="clear"/>
            <w:tcMar>
              <w:top w:type="dxa" w:w="70"/>
              <w:left w:type="dxa" w:w="95"/>
              <w:bottom w:type="dxa" w:w="70"/>
              <w:right w:type="dxa" w:w="95"/>
            </w:tcMar>
            <w:vAlign w:val="center"/>
          </w:tcPr>
          <w:p>
            <w:pPr>
              <w:bidi/>
              <w:spacing w:after="20" w:line="280"/>
              <w:jc w:val="center"/>
            </w:pPr>
            <w:r>
              <w:rPr>
                <w:b w:val="false"/>
                <w:bCs w:val="false"/>
                <w:sz w:val="20"/>
                <w:szCs w:val="20"/>
                <w:rtl/>
              </w:rPr>
              <w:t xml:space="preserve">إدارة الموردين</w:t>
            </w:r>
          </w:p>
        </w:tc>
        <w:tc>
          <w:tcPr>
            <w:tcW w:type="dxa" w:w="44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لا تظهر في المبيعات — جانب العرض ليس من عمل المبيعات</w:t>
            </w:r>
          </w:p>
        </w:tc>
      </w:tr>
      <w:tr>
        <w:trPr>
          <w:cantSplit/>
        </w:trPr>
        <w:tc>
          <w:tcPr>
            <w:tcW w:type="dxa" w:w="3100"/>
            <w:tcMar>
              <w:top w:type="dxa" w:w="70"/>
              <w:left w:type="dxa" w:w="95"/>
              <w:bottom w:type="dxa" w:w="70"/>
              <w:right w:type="dxa" w:w="95"/>
            </w:tcMar>
            <w:vAlign w:val="center"/>
          </w:tcPr>
          <w:p>
            <w:pPr>
              <w:bidi/>
              <w:spacing w:after="20" w:line="280"/>
              <w:jc w:val="right"/>
            </w:pPr>
            <w:r>
              <w:rPr>
                <w:b/>
                <w:bCs/>
                <w:sz w:val="21"/>
                <w:szCs w:val="21"/>
                <w:rtl/>
              </w:rPr>
              <w:t xml:space="preserve">المخاطر التجارية</w:t>
            </w:r>
          </w:p>
          <w:p>
            <w:pPr>
              <w:bidi w:val="false"/>
              <w:spacing w:after="20" w:line="280"/>
              <w:jc w:val="left"/>
            </w:pPr>
            <w:r>
              <w:rPr>
                <w:b w:val="false"/>
                <w:bCs w:val="false"/>
                <w:color w:val="5A6B7B"/>
                <w:sz w:val="17"/>
                <w:szCs w:val="17"/>
                <w:rtl w:val="false"/>
              </w:rPr>
              <w:t xml:space="preserve">commercial_risks.php</w:t>
            </w:r>
          </w:p>
        </w:tc>
        <w:tc>
          <w:tcPr>
            <w:tcW w:type="dxa" w:w="2300"/>
            <w:tcMar>
              <w:top w:type="dxa" w:w="70"/>
              <w:left w:type="dxa" w:w="95"/>
              <w:bottom w:type="dxa" w:w="70"/>
              <w:right w:type="dxa" w:w="95"/>
            </w:tcMar>
            <w:vAlign w:val="center"/>
          </w:tcPr>
          <w:p>
            <w:pPr>
              <w:bidi/>
              <w:spacing w:after="20" w:line="280"/>
              <w:jc w:val="center"/>
            </w:pPr>
            <w:r>
              <w:rPr>
                <w:b w:val="false"/>
                <w:bCs w:val="false"/>
                <w:sz w:val="20"/>
                <w:szCs w:val="20"/>
                <w:rtl/>
              </w:rPr>
              <w:t xml:space="preserve">مكتب الرئيس والنواب</w:t>
            </w:r>
          </w:p>
        </w:tc>
        <w:tc>
          <w:tcPr>
            <w:tcW w:type="dxa" w:w="4400"/>
            <w:tcMar>
              <w:top w:type="dxa" w:w="70"/>
              <w:left w:type="dxa" w:w="95"/>
              <w:bottom w:type="dxa" w:w="70"/>
              <w:right w:type="dxa" w:w="95"/>
            </w:tcMar>
            <w:vAlign w:val="center"/>
          </w:tcPr>
          <w:p>
            <w:pPr>
              <w:bidi/>
              <w:spacing w:after="20" w:line="280"/>
              <w:jc w:val="right"/>
            </w:pPr>
            <w:r>
              <w:rPr>
                <w:b w:val="false"/>
                <w:bCs w:val="false"/>
                <w:sz w:val="20"/>
                <w:szCs w:val="20"/>
                <w:rtl/>
              </w:rPr>
              <w:t xml:space="preserve">قراءة سياقية داخل مجموعة الحوكمة</w:t>
            </w:r>
          </w:p>
        </w:tc>
      </w:tr>
      <w:tr>
        <w:trPr>
          <w:cantSplit/>
        </w:trPr>
        <w:tc>
          <w:tcPr>
            <w:tcW w:type="dxa" w:w="31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سعر البيع وشروطه ونسخه وآليات تعديله</w:t>
            </w:r>
          </w:p>
          <w:p>
            <w:pPr>
              <w:bidi w:val="false"/>
              <w:spacing w:after="20" w:line="280"/>
              <w:jc w:val="left"/>
            </w:pPr>
            <w:r>
              <w:rPr>
                <w:b w:val="false"/>
                <w:bCs w:val="false"/>
                <w:color w:val="5A6B7B"/>
                <w:sz w:val="17"/>
                <w:szCs w:val="17"/>
                <w:rtl w:val="false"/>
              </w:rPr>
              <w:t xml:space="preserve">pricelists</w:t>
            </w:r>
            <w:r>
              <w:rPr>
                <w:b w:val="false"/>
                <w:bCs w:val="false"/>
                <w:color w:val="5A6B7B"/>
                <w:sz w:val="17"/>
                <w:szCs w:val="17"/>
                <w:rtl/>
              </w:rPr>
              <w:t xml:space="preserve"> · </w:t>
            </w:r>
            <w:r>
              <w:rPr>
                <w:b w:val="false"/>
                <w:bCs w:val="false"/>
                <w:color w:val="5A6B7B"/>
                <w:sz w:val="17"/>
                <w:szCs w:val="17"/>
                <w:rtl w:val="false"/>
              </w:rPr>
              <w:t xml:space="preserve">rate_books</w:t>
            </w:r>
            <w:r>
              <w:rPr>
                <w:b w:val="false"/>
                <w:bCs w:val="false"/>
                <w:color w:val="5A6B7B"/>
                <w:sz w:val="17"/>
                <w:szCs w:val="17"/>
                <w:rtl/>
              </w:rPr>
              <w:t xml:space="preserve"> · </w:t>
            </w:r>
            <w:r>
              <w:rPr>
                <w:b w:val="false"/>
                <w:bCs w:val="false"/>
                <w:color w:val="5A6B7B"/>
                <w:sz w:val="17"/>
                <w:szCs w:val="17"/>
                <w:rtl w:val="false"/>
              </w:rPr>
              <w:t xml:space="preserve">price_terms</w:t>
            </w:r>
          </w:p>
        </w:tc>
        <w:tc>
          <w:tcPr>
            <w:tcW w:type="dxa" w:w="2300"/>
            <w:shd w:fill="F2F6FA" w:color="auto" w:val="clear"/>
            <w:tcMar>
              <w:top w:type="dxa" w:w="70"/>
              <w:left w:type="dxa" w:w="95"/>
              <w:bottom w:type="dxa" w:w="70"/>
              <w:right w:type="dxa" w:w="95"/>
            </w:tcMar>
            <w:vAlign w:val="center"/>
          </w:tcPr>
          <w:p>
            <w:pPr>
              <w:bidi/>
              <w:spacing w:after="20" w:line="280"/>
              <w:jc w:val="center"/>
            </w:pPr>
            <w:r>
              <w:rPr>
                <w:b w:val="false"/>
                <w:bCs w:val="false"/>
                <w:sz w:val="20"/>
                <w:szCs w:val="20"/>
                <w:rtl/>
              </w:rPr>
              <w:t xml:space="preserve">المبيعات والعقود</w:t>
            </w:r>
          </w:p>
        </w:tc>
        <w:tc>
          <w:tcPr>
            <w:tcW w:type="dxa" w:w="44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مملوكٌ هنا لا في المالية — والمالية تحوّله إلى أثر محاسبي ولا تملكه</w:t>
            </w:r>
          </w:p>
        </w:tc>
      </w:tr>
    </w:tbl>
    <w:p>
      <w:pPr>
        <w:bidi/>
        <w:spacing w:before="130"/>
        <w:jc w:val="right"/>
      </w:pPr>
      <w:r>
        <w:rPr>
          <w:b w:val="false"/>
          <w:bCs w:val="false"/>
          <w:i w:val="false"/>
          <w:iCs w:val="false"/>
          <w:sz w:val="24"/>
          <w:szCs w:val="24"/>
          <w:rtl/>
        </w:rPr>
        <w:t xml:space="preserve">والبوابة المستقلة: صفر شاشة مالية أصلية داخل هذه الإدارة، وصفر شاشة لهذه الإدارة أصلية داخل المالية. والأداء التشغيلي لا يُعاد تخزينه ولا إدخاله هنا — فالواقعة بيتها التايم شيت، والقيدُ والذمةُ بيتهما المالية، والمعدة بيتها الأسطول. أما السعر فتمييزٌ لا بد منه: سعرُ البيع التعاقدي وشروطه ونسخُه وآلياتُ تعديله بيتها المبيعات، وسعرُ المورد التعاقدي وشروطه بيتها إدارة الموردين — والمالية تُحوِّلهما إلى أثرٍ محاسبيٍّ وقيدٍ وذمة، ولا تملكهما. فاستعمالُ الرقم في الحساب لا يُنشئ ملكيةً له.</w:t>
      </w:r>
    </w:p>
    <w:p>
      <w:r>
        <w:br w:type="page"/>
      </w:r>
    </w:p>
    <w:p>
      <w:pPr>
        <w:pStyle w:val="Heading1"/>
        <w:keepNext/>
        <w:bidi/>
        <w:spacing w:after="180" w:before="360"/>
        <w:jc w:val="right"/>
      </w:pPr>
      <w:r>
        <w:rPr>
          <w:b/>
          <w:bCs/>
          <w:rtl/>
        </w:rPr>
        <w:t xml:space="preserve">البند الخامس عشر والسادس عشر — الدمج والتقاعد بلا كسر</w:t>
      </w:r>
    </w:p>
    <w:p>
      <w:pPr>
        <w:bidi/>
        <w:spacing w:after="130" w:line="330"/>
        <w:jc w:val="right"/>
      </w:pPr>
      <w:r>
        <w:rPr>
          <w:b w:val="false"/>
          <w:bCs w:val="false"/>
          <w:i w:val="false"/>
          <w:iCs w:val="false"/>
          <w:sz w:val="24"/>
          <w:szCs w:val="24"/>
          <w:rtl/>
        </w:rPr>
        <w:t xml:space="preserve">إذا قابلت الورقةُ شاشةً قائمة سيئة الاسم أو الموضع فالحكم تغيير الاسم والموضع لا إنشاء نسخة. وإذا تكافأت شاشتان فالمسار ثمانِ خطوات لا تُختصر: تحديد الكنسية، ثم إثبات تكافؤ البيانات والأفعال، ثم ترحيل الروابط، ثم المنظورات المحفوظة، ثم الصلاحيات، ثم تحويل القديم، ثم جعله قراءةً فقط، ثم تقاعده بعد فترة إثبات. ولا حذف مباشر.</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3000"/>
        <w:gridCol w:w="3300"/>
        <w:gridCol w:w="3500"/>
      </w:tblGrid>
      <w:tr>
        <w:trPr>
          <w:cantSplit/>
          <w:tblHeader/>
        </w:trPr>
        <w:tc>
          <w:tcPr>
            <w:tcW w:type="dxa" w:w="30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الازدواج</w:t>
            </w:r>
          </w:p>
        </w:tc>
        <w:tc>
          <w:tcPr>
            <w:tcW w:type="dxa" w:w="33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وصفه</w:t>
            </w:r>
          </w:p>
        </w:tc>
        <w:tc>
          <w:tcPr>
            <w:tcW w:type="dxa" w:w="35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الحكم</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المناقصات</w:t>
            </w:r>
          </w:p>
          <w:p>
            <w:pPr>
              <w:bidi w:val="false"/>
              <w:spacing w:after="20" w:line="280"/>
              <w:jc w:val="left"/>
            </w:pPr>
            <w:r>
              <w:rPr>
                <w:b w:val="false"/>
                <w:bCs w:val="false"/>
                <w:color w:val="5A6B7B"/>
                <w:sz w:val="17"/>
                <w:szCs w:val="17"/>
                <w:rtl w:val="false"/>
              </w:rPr>
              <w:t xml:space="preserve">tenders.php</w:t>
            </w:r>
            <w:r>
              <w:rPr>
                <w:b w:val="false"/>
                <w:bCs w:val="false"/>
                <w:color w:val="5A6B7B"/>
                <w:sz w:val="17"/>
                <w:szCs w:val="17"/>
                <w:rtl/>
              </w:rPr>
              <w:t xml:space="preserve"> → </w:t>
            </w:r>
            <w:r>
              <w:rPr>
                <w:b w:val="false"/>
                <w:bCs w:val="false"/>
                <w:color w:val="5A6B7B"/>
                <w:sz w:val="17"/>
                <w:szCs w:val="17"/>
                <w:rtl w:val="false"/>
              </w:rPr>
              <w:t xml:space="preserve">opportunities.php</w:t>
            </w:r>
          </w:p>
        </w:tc>
        <w:tc>
          <w:tcPr>
            <w:tcW w:type="dxa" w:w="3300"/>
            <w:tcMar>
              <w:top w:type="dxa" w:w="70"/>
              <w:left w:type="dxa" w:w="95"/>
              <w:bottom w:type="dxa" w:w="70"/>
              <w:right w:type="dxa" w:w="95"/>
            </w:tcMar>
            <w:vAlign w:val="center"/>
          </w:tcPr>
          <w:p>
            <w:pPr>
              <w:bidi/>
              <w:spacing w:after="20" w:line="280"/>
              <w:jc w:val="right"/>
            </w:pPr>
            <w:r>
              <w:rPr>
                <w:b w:val="false"/>
                <w:bCs w:val="false"/>
                <w:sz w:val="20"/>
                <w:szCs w:val="20"/>
                <w:rtl/>
              </w:rPr>
              <w:t xml:space="preserve">شاشة مستقلة بينما شاشة الفرص تحمل المناقصات في اسمها نفسه</w:t>
            </w:r>
          </w:p>
        </w:tc>
        <w:tc>
          <w:tcPr>
            <w:tcW w:type="dxa" w:w="3500"/>
            <w:tcMar>
              <w:top w:type="dxa" w:w="70"/>
              <w:left w:type="dxa" w:w="95"/>
              <w:bottom w:type="dxa" w:w="70"/>
              <w:right w:type="dxa" w:w="95"/>
            </w:tcMar>
            <w:vAlign w:val="center"/>
          </w:tcPr>
          <w:p>
            <w:pPr>
              <w:bidi/>
              <w:spacing w:after="20" w:line="280"/>
              <w:jc w:val="right"/>
            </w:pPr>
            <w:r>
              <w:rPr>
                <w:b w:val="false"/>
                <w:bCs w:val="false"/>
                <w:sz w:val="20"/>
                <w:szCs w:val="20"/>
                <w:rtl/>
              </w:rPr>
              <w:t xml:space="preserve">الفرص هي الكنسية — والمناقصات نوع فرصة لا سجل مستقل</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التزامات العقود ومصفوفة التزامات العقد</w:t>
            </w:r>
          </w:p>
          <w:p>
            <w:pPr>
              <w:bidi w:val="false"/>
              <w:spacing w:after="20" w:line="280"/>
              <w:jc w:val="left"/>
            </w:pPr>
            <w:r>
              <w:rPr>
                <w:b w:val="false"/>
                <w:bCs w:val="false"/>
                <w:color w:val="5A6B7B"/>
                <w:sz w:val="17"/>
                <w:szCs w:val="17"/>
                <w:rtl w:val="false"/>
              </w:rPr>
              <w:t xml:space="preserve">contract_commitments</w:t>
            </w:r>
            <w:r>
              <w:rPr>
                <w:b w:val="false"/>
                <w:bCs w:val="false"/>
                <w:color w:val="5A6B7B"/>
                <w:sz w:val="17"/>
                <w:szCs w:val="17"/>
                <w:rtl/>
              </w:rPr>
              <w:t xml:space="preserve"> → </w:t>
            </w:r>
            <w:r>
              <w:rPr>
                <w:b w:val="false"/>
                <w:bCs w:val="false"/>
                <w:color w:val="5A6B7B"/>
                <w:sz w:val="17"/>
                <w:szCs w:val="17"/>
                <w:rtl w:val="false"/>
              </w:rPr>
              <w:t xml:space="preserve">contract_obligations</w:t>
            </w:r>
          </w:p>
        </w:tc>
        <w:tc>
          <w:tcPr>
            <w:tcW w:type="dxa" w:w="3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سطحان لمفهوم واحد بمالك واحد</w:t>
            </w:r>
          </w:p>
        </w:tc>
        <w:tc>
          <w:tcPr>
            <w:tcW w:type="dxa" w:w="35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المصفوفة هي الكنسية — والالتزامات تُرحَّل إليها</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أحكام العقد</w:t>
            </w:r>
          </w:p>
          <w:p>
            <w:pPr>
              <w:bidi w:val="false"/>
              <w:spacing w:after="20" w:line="280"/>
              <w:jc w:val="left"/>
            </w:pPr>
            <w:r>
              <w:rPr>
                <w:b w:val="false"/>
                <w:bCs w:val="false"/>
                <w:color w:val="5A6B7B"/>
                <w:sz w:val="17"/>
                <w:szCs w:val="17"/>
                <w:rtl w:val="false"/>
              </w:rPr>
              <w:t xml:space="preserve">contract_card.php</w:t>
            </w:r>
          </w:p>
        </w:tc>
        <w:tc>
          <w:tcPr>
            <w:tcW w:type="dxa" w:w="3300"/>
            <w:tcMar>
              <w:top w:type="dxa" w:w="70"/>
              <w:left w:type="dxa" w:w="95"/>
              <w:bottom w:type="dxa" w:w="70"/>
              <w:right w:type="dxa" w:w="95"/>
            </w:tcMar>
            <w:vAlign w:val="center"/>
          </w:tcPr>
          <w:p>
            <w:pPr>
              <w:bidi/>
              <w:spacing w:after="20" w:line="280"/>
              <w:jc w:val="right"/>
            </w:pPr>
            <w:r>
              <w:rPr>
                <w:b w:val="false"/>
                <w:bCs w:val="false"/>
                <w:sz w:val="20"/>
                <w:szCs w:val="20"/>
                <w:rtl/>
              </w:rPr>
              <w:t xml:space="preserve">اسمان لمسار واحد: بطاقة العقد في السجل وأحكام العقد في الدورة</w:t>
            </w:r>
          </w:p>
        </w:tc>
        <w:tc>
          <w:tcPr>
            <w:tcW w:type="dxa" w:w="3500"/>
            <w:tcMar>
              <w:top w:type="dxa" w:w="70"/>
              <w:left w:type="dxa" w:w="95"/>
              <w:bottom w:type="dxa" w:w="70"/>
              <w:right w:type="dxa" w:w="95"/>
            </w:tcMar>
            <w:vAlign w:val="center"/>
          </w:tcPr>
          <w:p>
            <w:pPr>
              <w:bidi/>
              <w:spacing w:after="20" w:line="280"/>
              <w:jc w:val="right"/>
            </w:pPr>
            <w:r>
              <w:rPr>
                <w:b w:val="false"/>
                <w:bCs w:val="false"/>
                <w:sz w:val="20"/>
                <w:szCs w:val="20"/>
                <w:rtl/>
              </w:rPr>
              <w:t xml:space="preserve">الاسم الكنسي أحكام العقد والمسار واحد</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خط الأساس والجدول الشهري</w:t>
            </w:r>
          </w:p>
          <w:p>
            <w:pPr>
              <w:bidi w:val="false"/>
              <w:spacing w:after="20" w:line="280"/>
              <w:jc w:val="left"/>
            </w:pPr>
            <w:r>
              <w:rPr>
                <w:b w:val="false"/>
                <w:bCs w:val="false"/>
                <w:color w:val="5A6B7B"/>
                <w:sz w:val="17"/>
                <w:szCs w:val="17"/>
                <w:rtl w:val="false"/>
              </w:rPr>
              <w:t xml:space="preserve">contract_baseline</w:t>
            </w:r>
            <w:r>
              <w:rPr>
                <w:b w:val="false"/>
                <w:bCs w:val="false"/>
                <w:color w:val="5A6B7B"/>
                <w:sz w:val="17"/>
                <w:szCs w:val="17"/>
                <w:rtl/>
              </w:rPr>
              <w:t xml:space="preserve"> + </w:t>
            </w:r>
            <w:r>
              <w:rPr>
                <w:b w:val="false"/>
                <w:bCs w:val="false"/>
                <w:color w:val="5A6B7B"/>
                <w:sz w:val="17"/>
                <w:szCs w:val="17"/>
                <w:rtl w:val="false"/>
              </w:rPr>
              <w:t xml:space="preserve">contract_monthly_plan</w:t>
            </w:r>
          </w:p>
        </w:tc>
        <w:tc>
          <w:tcPr>
            <w:tcW w:type="dxa" w:w="3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سطحان يقسمان مستندًا واحدًا في المرجع الحاكم</w:t>
            </w:r>
          </w:p>
        </w:tc>
        <w:tc>
          <w:tcPr>
            <w:tcW w:type="dxa" w:w="35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يُدمجان في خط الأساس والمستهدفات</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كشف حساب العميل</w:t>
            </w:r>
          </w:p>
          <w:p>
            <w:pPr>
              <w:bidi w:val="false"/>
              <w:spacing w:after="20" w:line="280"/>
              <w:jc w:val="left"/>
            </w:pPr>
            <w:r>
              <w:rPr>
                <w:b w:val="false"/>
                <w:bCs w:val="false"/>
                <w:color w:val="5A6B7B"/>
                <w:sz w:val="17"/>
                <w:szCs w:val="17"/>
                <w:rtl w:val="false"/>
              </w:rPr>
              <w:t xml:space="preserve">client_statement.php</w:t>
            </w:r>
            <w:r>
              <w:rPr>
                <w:b w:val="false"/>
                <w:bCs w:val="false"/>
                <w:color w:val="5A6B7B"/>
                <w:sz w:val="17"/>
                <w:szCs w:val="17"/>
                <w:rtl/>
              </w:rPr>
              <w:t xml:space="preserve"> · </w:t>
            </w:r>
            <w:r>
              <w:rPr>
                <w:b w:val="false"/>
                <w:bCs w:val="false"/>
                <w:color w:val="5A6B7B"/>
                <w:sz w:val="17"/>
                <w:szCs w:val="17"/>
                <w:rtl w:val="false"/>
              </w:rPr>
              <w:t xml:space="preserve">finance-owned</w:t>
            </w:r>
          </w:p>
        </w:tc>
        <w:tc>
          <w:tcPr>
            <w:tcW w:type="dxa" w:w="3300"/>
            <w:tcMar>
              <w:top w:type="dxa" w:w="70"/>
              <w:left w:type="dxa" w:w="95"/>
              <w:bottom w:type="dxa" w:w="70"/>
              <w:right w:type="dxa" w:w="95"/>
            </w:tcMar>
            <w:vAlign w:val="center"/>
          </w:tcPr>
          <w:p>
            <w:pPr>
              <w:bidi/>
              <w:spacing w:after="20" w:line="280"/>
              <w:jc w:val="right"/>
            </w:pPr>
            <w:r>
              <w:rPr>
                <w:b w:val="false"/>
                <w:bCs w:val="false"/>
                <w:sz w:val="20"/>
                <w:szCs w:val="20"/>
                <w:rtl/>
              </w:rPr>
              <w:t xml:space="preserve">يظهر مرتين ومالكه المالية</w:t>
            </w:r>
          </w:p>
        </w:tc>
        <w:tc>
          <w:tcPr>
            <w:tcW w:type="dxa" w:w="3500"/>
            <w:tcMar>
              <w:top w:type="dxa" w:w="70"/>
              <w:left w:type="dxa" w:w="95"/>
              <w:bottom w:type="dxa" w:w="70"/>
              <w:right w:type="dxa" w:w="95"/>
            </w:tcMar>
            <w:vAlign w:val="center"/>
          </w:tcPr>
          <w:p>
            <w:pPr>
              <w:bidi/>
              <w:spacing w:after="20" w:line="280"/>
              <w:jc w:val="right"/>
            </w:pPr>
            <w:r>
              <w:rPr>
                <w:b w:val="false"/>
                <w:bCs w:val="false"/>
                <w:sz w:val="20"/>
                <w:szCs w:val="20"/>
                <w:rtl/>
              </w:rPr>
              <w:t xml:space="preserve">بيته المالية — ويُقرأ في المبيعات إسقاطًا لا شاشة</w:t>
            </w:r>
          </w:p>
        </w:tc>
      </w:tr>
    </w:tbl>
    <w:p>
      <w:pPr>
        <w:bidi/>
        <w:spacing w:before="130"/>
        <w:jc w:val="right"/>
      </w:pPr>
      <w:r>
        <w:rPr>
          <w:b w:val="false"/>
          <w:bCs w:val="false"/>
          <w:i w:val="false"/>
          <w:iCs w:val="false"/>
          <w:sz w:val="24"/>
          <w:szCs w:val="24"/>
          <w:rtl/>
        </w:rPr>
        <w:t xml:space="preserve">وأي تغيير في الواجهة أو البنية المعلوماتية لا يعيد كتابة بيانات العمل: المطلوب تغيير الإسقاط والمسار والمجموعة والتسمية وتوحيد المكوّن. ولا ترحيل بيانات إلا لضرورة بنيوية مثبتة، وحينها بعدٍّ قبليٍّ وبعديٍّ ومطابقةٍ وطريق رجوع.</w:t>
      </w:r>
    </w:p>
    <w:p>
      <w:r>
        <w:br w:type="page"/>
      </w:r>
    </w:p>
    <w:p>
      <w:pPr>
        <w:pStyle w:val="Heading1"/>
        <w:keepNext/>
        <w:bidi/>
        <w:spacing w:after="180" w:before="360"/>
        <w:jc w:val="right"/>
      </w:pPr>
      <w:r>
        <w:rPr>
          <w:b/>
          <w:bCs/>
          <w:rtl/>
        </w:rPr>
        <w:t xml:space="preserve">البند السابع عشر — قاموس المسميات الملزم</w:t>
      </w:r>
    </w:p>
    <w:p>
      <w:pPr>
        <w:bidi/>
        <w:spacing w:after="130" w:line="330"/>
        <w:jc w:val="right"/>
      </w:pPr>
      <w:r>
        <w:rPr>
          <w:b w:val="false"/>
          <w:bCs w:val="false"/>
          <w:i w:val="false"/>
          <w:iCs w:val="false"/>
          <w:sz w:val="24"/>
          <w:szCs w:val="24"/>
          <w:rtl/>
        </w:rPr>
        <w:t xml:space="preserve">لكل مفهوم سطرٌ واحد في القاموس يحمل: الاسم العربي المعياري، والاسم الإنجليزي، والاسم التقني، والمرادفات القديمة، والمالك، وموضع الظهور. وممنوع: اسمان لشاشة واحدة، واسمٌ تقنيٌّ في الواجهة، واسمٌ عامٌّ حيث يوجد اسم مؤسسيٌّ أدقّ، وعبارةٌ محادثية، واسمٌ داخليٌّ فنّي.</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3100"/>
        <w:gridCol w:w="3100"/>
        <w:gridCol w:w="3600"/>
      </w:tblGrid>
      <w:tr>
        <w:trPr>
          <w:cantSplit/>
          <w:tblHeader/>
        </w:trPr>
        <w:tc>
          <w:tcPr>
            <w:tcW w:type="dxa" w:w="31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الاسم الحالي</w:t>
            </w:r>
          </w:p>
        </w:tc>
        <w:tc>
          <w:tcPr>
            <w:tcW w:type="dxa" w:w="31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الاسم الكنسي</w:t>
            </w:r>
          </w:p>
        </w:tc>
        <w:tc>
          <w:tcPr>
            <w:tcW w:type="dxa" w:w="3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المرادف المتقاعد</w:t>
            </w:r>
          </w:p>
        </w:tc>
      </w:tr>
      <w:tr>
        <w:trPr>
          <w:cantSplit/>
        </w:trPr>
        <w:tc>
          <w:tcPr>
            <w:tcW w:type="dxa" w:w="9800"/>
            <w:gridSpan w:val="3"/>
            <w:tcMar>
              <w:top w:type="dxa" w:w="70"/>
              <w:left w:type="dxa" w:w="95"/>
              <w:bottom w:type="dxa" w:w="70"/>
              <w:right w:type="dxa" w:w="95"/>
            </w:tcMar>
            <w:vAlign w:val="center"/>
          </w:tcPr>
          <w:p>
            <w:pPr>
              <w:bidi/>
              <w:spacing w:after="20" w:line="280"/>
              <w:jc w:val="right"/>
            </w:pPr>
            <w:r>
              <w:rPr>
                <w:b w:val="false"/>
                <w:bCs w:val="false"/>
                <w:sz w:val="21"/>
                <w:szCs w:val="21"/>
                <w:rtl/>
              </w:rPr>
              <w:t xml:space="preserve">يُستخرج القاموس كاملًا من عمود الأسماء في المرجع الحاكم ويُثبَّت في سجل الأسماء المعتمدة قبل تنفيذ أي إعادة تسمية.</w:t>
            </w:r>
          </w:p>
        </w:tc>
      </w:tr>
    </w:tbl>
    <w:p>
      <w:pPr>
        <w:pStyle w:val="Heading1"/>
        <w:keepNext/>
        <w:bidi/>
        <w:spacing w:after="180" w:before="360"/>
        <w:jc w:val="right"/>
      </w:pPr>
      <w:r>
        <w:rPr>
          <w:b/>
          <w:bCs/>
          <w:rtl/>
        </w:rPr>
        <w:t xml:space="preserve">البند الثامن عشر — دفتر المصالحة: عقد كل ورقة</w:t>
      </w:r>
    </w:p>
    <w:p>
      <w:pPr>
        <w:bidi/>
        <w:spacing w:after="130" w:line="330"/>
        <w:jc w:val="right"/>
      </w:pPr>
      <w:r>
        <w:rPr>
          <w:b w:val="false"/>
          <w:bCs w:val="false"/>
          <w:i w:val="false"/>
          <w:iCs w:val="false"/>
          <w:sz w:val="24"/>
          <w:szCs w:val="24"/>
          <w:rtl/>
        </w:rPr>
        <w:t xml:space="preserve">لكل ورقة سطرٌ في دفتر المصالحة يحمل عقدها كاملًا، ولا سطر بلا قرار. وهذه حقول العقد الملزمة:</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4900"/>
        <w:gridCol w:w="4900"/>
      </w:tblGrid>
      <w:tr>
        <w:trPr>
          <w:cantSplit/>
          <w:tblHeader/>
        </w:trPr>
        <w:tc>
          <w:tcPr>
            <w:tcW w:type="dxa" w:w="4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حقول التعريف والمصدر</w:t>
            </w:r>
          </w:p>
        </w:tc>
        <w:tc>
          <w:tcPr>
            <w:tcW w:type="dxa" w:w="4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حقول القرار والأثر</w:t>
            </w:r>
          </w:p>
        </w:tc>
      </w:tr>
      <w:tr>
        <w:trPr>
          <w:cantSplit/>
        </w:trPr>
        <w:tc>
          <w:tcPr>
            <w:tcW w:type="dxa" w:w="4900"/>
            <w:tcMar>
              <w:top w:type="dxa" w:w="70"/>
              <w:left w:type="dxa" w:w="95"/>
              <w:bottom w:type="dxa" w:w="70"/>
              <w:right w:type="dxa" w:w="95"/>
            </w:tcMar>
            <w:vAlign w:val="center"/>
          </w:tcPr>
          <w:p>
            <w:pPr>
              <w:bidi/>
              <w:spacing w:after="20" w:line="280"/>
              <w:jc w:val="right"/>
            </w:pPr>
            <w:r>
              <w:rPr>
                <w:b w:val="false"/>
                <w:bCs w:val="false"/>
                <w:sz w:val="21"/>
                <w:szCs w:val="21"/>
                <w:rtl/>
              </w:rPr>
              <w:t xml:space="preserve">المصنَّف · اسم الورقة · ترتيبها · مرحلة العمل</w:t>
            </w:r>
          </w:p>
        </w:tc>
        <w:tc>
          <w:tcPr>
            <w:tcW w:type="dxa" w:w="4900"/>
            <w:tcMar>
              <w:top w:type="dxa" w:w="70"/>
              <w:left w:type="dxa" w:w="95"/>
              <w:bottom w:type="dxa" w:w="70"/>
              <w:right w:type="dxa" w:w="95"/>
            </w:tcMar>
            <w:vAlign w:val="center"/>
          </w:tcPr>
          <w:p>
            <w:pPr>
              <w:bidi/>
              <w:spacing w:after="20" w:line="280"/>
              <w:jc w:val="right"/>
            </w:pPr>
            <w:r>
              <w:rPr>
                <w:b w:val="false"/>
                <w:bCs w:val="false"/>
                <w:sz w:val="21"/>
                <w:szCs w:val="21"/>
                <w:rtl/>
              </w:rPr>
              <w:t xml:space="preserve">القرار في السطح · الملف الأمّ · قرار الترحيل</w:t>
            </w:r>
          </w:p>
        </w:tc>
      </w:tr>
      <w:tr>
        <w:trPr>
          <w:cantSplit/>
        </w:trPr>
        <w:tc>
          <w:tcPr>
            <w:tcW w:type="dxa" w:w="49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المستند الداخل · المستند الناتج</w:t>
            </w:r>
          </w:p>
        </w:tc>
        <w:tc>
          <w:tcPr>
            <w:tcW w:type="dxa" w:w="49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الاسم الكنسي المستهدف · المالك المستهدف</w:t>
            </w:r>
          </w:p>
        </w:tc>
      </w:tr>
      <w:tr>
        <w:trPr>
          <w:cantSplit/>
        </w:trPr>
        <w:tc>
          <w:tcPr>
            <w:tcW w:type="dxa" w:w="4900"/>
            <w:tcMar>
              <w:top w:type="dxa" w:w="70"/>
              <w:left w:type="dxa" w:w="95"/>
              <w:bottom w:type="dxa" w:w="70"/>
              <w:right w:type="dxa" w:w="95"/>
            </w:tcMar>
            <w:vAlign w:val="center"/>
          </w:tcPr>
          <w:p>
            <w:pPr>
              <w:bidi/>
              <w:spacing w:after="20" w:line="280"/>
              <w:jc w:val="right"/>
            </w:pPr>
            <w:r>
              <w:rPr>
                <w:b w:val="false"/>
                <w:bCs w:val="false"/>
                <w:sz w:val="21"/>
                <w:szCs w:val="21"/>
                <w:rtl/>
              </w:rPr>
              <w:t xml:space="preserve">المسار الحالي · اسم الشاشة الحالي · مالكها الحالي</w:t>
            </w:r>
          </w:p>
        </w:tc>
        <w:tc>
          <w:tcPr>
            <w:tcW w:type="dxa" w:w="4900"/>
            <w:tcMar>
              <w:top w:type="dxa" w:w="70"/>
              <w:left w:type="dxa" w:w="95"/>
              <w:bottom w:type="dxa" w:w="70"/>
              <w:right w:type="dxa" w:w="95"/>
            </w:tcMar>
            <w:vAlign w:val="center"/>
          </w:tcPr>
          <w:p>
            <w:pPr>
              <w:bidi/>
              <w:spacing w:after="20" w:line="280"/>
              <w:jc w:val="right"/>
            </w:pPr>
            <w:r>
              <w:rPr>
                <w:b w:val="false"/>
                <w:bCs w:val="false"/>
                <w:sz w:val="21"/>
                <w:szCs w:val="21"/>
                <w:rtl/>
              </w:rPr>
              <w:t xml:space="preserve">عدد الحقول · الأفعال · الاعتمادات · الأحداث</w:t>
            </w:r>
          </w:p>
        </w:tc>
      </w:tr>
      <w:tr>
        <w:trPr>
          <w:cantSplit/>
        </w:trPr>
        <w:tc>
          <w:tcPr>
            <w:tcW w:type="dxa" w:w="49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مصدر البيانات · الجدول الرئيسي · الخدمة</w:t>
            </w:r>
          </w:p>
        </w:tc>
        <w:tc>
          <w:tcPr>
            <w:tcW w:type="dxa" w:w="49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الحقول الحساسة · الاعتماديات بين الإدارات · الدليل</w:t>
            </w:r>
          </w:p>
        </w:tc>
      </w:tr>
    </w:tbl>
    <w:p>
      <w:r>
        <w:br w:type="page"/>
      </w:r>
    </w:p>
    <w:p>
      <w:pPr>
        <w:pStyle w:val="Heading1"/>
        <w:keepNext/>
        <w:bidi/>
        <w:spacing w:after="180" w:before="360"/>
        <w:jc w:val="right"/>
      </w:pPr>
      <w:r>
        <w:rPr>
          <w:b/>
          <w:bCs/>
          <w:rtl/>
        </w:rPr>
        <w:t xml:space="preserve">القدرات المحكومة المفقودة</w:t>
      </w:r>
    </w:p>
    <w:p>
      <w:pPr>
        <w:bidi/>
        <w:spacing w:after="130" w:line="330"/>
        <w:jc w:val="right"/>
      </w:pPr>
      <w:r>
        <w:rPr>
          <w:b w:val="false"/>
          <w:bCs w:val="false"/>
          <w:i w:val="false"/>
          <w:iCs w:val="false"/>
          <w:sz w:val="24"/>
          <w:szCs w:val="24"/>
          <w:rtl/>
        </w:rPr>
        <w:t xml:space="preserve">لا يُعلَن نقصٌ إلا بعد استنفاد البحث في المسارات والتبويبات والأسطح التابعة والمنظورات والتقارير والمسارات المتقاعدة والإدارات المجاورة. وهذه ما ثبت غيابها بعد ذلك الاستنفاد — وتدخل مسار الاستكمال ولا تُخترع من فراغ:</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300"/>
        <w:gridCol w:w="3050"/>
        <w:gridCol w:w="2450"/>
        <w:gridCol w:w="2000"/>
      </w:tblGrid>
      <w:tr>
        <w:trPr>
          <w:cantSplit/>
          <w:tblHeader/>
        </w:trPr>
        <w:tc>
          <w:tcPr>
            <w:tcW w:type="dxa" w:w="23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القدرة</w:t>
            </w:r>
          </w:p>
        </w:tc>
        <w:tc>
          <w:tcPr>
            <w:tcW w:type="dxa" w:w="305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ما تفعله</w:t>
            </w:r>
          </w:p>
        </w:tc>
        <w:tc>
          <w:tcPr>
            <w:tcW w:type="dxa" w:w="245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دليل الغياب</w:t>
            </w:r>
          </w:p>
        </w:tc>
        <w:tc>
          <w:tcPr>
            <w:tcW w:type="dxa" w:w="20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المسار</w:t>
            </w:r>
          </w:p>
        </w:tc>
      </w:tr>
      <w:tr>
        <w:trPr>
          <w:cantSplit/>
        </w:trPr>
        <w:tc>
          <w:tcPr>
            <w:tcW w:type="dxa" w:w="2300"/>
            <w:tcMar>
              <w:top w:type="dxa" w:w="70"/>
              <w:left w:type="dxa" w:w="95"/>
              <w:bottom w:type="dxa" w:w="70"/>
              <w:right w:type="dxa" w:w="95"/>
            </w:tcMar>
            <w:vAlign w:val="center"/>
          </w:tcPr>
          <w:p>
            <w:pPr>
              <w:bidi/>
              <w:spacing w:after="20" w:line="280"/>
              <w:jc w:val="right"/>
            </w:pPr>
            <w:r>
              <w:rPr>
                <w:b/>
                <w:bCs/>
                <w:color w:val="A3151F"/>
                <w:sz w:val="20"/>
                <w:szCs w:val="20"/>
                <w:rtl/>
              </w:rPr>
              <w:t xml:space="preserve">احتياج العميل وطلب العرض</w:t>
            </w:r>
          </w:p>
        </w:tc>
        <w:tc>
          <w:tcPr>
            <w:tcW w:type="dxa" w:w="3050"/>
            <w:tcMar>
              <w:top w:type="dxa" w:w="70"/>
              <w:left w:type="dxa" w:w="95"/>
              <w:bottom w:type="dxa" w:w="70"/>
              <w:right w:type="dxa" w:w="95"/>
            </w:tcMar>
            <w:vAlign w:val="center"/>
          </w:tcPr>
          <w:p>
            <w:pPr>
              <w:bidi/>
              <w:spacing w:after="20" w:line="280"/>
              <w:jc w:val="right"/>
            </w:pPr>
            <w:r>
              <w:rPr>
                <w:b w:val="false"/>
                <w:bCs w:val="false"/>
                <w:sz w:val="19"/>
                <w:szCs w:val="19"/>
                <w:rtl/>
              </w:rPr>
              <w:t xml:space="preserve">سطح تسجيل احتياج العميل وطلب العرض قبل إصدار العرض</w:t>
            </w:r>
          </w:p>
        </w:tc>
        <w:tc>
          <w:tcPr>
            <w:tcW w:type="dxa" w:w="2450"/>
            <w:tcMar>
              <w:top w:type="dxa" w:w="70"/>
              <w:left w:type="dxa" w:w="95"/>
              <w:bottom w:type="dxa" w:w="70"/>
              <w:right w:type="dxa" w:w="95"/>
            </w:tcMar>
            <w:vAlign w:val="center"/>
          </w:tcPr>
          <w:p>
            <w:pPr>
              <w:bidi/>
              <w:spacing w:after="20" w:line="280"/>
              <w:jc w:val="right"/>
            </w:pPr>
            <w:r>
              <w:rPr>
                <w:b w:val="false"/>
                <w:bCs w:val="false"/>
                <w:sz w:val="19"/>
                <w:szCs w:val="19"/>
                <w:rtl/>
              </w:rPr>
              <w:t xml:space="preserve">لا مكافئ: طلبات العروض القائمة للموردين</w:t>
            </w:r>
          </w:p>
        </w:tc>
        <w:tc>
          <w:tcPr>
            <w:tcW w:type="dxa" w:w="2000"/>
            <w:tcMar>
              <w:top w:type="dxa" w:w="70"/>
              <w:left w:type="dxa" w:w="95"/>
              <w:bottom w:type="dxa" w:w="70"/>
              <w:right w:type="dxa" w:w="95"/>
            </w:tcMar>
            <w:vAlign w:val="center"/>
          </w:tcPr>
          <w:p>
            <w:pPr>
              <w:bidi w:val="false"/>
              <w:spacing w:after="20" w:line="280"/>
              <w:jc w:val="left"/>
            </w:pPr>
            <w:r>
              <w:rPr>
                <w:b w:val="false"/>
                <w:bCs w:val="false"/>
                <w:color w:val="2E4A63"/>
                <w:sz w:val="17"/>
                <w:szCs w:val="17"/>
                <w:rtl/>
              </w:rPr>
              <w:t xml:space="preserve">28 </w:t>
            </w:r>
            <w:r>
              <w:rPr>
                <w:b w:val="false"/>
                <w:bCs w:val="false"/>
                <w:color w:val="2E4A63"/>
                <w:sz w:val="17"/>
                <w:szCs w:val="17"/>
                <w:rtl w:val="false"/>
              </w:rPr>
              <w:t xml:space="preserve">cols</w:t>
            </w:r>
          </w:p>
        </w:tc>
      </w:tr>
      <w:tr>
        <w:trPr>
          <w:cantSplit/>
        </w:trPr>
        <w:tc>
          <w:tcPr>
            <w:tcW w:type="dxa" w:w="2300"/>
            <w:shd w:fill="F2F6FA" w:color="auto" w:val="clear"/>
            <w:tcMar>
              <w:top w:type="dxa" w:w="70"/>
              <w:left w:type="dxa" w:w="95"/>
              <w:bottom w:type="dxa" w:w="70"/>
              <w:right w:type="dxa" w:w="95"/>
            </w:tcMar>
            <w:vAlign w:val="center"/>
          </w:tcPr>
          <w:p>
            <w:pPr>
              <w:bidi/>
              <w:spacing w:after="20" w:line="280"/>
              <w:jc w:val="right"/>
            </w:pPr>
            <w:r>
              <w:rPr>
                <w:b/>
                <w:bCs/>
                <w:color w:val="A3151F"/>
                <w:sz w:val="20"/>
                <w:szCs w:val="20"/>
                <w:rtl/>
              </w:rPr>
              <w:t xml:space="preserve">بنود العروض</w:t>
            </w:r>
          </w:p>
        </w:tc>
        <w:tc>
          <w:tcPr>
            <w:tcW w:type="dxa" w:w="305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بنود العرض بالسعر والكمية والوحدة</w:t>
            </w:r>
          </w:p>
        </w:tc>
        <w:tc>
          <w:tcPr>
            <w:tcW w:type="dxa" w:w="245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لا سطح بنود للعرض في السجل</w:t>
            </w:r>
          </w:p>
        </w:tc>
        <w:tc>
          <w:tcPr>
            <w:tcW w:type="dxa" w:w="20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7"/>
                <w:szCs w:val="17"/>
                <w:rtl/>
              </w:rPr>
              <w:t xml:space="preserve">24 </w:t>
            </w:r>
            <w:r>
              <w:rPr>
                <w:b w:val="false"/>
                <w:bCs w:val="false"/>
                <w:color w:val="2E4A63"/>
                <w:sz w:val="17"/>
                <w:szCs w:val="17"/>
                <w:rtl w:val="false"/>
              </w:rPr>
              <w:t xml:space="preserve">cols</w:t>
            </w:r>
          </w:p>
        </w:tc>
      </w:tr>
      <w:tr>
        <w:trPr>
          <w:cantSplit/>
        </w:trPr>
        <w:tc>
          <w:tcPr>
            <w:tcW w:type="dxa" w:w="2300"/>
            <w:tcMar>
              <w:top w:type="dxa" w:w="70"/>
              <w:left w:type="dxa" w:w="95"/>
              <w:bottom w:type="dxa" w:w="70"/>
              <w:right w:type="dxa" w:w="95"/>
            </w:tcMar>
            <w:vAlign w:val="center"/>
          </w:tcPr>
          <w:p>
            <w:pPr>
              <w:bidi/>
              <w:spacing w:after="20" w:line="280"/>
              <w:jc w:val="right"/>
            </w:pPr>
            <w:r>
              <w:rPr>
                <w:b/>
                <w:bCs/>
                <w:color w:val="A3151F"/>
                <w:sz w:val="20"/>
                <w:szCs w:val="20"/>
                <w:rtl/>
              </w:rPr>
              <w:t xml:space="preserve">التفاوض ومراجعات العرض</w:t>
            </w:r>
          </w:p>
        </w:tc>
        <w:tc>
          <w:tcPr>
            <w:tcW w:type="dxa" w:w="3050"/>
            <w:tcMar>
              <w:top w:type="dxa" w:w="70"/>
              <w:left w:type="dxa" w:w="95"/>
              <w:bottom w:type="dxa" w:w="70"/>
              <w:right w:type="dxa" w:w="95"/>
            </w:tcMar>
            <w:vAlign w:val="center"/>
          </w:tcPr>
          <w:p>
            <w:pPr>
              <w:bidi/>
              <w:spacing w:after="20" w:line="280"/>
              <w:jc w:val="right"/>
            </w:pPr>
            <w:r>
              <w:rPr>
                <w:b w:val="false"/>
                <w:bCs w:val="false"/>
                <w:sz w:val="19"/>
                <w:szCs w:val="19"/>
                <w:rtl/>
              </w:rPr>
              <w:t xml:space="preserve">سجل نسخ العرض ووقائع التغيير</w:t>
            </w:r>
          </w:p>
        </w:tc>
        <w:tc>
          <w:tcPr>
            <w:tcW w:type="dxa" w:w="2450"/>
            <w:tcMar>
              <w:top w:type="dxa" w:w="70"/>
              <w:left w:type="dxa" w:w="95"/>
              <w:bottom w:type="dxa" w:w="70"/>
              <w:right w:type="dxa" w:w="95"/>
            </w:tcMar>
            <w:vAlign w:val="center"/>
          </w:tcPr>
          <w:p>
            <w:pPr>
              <w:bidi/>
              <w:spacing w:after="20" w:line="280"/>
              <w:jc w:val="right"/>
            </w:pPr>
            <w:r>
              <w:rPr>
                <w:b w:val="false"/>
                <w:bCs w:val="false"/>
                <w:sz w:val="19"/>
                <w:szCs w:val="19"/>
                <w:rtl/>
              </w:rPr>
              <w:t xml:space="preserve">لا سطح مكافئ</w:t>
            </w:r>
          </w:p>
        </w:tc>
        <w:tc>
          <w:tcPr>
            <w:tcW w:type="dxa" w:w="2000"/>
            <w:tcMar>
              <w:top w:type="dxa" w:w="70"/>
              <w:left w:type="dxa" w:w="95"/>
              <w:bottom w:type="dxa" w:w="70"/>
              <w:right w:type="dxa" w:w="95"/>
            </w:tcMar>
            <w:vAlign w:val="center"/>
          </w:tcPr>
          <w:p>
            <w:pPr>
              <w:bidi w:val="false"/>
              <w:spacing w:after="20" w:line="280"/>
              <w:jc w:val="left"/>
            </w:pPr>
            <w:r>
              <w:rPr>
                <w:b w:val="false"/>
                <w:bCs w:val="false"/>
                <w:color w:val="2E4A63"/>
                <w:sz w:val="17"/>
                <w:szCs w:val="17"/>
                <w:rtl/>
              </w:rPr>
              <w:t xml:space="preserve">20 </w:t>
            </w:r>
            <w:r>
              <w:rPr>
                <w:b w:val="false"/>
                <w:bCs w:val="false"/>
                <w:color w:val="2E4A63"/>
                <w:sz w:val="17"/>
                <w:szCs w:val="17"/>
                <w:rtl w:val="false"/>
              </w:rPr>
              <w:t xml:space="preserve">cols</w:t>
            </w:r>
          </w:p>
        </w:tc>
      </w:tr>
      <w:tr>
        <w:trPr>
          <w:cantSplit/>
        </w:trPr>
        <w:tc>
          <w:tcPr>
            <w:tcW w:type="dxa" w:w="2300"/>
            <w:shd w:fill="F2F6FA" w:color="auto" w:val="clear"/>
            <w:tcMar>
              <w:top w:type="dxa" w:w="70"/>
              <w:left w:type="dxa" w:w="95"/>
              <w:bottom w:type="dxa" w:w="70"/>
              <w:right w:type="dxa" w:w="95"/>
            </w:tcMar>
            <w:vAlign w:val="center"/>
          </w:tcPr>
          <w:p>
            <w:pPr>
              <w:bidi/>
              <w:spacing w:after="20" w:line="280"/>
              <w:jc w:val="right"/>
            </w:pPr>
            <w:r>
              <w:rPr>
                <w:b/>
                <w:bCs/>
                <w:color w:val="A3151F"/>
                <w:sz w:val="20"/>
                <w:szCs w:val="20"/>
                <w:rtl/>
              </w:rPr>
              <w:t xml:space="preserve">الوحدات التعاقدية المرقَّمة</w:t>
            </w:r>
          </w:p>
        </w:tc>
        <w:tc>
          <w:tcPr>
            <w:tcW w:type="dxa" w:w="305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سجل الوحدات المرقَّمة تحت الالتزام</w:t>
            </w:r>
          </w:p>
        </w:tc>
        <w:tc>
          <w:tcPr>
            <w:tcW w:type="dxa" w:w="245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معلَّقة: تحتاج إثبات عدم تكافؤ مع شاشة الإسناد القائمة قبل بنائها</w:t>
            </w:r>
          </w:p>
        </w:tc>
        <w:tc>
          <w:tcPr>
            <w:tcW w:type="dxa" w:w="20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units</w:t>
            </w:r>
            <w:r>
              <w:rPr>
                <w:b w:val="false"/>
                <w:bCs w:val="false"/>
                <w:color w:val="2E4A63"/>
                <w:sz w:val="17"/>
                <w:szCs w:val="17"/>
                <w:rtl/>
              </w:rPr>
              <w:t xml:space="preserve"> </w:t>
            </w:r>
            <w:r>
              <w:rPr>
                <w:b w:val="false"/>
                <w:bCs w:val="false"/>
                <w:color w:val="2E4A63"/>
                <w:sz w:val="17"/>
                <w:szCs w:val="17"/>
                <w:rtl w:val="false"/>
              </w:rPr>
              <w:t xml:space="preserve">vs</w:t>
            </w:r>
            <w:r>
              <w:rPr>
                <w:b w:val="false"/>
                <w:bCs w:val="false"/>
                <w:color w:val="2E4A63"/>
                <w:sz w:val="17"/>
                <w:szCs w:val="17"/>
                <w:rtl/>
              </w:rPr>
              <w:t xml:space="preserve"> </w:t>
            </w:r>
            <w:r>
              <w:rPr>
                <w:b w:val="false"/>
                <w:bCs w:val="false"/>
                <w:color w:val="2E4A63"/>
                <w:sz w:val="17"/>
                <w:szCs w:val="17"/>
                <w:rtl w:val="false"/>
              </w:rPr>
              <w:t xml:space="preserve">containers</w:t>
            </w:r>
          </w:p>
        </w:tc>
      </w:tr>
    </w:tbl>
    <w:p>
      <w:r>
        <w:br w:type="page"/>
      </w:r>
    </w:p>
    <w:p>
      <w:pPr>
        <w:pStyle w:val="Heading1"/>
        <w:keepNext/>
        <w:bidi/>
        <w:spacing w:after="180" w:before="360"/>
        <w:jc w:val="right"/>
      </w:pPr>
      <w:r>
        <w:rPr>
          <w:b/>
          <w:bCs/>
          <w:rtl/>
        </w:rPr>
        <w:t xml:space="preserve">تقليل الأقسام — التصميم المُدمج المُصادق معياريًّا</w:t>
      </w:r>
    </w:p>
    <w:p>
      <w:pPr>
        <w:bidi/>
        <w:spacing w:after="130" w:line="330"/>
        <w:jc w:val="right"/>
      </w:pPr>
      <w:r>
        <w:rPr>
          <w:b w:val="false"/>
          <w:bCs w:val="false"/>
          <w:i w:val="false"/>
          <w:iCs w:val="false"/>
          <w:sz w:val="24"/>
          <w:szCs w:val="24"/>
          <w:rtl/>
        </w:rPr>
        <w:t xml:space="preserve">السؤال: هل يجوز تقليل أقسام دورة العمل بدمج بعضها في بعض؟ الجواب: نعم، وهو المعيار لا الاستثناء — بشرطٍ واحد لا يُخالف: الدمج يقع في الواجهة، لا في الدورة ولا في السجل. فكل قسمٍ يبقى سجلًّا بمعرّفه وتاريخه وسلّم اعتماده وأثره التدقيقي؛ والذي يتغيّر موضعُ ظهوره فقط: من بندٍ في القائمة إلى تبويبٍ في ملف أبيه، أو منظورٍ محفوظ، أو زرِّ إنشاءٍ يرث السياق.</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3266"/>
        <w:gridCol w:w="3267"/>
        <w:gridCol w:w="3267"/>
      </w:tblGrid>
      <w:tr>
        <w:trPr>
          <w:cantSplit/>
        </w:trPr>
        <w:tc>
          <w:tcPr>
            <w:tcW w:type="dxa" w:w="3266"/>
            <w:shd w:fill="E3EBF3" w:color="auto" w:val="clear"/>
            <w:tcMar>
              <w:top w:type="dxa" w:w="70"/>
              <w:left w:type="dxa" w:w="95"/>
              <w:bottom w:type="dxa" w:w="70"/>
              <w:right w:type="dxa" w:w="95"/>
            </w:tcMar>
            <w:vAlign w:val="center"/>
          </w:tcPr>
          <w:p>
            <w:pPr>
              <w:bidi/>
              <w:spacing w:after="20" w:line="280"/>
              <w:jc w:val="center"/>
            </w:pPr>
            <w:r>
              <w:rPr>
                <w:b w:val="false"/>
                <w:bCs w:val="false"/>
                <w:color w:val="3F5265"/>
                <w:sz w:val="19"/>
                <w:szCs w:val="19"/>
                <w:rtl/>
              </w:rPr>
              <w:t xml:space="preserve">قبل الدمج</w:t>
            </w:r>
          </w:p>
          <w:p>
            <w:pPr>
              <w:bidi/>
              <w:spacing w:after="20" w:line="280"/>
              <w:jc w:val="center"/>
            </w:pPr>
            <w:r>
              <w:rPr>
                <w:b/>
                <w:bCs/>
                <w:color w:val="1F3B57"/>
                <w:sz w:val="22"/>
                <w:szCs w:val="22"/>
                <w:rtl/>
              </w:rPr>
              <w:t xml:space="preserve">11 مجموعة
27 بند تنقّل
25 قسمًا في المرجع</w:t>
            </w:r>
          </w:p>
        </w:tc>
        <w:tc>
          <w:tcPr>
            <w:tcW w:type="dxa" w:w="3267"/>
            <w:shd w:fill="E3EBF3" w:color="auto" w:val="clear"/>
            <w:tcMar>
              <w:top w:type="dxa" w:w="70"/>
              <w:left w:type="dxa" w:w="95"/>
              <w:bottom w:type="dxa" w:w="70"/>
              <w:right w:type="dxa" w:w="95"/>
            </w:tcMar>
            <w:vAlign w:val="center"/>
          </w:tcPr>
          <w:p>
            <w:pPr>
              <w:bidi/>
              <w:spacing w:after="20" w:line="280"/>
              <w:jc w:val="center"/>
            </w:pPr>
            <w:r>
              <w:rPr>
                <w:b w:val="false"/>
                <w:bCs w:val="false"/>
                <w:color w:val="3F5265"/>
                <w:sz w:val="19"/>
                <w:szCs w:val="19"/>
                <w:rtl/>
              </w:rPr>
              <w:t xml:space="preserve">بعد الدمج</w:t>
            </w:r>
          </w:p>
          <w:p>
            <w:pPr>
              <w:bidi/>
              <w:spacing w:after="20" w:line="280"/>
              <w:jc w:val="center"/>
            </w:pPr>
            <w:r>
              <w:rPr>
                <w:b/>
                <w:bCs/>
                <w:color w:val="1F6B3A"/>
                <w:sz w:val="22"/>
                <w:szCs w:val="22"/>
                <w:rtl/>
              </w:rPr>
              <w:t xml:space="preserve">6 مجموعات
13 بندًا رئيسيًّا
ولوحة الإدارة صفحةَ هبوطٍ للمساحة</w:t>
            </w:r>
          </w:p>
        </w:tc>
        <w:tc>
          <w:tcPr>
            <w:tcW w:type="dxa" w:w="3267"/>
            <w:shd w:fill="E3EBF3" w:color="auto" w:val="clear"/>
            <w:tcMar>
              <w:top w:type="dxa" w:w="70"/>
              <w:left w:type="dxa" w:w="95"/>
              <w:bottom w:type="dxa" w:w="70"/>
              <w:right w:type="dxa" w:w="95"/>
            </w:tcMar>
            <w:vAlign w:val="center"/>
          </w:tcPr>
          <w:p>
            <w:pPr>
              <w:bidi/>
              <w:spacing w:after="20" w:line="280"/>
              <w:jc w:val="center"/>
            </w:pPr>
            <w:r>
              <w:rPr>
                <w:b w:val="false"/>
                <w:bCs w:val="false"/>
                <w:color w:val="3F5265"/>
                <w:sz w:val="19"/>
                <w:szCs w:val="19"/>
                <w:rtl/>
              </w:rPr>
              <w:t xml:space="preserve">الدورة المستندية</w:t>
            </w:r>
          </w:p>
          <w:p>
            <w:pPr>
              <w:bidi/>
              <w:spacing w:after="20" w:line="280"/>
              <w:jc w:val="center"/>
            </w:pPr>
            <w:r>
              <w:rPr>
                <w:b/>
                <w:bCs/>
                <w:color w:val="1F3B57"/>
                <w:sz w:val="22"/>
                <w:szCs w:val="22"/>
                <w:rtl/>
              </w:rPr>
              <w:t xml:space="preserve">كما هي
بلا حذف خطوة</w:t>
            </w:r>
          </w:p>
        </w:tc>
      </w:tr>
    </w:tbl>
    <w:p>
      <w:pPr>
        <w:spacing w:after="140"/>
      </w:pPr>
    </w:p>
    <w:p>
      <w:pPr>
        <w:bidi/>
        <w:spacing w:after="130" w:line="330"/>
        <w:jc w:val="right"/>
      </w:pPr>
      <w:r>
        <w:rPr>
          <w:b w:val="false"/>
          <w:bCs w:val="false"/>
          <w:i w:val="false"/>
          <w:iCs w:val="false"/>
          <w:sz w:val="24"/>
          <w:szCs w:val="24"/>
          <w:rtl/>
        </w:rPr>
        <w:t xml:space="preserve">الدورة المستندية لم تُختصر خطوةً واحدة: الخمسة والعشرون قسمًا كلها باقية سجلاتٍ ومستنداتٍ بمعرّفاتها وسلالمها وتواريخها — والذي تغيّر هو موضع ظهورها: ما كان بندًا في القائمة صار تبويبًا في ملف أبيه أو منظورًا محفوظًا أو زرَّ إنشاءٍ يورث السياق.</w:t>
      </w:r>
    </w:p>
    <w:p>
      <w:pPr>
        <w:pStyle w:val="Heading2"/>
        <w:keepNext/>
        <w:bidi/>
        <w:spacing w:after="140" w:before="280"/>
        <w:jc w:val="right"/>
      </w:pPr>
      <w:r>
        <w:rPr>
          <w:b/>
          <w:bCs/>
          <w:rtl/>
        </w:rPr>
        <w:t xml:space="preserve">سند المعايير العالمية</w:t>
      </w:r>
    </w:p>
    <w:p>
      <w:pPr>
        <w:bidi/>
        <w:spacing w:after="130" w:line="330"/>
        <w:jc w:val="right"/>
      </w:pPr>
      <w:r>
        <w:rPr>
          <w:b w:val="false"/>
          <w:bCs w:val="false"/>
          <w:i w:val="false"/>
          <w:iCs w:val="false"/>
          <w:sz w:val="24"/>
          <w:szCs w:val="24"/>
          <w:rtl/>
        </w:rPr>
        <w:t xml:space="preserve">هذا الدمج ليس اجتهادًا محليًّا: هو النمط الذي تقوم عليه واجهات النظم المرجعية في تخطيط الموارد.</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600"/>
        <w:gridCol w:w="5000"/>
        <w:gridCol w:w="2200"/>
      </w:tblGrid>
      <w:tr>
        <w:trPr>
          <w:cantSplit/>
          <w:tblHeader/>
        </w:trPr>
        <w:tc>
          <w:tcPr>
            <w:tcW w:type="dxa" w:w="2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المعيار</w:t>
            </w:r>
          </w:p>
        </w:tc>
        <w:tc>
          <w:tcPr>
            <w:tcW w:type="dxa" w:w="50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مضمونه</w:t>
            </w:r>
          </w:p>
        </w:tc>
        <w:tc>
          <w:tcPr>
            <w:tcW w:type="dxa" w:w="2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مرجعه</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صفحة الكيان بتبويبات</w:t>
            </w:r>
          </w:p>
        </w:tc>
        <w:tc>
          <w:tcPr>
            <w:tcW w:type="dxa" w:w="5000"/>
            <w:tcMar>
              <w:top w:type="dxa" w:w="70"/>
              <w:left w:type="dxa" w:w="95"/>
              <w:bottom w:type="dxa" w:w="70"/>
              <w:right w:type="dxa" w:w="95"/>
            </w:tcMar>
            <w:vAlign w:val="center"/>
          </w:tcPr>
          <w:p>
            <w:pPr>
              <w:bidi/>
              <w:spacing w:after="20" w:line="280"/>
              <w:jc w:val="right"/>
            </w:pPr>
            <w:r>
              <w:rPr>
                <w:b w:val="false"/>
                <w:bCs w:val="false"/>
                <w:sz w:val="20"/>
                <w:szCs w:val="20"/>
                <w:rtl/>
              </w:rPr>
              <w:t xml:space="preserve">معيار واجهات المؤسسات يجعل للكيان الواحد صفحةً واحدة تُصنَّف محتوياتها في أقسام أو تبويبات يُتنقّل بينها داخل الصفحة — لا شاشةً لكل جدول تابع.</w:t>
            </w:r>
          </w:p>
        </w:tc>
        <w:tc>
          <w:tcPr>
            <w:tcW w:type="dxa" w:w="22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SAP</w:t>
            </w:r>
            <w:r>
              <w:rPr>
                <w:b w:val="false"/>
                <w:bCs w:val="false"/>
                <w:color w:val="2E4A63"/>
                <w:sz w:val="18"/>
                <w:szCs w:val="18"/>
                <w:rtl/>
              </w:rPr>
              <w:t xml:space="preserve"> </w:t>
            </w:r>
            <w:r>
              <w:rPr>
                <w:b w:val="false"/>
                <w:bCs w:val="false"/>
                <w:color w:val="2E4A63"/>
                <w:sz w:val="18"/>
                <w:szCs w:val="18"/>
                <w:rtl w:val="false"/>
              </w:rPr>
              <w:t xml:space="preserve">Fiori</w:t>
            </w:r>
            <w:r>
              <w:rPr>
                <w:b w:val="false"/>
                <w:bCs w:val="false"/>
                <w:color w:val="2E4A63"/>
                <w:sz w:val="18"/>
                <w:szCs w:val="18"/>
                <w:rtl/>
              </w:rPr>
              <w:t xml:space="preserve"> · </w:t>
            </w:r>
            <w:r>
              <w:rPr>
                <w:b w:val="false"/>
                <w:bCs w:val="false"/>
                <w:color w:val="2E4A63"/>
                <w:sz w:val="18"/>
                <w:szCs w:val="18"/>
                <w:rtl w:val="false"/>
              </w:rPr>
              <w:t xml:space="preserve">Object</w:t>
            </w:r>
            <w:r>
              <w:rPr>
                <w:b w:val="false"/>
                <w:bCs w:val="false"/>
                <w:color w:val="2E4A63"/>
                <w:sz w:val="18"/>
                <w:szCs w:val="18"/>
                <w:rtl/>
              </w:rPr>
              <w:t xml:space="preserve"> </w:t>
            </w:r>
            <w:r>
              <w:rPr>
                <w:b w:val="false"/>
                <w:bCs w:val="false"/>
                <w:color w:val="2E4A63"/>
                <w:sz w:val="18"/>
                <w:szCs w:val="18"/>
                <w:rtl w:val="false"/>
              </w:rPr>
              <w:t xml:space="preserve">Page</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الرئيس والتابع</w:t>
            </w:r>
          </w:p>
        </w:tc>
        <w:tc>
          <w:tcPr>
            <w:tcW w:type="dxa" w:w="50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النمط القياسي يعرض قائمة الكيانات في جانب وتفصيل الكيان المختار في الجانب الآخر — فالتابع لا يستحق بندًا في القائمة الرئيسية.</w:t>
            </w:r>
          </w:p>
        </w:tc>
        <w:tc>
          <w:tcPr>
            <w:tcW w:type="dxa" w:w="22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Master</w:t>
            </w:r>
            <w:r>
              <w:rPr>
                <w:b w:val="false"/>
                <w:bCs w:val="false"/>
                <w:color w:val="2E4A63"/>
                <w:sz w:val="18"/>
                <w:szCs w:val="18"/>
                <w:rtl/>
              </w:rPr>
              <w:t xml:space="preserve">–</w:t>
            </w:r>
            <w:r>
              <w:rPr>
                <w:b w:val="false"/>
                <w:bCs w:val="false"/>
                <w:color w:val="2E4A63"/>
                <w:sz w:val="18"/>
                <w:szCs w:val="18"/>
                <w:rtl w:val="false"/>
              </w:rPr>
              <w:t xml:space="preserve">Detail</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المستند ثلاثي المستويات</w:t>
            </w:r>
          </w:p>
        </w:tc>
        <w:tc>
          <w:tcPr>
            <w:tcW w:type="dxa" w:w="5000"/>
            <w:tcMar>
              <w:top w:type="dxa" w:w="70"/>
              <w:left w:type="dxa" w:w="95"/>
              <w:bottom w:type="dxa" w:w="70"/>
              <w:right w:type="dxa" w:w="95"/>
            </w:tcMar>
            <w:vAlign w:val="center"/>
          </w:tcPr>
          <w:p>
            <w:pPr>
              <w:bidi/>
              <w:spacing w:after="20" w:line="280"/>
              <w:jc w:val="right"/>
            </w:pPr>
            <w:r>
              <w:rPr>
                <w:b w:val="false"/>
                <w:bCs w:val="false"/>
                <w:sz w:val="20"/>
                <w:szCs w:val="20"/>
                <w:rtl/>
              </w:rPr>
              <w:t xml:space="preserve">مستند البيع في النظم المرجعية مستوى رأسٍ ومستوى بنودٍ ومستوى جدولةٍ في معاملة واحدة — والبنود ليست شاشة مستقلة.</w:t>
            </w:r>
          </w:p>
        </w:tc>
        <w:tc>
          <w:tcPr>
            <w:tcW w:type="dxa" w:w="22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header</w:t>
            </w:r>
            <w:r>
              <w:rPr>
                <w:b w:val="false"/>
                <w:bCs w:val="false"/>
                <w:color w:val="2E4A63"/>
                <w:sz w:val="18"/>
                <w:szCs w:val="18"/>
                <w:rtl/>
              </w:rPr>
              <w:t xml:space="preserve"> · </w:t>
            </w:r>
            <w:r>
              <w:rPr>
                <w:b w:val="false"/>
                <w:bCs w:val="false"/>
                <w:color w:val="2E4A63"/>
                <w:sz w:val="18"/>
                <w:szCs w:val="18"/>
                <w:rtl w:val="false"/>
              </w:rPr>
              <w:t xml:space="preserve">item</w:t>
            </w:r>
            <w:r>
              <w:rPr>
                <w:b w:val="false"/>
                <w:bCs w:val="false"/>
                <w:color w:val="2E4A63"/>
                <w:sz w:val="18"/>
                <w:szCs w:val="18"/>
                <w:rtl/>
              </w:rPr>
              <w:t xml:space="preserve"> · </w:t>
            </w:r>
            <w:r>
              <w:rPr>
                <w:b w:val="false"/>
                <w:bCs w:val="false"/>
                <w:color w:val="2E4A63"/>
                <w:sz w:val="18"/>
                <w:szCs w:val="18"/>
                <w:rtl w:val="false"/>
              </w:rPr>
              <w:t xml:space="preserve">schedule</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تدفق المستندات</w:t>
            </w:r>
          </w:p>
        </w:tc>
        <w:tc>
          <w:tcPr>
            <w:tcW w:type="dxa" w:w="50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المستندات تبقى منفصلة ككيانات مترابطة يُقرأ منها تاريخ المعاملة كاملًا — فالدمج يكون في الواجهة لا في السجل.</w:t>
            </w:r>
          </w:p>
        </w:tc>
        <w:tc>
          <w:tcPr>
            <w:tcW w:type="dxa" w:w="22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document</w:t>
            </w:r>
            <w:r>
              <w:rPr>
                <w:b w:val="false"/>
                <w:bCs w:val="false"/>
                <w:color w:val="2E4A63"/>
                <w:sz w:val="18"/>
                <w:szCs w:val="18"/>
                <w:rtl/>
              </w:rPr>
              <w:t xml:space="preserve"> </w:t>
            </w:r>
            <w:r>
              <w:rPr>
                <w:b w:val="false"/>
                <w:bCs w:val="false"/>
                <w:color w:val="2E4A63"/>
                <w:sz w:val="18"/>
                <w:szCs w:val="18"/>
                <w:rtl w:val="false"/>
              </w:rPr>
              <w:t xml:space="preserve">flow</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الإنشاء بالإسناد المرجعي</w:t>
            </w:r>
          </w:p>
        </w:tc>
        <w:tc>
          <w:tcPr>
            <w:tcW w:type="dxa" w:w="5000"/>
            <w:tcMar>
              <w:top w:type="dxa" w:w="70"/>
              <w:left w:type="dxa" w:w="95"/>
              <w:bottom w:type="dxa" w:w="70"/>
              <w:right w:type="dxa" w:w="95"/>
            </w:tcMar>
            <w:vAlign w:val="center"/>
          </w:tcPr>
          <w:p>
            <w:pPr>
              <w:bidi/>
              <w:spacing w:after="20" w:line="280"/>
              <w:jc w:val="right"/>
            </w:pPr>
            <w:r>
              <w:rPr>
                <w:b w:val="false"/>
                <w:bCs w:val="false"/>
                <w:sz w:val="20"/>
                <w:szCs w:val="20"/>
                <w:rtl/>
              </w:rPr>
              <w:t xml:space="preserve">المستند التالي يُنشأ بالإشارة إلى سابقه فترث حقوله تلقائيًّا — وهو مصدر التعبئة الآلية لا النسخ اليدوي.</w:t>
            </w:r>
          </w:p>
        </w:tc>
        <w:tc>
          <w:tcPr>
            <w:tcW w:type="dxa" w:w="22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create</w:t>
            </w:r>
            <w:r>
              <w:rPr>
                <w:b w:val="false"/>
                <w:bCs w:val="false"/>
                <w:color w:val="2E4A63"/>
                <w:sz w:val="18"/>
                <w:szCs w:val="18"/>
                <w:rtl/>
              </w:rPr>
              <w:t xml:space="preserve"> </w:t>
            </w:r>
            <w:r>
              <w:rPr>
                <w:b w:val="false"/>
                <w:bCs w:val="false"/>
                <w:color w:val="2E4A63"/>
                <w:sz w:val="18"/>
                <w:szCs w:val="18"/>
                <w:rtl w:val="false"/>
              </w:rPr>
              <w:t xml:space="preserve">with</w:t>
            </w:r>
            <w:r>
              <w:rPr>
                <w:b w:val="false"/>
                <w:bCs w:val="false"/>
                <w:color w:val="2E4A63"/>
                <w:sz w:val="18"/>
                <w:szCs w:val="18"/>
                <w:rtl/>
              </w:rPr>
              <w:t xml:space="preserve"> </w:t>
            </w:r>
            <w:r>
              <w:rPr>
                <w:b w:val="false"/>
                <w:bCs w:val="false"/>
                <w:color w:val="2E4A63"/>
                <w:sz w:val="18"/>
                <w:szCs w:val="18"/>
                <w:rtl w:val="false"/>
              </w:rPr>
              <w:t xml:space="preserve">reference</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المطابقة الثلاثية</w:t>
            </w:r>
          </w:p>
        </w:tc>
        <w:tc>
          <w:tcPr>
            <w:tcW w:type="dxa" w:w="50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قبل الدفع تُطابق ثلاثة مستندات: الالتزام، وإثبات التنفيذ أو الاستلام، والمطالبة — ولا يجوز دمجها في سطح واحد.</w:t>
            </w:r>
          </w:p>
        </w:tc>
        <w:tc>
          <w:tcPr>
            <w:tcW w:type="dxa" w:w="22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three-way</w:t>
            </w:r>
            <w:r>
              <w:rPr>
                <w:b w:val="false"/>
                <w:bCs w:val="false"/>
                <w:color w:val="2E4A63"/>
                <w:sz w:val="18"/>
                <w:szCs w:val="18"/>
                <w:rtl/>
              </w:rPr>
              <w:t xml:space="preserve"> </w:t>
            </w:r>
            <w:r>
              <w:rPr>
                <w:b w:val="false"/>
                <w:bCs w:val="false"/>
                <w:color w:val="2E4A63"/>
                <w:sz w:val="18"/>
                <w:szCs w:val="18"/>
                <w:rtl w:val="false"/>
              </w:rPr>
              <w:t xml:space="preserve">match</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فصل مسؤولية الخدمة</w:t>
            </w:r>
          </w:p>
        </w:tc>
        <w:tc>
          <w:tcPr>
            <w:tcW w:type="dxa" w:w="5000"/>
            <w:tcMar>
              <w:top w:type="dxa" w:w="70"/>
              <w:left w:type="dxa" w:w="95"/>
              <w:bottom w:type="dxa" w:w="70"/>
              <w:right w:type="dxa" w:w="95"/>
            </w:tcMar>
            <w:vAlign w:val="center"/>
          </w:tcPr>
          <w:p>
            <w:pPr>
              <w:bidi/>
              <w:spacing w:after="20" w:line="280"/>
              <w:jc w:val="right"/>
            </w:pPr>
            <w:r>
              <w:rPr>
                <w:b w:val="false"/>
                <w:bCs w:val="false"/>
                <w:sz w:val="20"/>
                <w:szCs w:val="20"/>
                <w:rtl/>
              </w:rPr>
              <w:t xml:space="preserve">في الخدمات يقوم مستند إثبات التنفيذ مقام إيصال الاستلام — وهو ما يقابل اعتماد الوحدات عندنا.</w:t>
            </w:r>
          </w:p>
        </w:tc>
        <w:tc>
          <w:tcPr>
            <w:tcW w:type="dxa" w:w="22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service</w:t>
            </w:r>
            <w:r>
              <w:rPr>
                <w:b w:val="false"/>
                <w:bCs w:val="false"/>
                <w:color w:val="2E4A63"/>
                <w:sz w:val="18"/>
                <w:szCs w:val="18"/>
                <w:rtl/>
              </w:rPr>
              <w:t xml:space="preserve"> </w:t>
            </w:r>
            <w:r>
              <w:rPr>
                <w:b w:val="false"/>
                <w:bCs w:val="false"/>
                <w:color w:val="2E4A63"/>
                <w:sz w:val="18"/>
                <w:szCs w:val="18"/>
                <w:rtl w:val="false"/>
              </w:rPr>
              <w:t xml:space="preserve">entry</w:t>
            </w:r>
            <w:r>
              <w:rPr>
                <w:b w:val="false"/>
                <w:bCs w:val="false"/>
                <w:color w:val="2E4A63"/>
                <w:sz w:val="18"/>
                <w:szCs w:val="18"/>
                <w:rtl/>
              </w:rPr>
              <w:t xml:space="preserve"> </w:t>
            </w:r>
            <w:r>
              <w:rPr>
                <w:b w:val="false"/>
                <w:bCs w:val="false"/>
                <w:color w:val="2E4A63"/>
                <w:sz w:val="18"/>
                <w:szCs w:val="18"/>
                <w:rtl w:val="false"/>
              </w:rPr>
              <w:t xml:space="preserve">sheet</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المساحات والأقسام</w:t>
            </w:r>
          </w:p>
        </w:tc>
        <w:tc>
          <w:tcPr>
            <w:tcW w:type="dxa" w:w="50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القائمة تُنظَّم مساحاتٍ وصفحاتٍ وأقسامًا بحسب الدور — والقسم عنوانٌ يجمع، لا شاشة إضافية.</w:t>
            </w:r>
          </w:p>
        </w:tc>
        <w:tc>
          <w:tcPr>
            <w:tcW w:type="dxa" w:w="22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spaces</w:t>
            </w:r>
            <w:r>
              <w:rPr>
                <w:b w:val="false"/>
                <w:bCs w:val="false"/>
                <w:color w:val="2E4A63"/>
                <w:sz w:val="18"/>
                <w:szCs w:val="18"/>
                <w:rtl/>
              </w:rPr>
              <w:t xml:space="preserve"> · </w:t>
            </w:r>
            <w:r>
              <w:rPr>
                <w:b w:val="false"/>
                <w:bCs w:val="false"/>
                <w:color w:val="2E4A63"/>
                <w:sz w:val="18"/>
                <w:szCs w:val="18"/>
                <w:rtl w:val="false"/>
              </w:rPr>
              <w:t xml:space="preserve">pages</w:t>
            </w:r>
            <w:r>
              <w:rPr>
                <w:b w:val="false"/>
                <w:bCs w:val="false"/>
                <w:color w:val="2E4A63"/>
                <w:sz w:val="18"/>
                <w:szCs w:val="18"/>
                <w:rtl/>
              </w:rPr>
              <w:t xml:space="preserve"> · </w:t>
            </w:r>
            <w:r>
              <w:rPr>
                <w:b w:val="false"/>
                <w:bCs w:val="false"/>
                <w:color w:val="2E4A63"/>
                <w:sz w:val="18"/>
                <w:szCs w:val="18"/>
                <w:rtl w:val="false"/>
              </w:rPr>
              <w:t xml:space="preserve">sections</w:t>
            </w:r>
          </w:p>
        </w:tc>
      </w:tr>
    </w:tbl>
    <w:p>
      <w:pPr>
        <w:pStyle w:val="Heading2"/>
        <w:keepNext/>
        <w:bidi/>
        <w:spacing w:after="140" w:before="280"/>
        <w:jc w:val="right"/>
      </w:pPr>
      <w:r>
        <w:rPr>
          <w:b/>
          <w:bCs/>
          <w:rtl/>
        </w:rPr>
        <w:t xml:space="preserve">التنقّل بعد الدمج</w:t>
      </w:r>
    </w:p>
    <w:p>
      <w:pPr>
        <w:bidi/>
        <w:spacing w:after="130" w:line="330"/>
        <w:jc w:val="right"/>
      </w:pPr>
      <w:r>
        <w:rPr>
          <w:b w:val="false"/>
          <w:bCs w:val="false"/>
          <w:i w:val="false"/>
          <w:iCs w:val="false"/>
          <w:sz w:val="24"/>
          <w:szCs w:val="24"/>
          <w:rtl/>
        </w:rPr>
        <w:t xml:space="preserve">ست مجموعات لا غير، وتحتها الكيانات الرئيسية وحدها. وما دونها تبويبات داخل الكيان الأب:</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500"/>
        <w:gridCol w:w="7300"/>
      </w:tblGrid>
      <w:tr>
        <w:trPr>
          <w:cantSplit/>
          <w:tblHeader/>
        </w:trPr>
        <w:tc>
          <w:tcPr>
            <w:tcW w:type="dxa" w:w="25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المجموعة</w:t>
            </w:r>
          </w:p>
        </w:tc>
        <w:tc>
          <w:tcPr>
            <w:tcW w:type="dxa" w:w="73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بنودها وتبويباتها</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المهام والاعتمادات</w:t>
            </w:r>
          </w:p>
        </w:tc>
        <w:tc>
          <w:tcPr>
            <w:tcW w:type="dxa" w:w="7300"/>
            <w:tcMar>
              <w:top w:type="dxa" w:w="70"/>
              <w:left w:type="dxa" w:w="95"/>
              <w:bottom w:type="dxa" w:w="70"/>
              <w:right w:type="dxa" w:w="95"/>
            </w:tcMar>
            <w:vAlign w:val="center"/>
          </w:tcPr>
          <w:p>
            <w:pPr>
              <w:bidi/>
              <w:spacing w:after="20" w:line="280"/>
              <w:jc w:val="right"/>
            </w:pPr>
            <w:r>
              <w:rPr>
                <w:b/>
                <w:bCs/>
                <w:sz w:val="21"/>
                <w:szCs w:val="21"/>
                <w:rtl/>
              </w:rPr>
              <w:t xml:space="preserve">البنود: الاعتمادات الواردة · المهام الواردة · البلاغات والمهل</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إدارة العملاء والفرص</w:t>
            </w:r>
          </w:p>
        </w:tc>
        <w:tc>
          <w:tcPr>
            <w:tcW w:type="dxa" w:w="73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البنود: سجل العملاء · سجل المشاريع · سجل الفرص البيعية</w:t>
            </w:r>
          </w:p>
          <w:p>
            <w:pPr>
              <w:bidi/>
              <w:spacing w:after="20" w:line="280"/>
              <w:jc w:val="right"/>
            </w:pPr>
            <w:r>
              <w:rPr>
                <w:b w:val="false"/>
                <w:bCs w:val="false"/>
                <w:color w:val="3F5265"/>
                <w:sz w:val="19"/>
                <w:szCs w:val="19"/>
                <w:rtl/>
              </w:rPr>
              <w:t xml:space="preserve">تبويبات — ملف العميل: البيانات الأساسية · جهات الاتصال · المشاريع · العقود · المركز المالي (إسقاط مقيَّد)</w:t>
            </w:r>
          </w:p>
          <w:p>
            <w:pPr>
              <w:bidi/>
              <w:spacing w:after="20" w:line="280"/>
              <w:jc w:val="right"/>
            </w:pPr>
            <w:r>
              <w:rPr>
                <w:b w:val="false"/>
                <w:bCs w:val="false"/>
                <w:color w:val="3F5265"/>
                <w:sz w:val="19"/>
                <w:szCs w:val="19"/>
                <w:rtl/>
              </w:rPr>
              <w:t xml:space="preserve">تبويبات — الفرصة: بيانات الفرصة · الأنشطة والمتابعات · احتياج العميل وطلب العرض · العروض المرتبطة</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العروض والتعاقد</w:t>
            </w:r>
          </w:p>
        </w:tc>
        <w:tc>
          <w:tcPr>
            <w:tcW w:type="dxa" w:w="7300"/>
            <w:tcMar>
              <w:top w:type="dxa" w:w="70"/>
              <w:left w:type="dxa" w:w="95"/>
              <w:bottom w:type="dxa" w:w="70"/>
              <w:right w:type="dxa" w:w="95"/>
            </w:tcMar>
            <w:vAlign w:val="center"/>
          </w:tcPr>
          <w:p>
            <w:pPr>
              <w:bidi/>
              <w:spacing w:after="20" w:line="280"/>
              <w:jc w:val="right"/>
            </w:pPr>
            <w:r>
              <w:rPr>
                <w:b/>
                <w:bCs/>
                <w:sz w:val="21"/>
                <w:szCs w:val="21"/>
                <w:rtl/>
              </w:rPr>
              <w:t xml:space="preserve">البنود: سجل العروض · سجل عقود المشاريع</w:t>
            </w:r>
          </w:p>
          <w:p>
            <w:pPr>
              <w:bidi/>
              <w:spacing w:after="20" w:line="280"/>
              <w:jc w:val="right"/>
            </w:pPr>
            <w:r>
              <w:rPr>
                <w:b w:val="false"/>
                <w:bCs w:val="false"/>
                <w:color w:val="3F5265"/>
                <w:sz w:val="19"/>
                <w:szCs w:val="19"/>
                <w:rtl/>
              </w:rPr>
              <w:t xml:space="preserve">تبويبات — العرض: بيانات العرض · بنود العرض · سجل التفاوض والتعديلات · مراجعة ما قبل التعاقد</w:t>
            </w:r>
          </w:p>
          <w:p>
            <w:pPr>
              <w:bidi/>
              <w:spacing w:after="20" w:line="280"/>
              <w:jc w:val="right"/>
            </w:pPr>
            <w:r>
              <w:rPr>
                <w:b w:val="false"/>
                <w:bCs w:val="false"/>
                <w:color w:val="3F5265"/>
                <w:sz w:val="19"/>
                <w:szCs w:val="19"/>
                <w:rtl/>
              </w:rPr>
              <w:t xml:space="preserve">تبويبات — العقد: أحكام العقد · بنود العقد · مصفوفة الالتزامات · خط الأساس والمستهدفات · التغطية التعاقدية · الضمانات · جدول الدفعات التعاقدي · نطاقات التنفيذ · خطة الموارد · الملحقات والتجديد</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الأداء والمطالبات التجارية</w:t>
            </w:r>
          </w:p>
        </w:tc>
        <w:tc>
          <w:tcPr>
            <w:tcW w:type="dxa" w:w="73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البنود: سجل المطالبات والتسليم للمالية</w:t>
            </w:r>
          </w:p>
          <w:p>
            <w:pPr>
              <w:bidi/>
              <w:spacing w:after="20" w:line="280"/>
              <w:jc w:val="right"/>
            </w:pPr>
            <w:r>
              <w:rPr>
                <w:b w:val="false"/>
                <w:bCs w:val="false"/>
                <w:color w:val="3F5265"/>
                <w:sz w:val="19"/>
                <w:szCs w:val="19"/>
                <w:rtl/>
              </w:rPr>
              <w:t xml:space="preserve">تبويبات — المطالبة: الأداء الشهري المعتمد · بنود المطالبة · الأعمال غير المفوترة · حالة الفاتورة والتحصيل (إسقاط)</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البيانات المرجعية والتقارير</w:t>
            </w:r>
          </w:p>
        </w:tc>
        <w:tc>
          <w:tcPr>
            <w:tcW w:type="dxa" w:w="7300"/>
            <w:tcMar>
              <w:top w:type="dxa" w:w="70"/>
              <w:left w:type="dxa" w:w="95"/>
              <w:bottom w:type="dxa" w:w="70"/>
              <w:right w:type="dxa" w:w="95"/>
            </w:tcMar>
            <w:vAlign w:val="center"/>
          </w:tcPr>
          <w:p>
            <w:pPr>
              <w:bidi/>
              <w:spacing w:after="20" w:line="280"/>
              <w:jc w:val="right"/>
            </w:pPr>
            <w:r>
              <w:rPr>
                <w:b/>
                <w:bCs/>
                <w:sz w:val="21"/>
                <w:szCs w:val="21"/>
                <w:rtl/>
              </w:rPr>
              <w:t xml:space="preserve">البنود: البيانات المرجعية · التقارير والتحليلات</w:t>
            </w:r>
          </w:p>
          <w:p>
            <w:pPr>
              <w:bidi/>
              <w:spacing w:after="20" w:line="280"/>
              <w:jc w:val="right"/>
            </w:pPr>
            <w:r>
              <w:rPr>
                <w:b w:val="false"/>
                <w:bCs w:val="false"/>
                <w:color w:val="3F5265"/>
                <w:sz w:val="19"/>
                <w:szCs w:val="19"/>
                <w:rtl/>
              </w:rPr>
              <w:t xml:space="preserve">تبويبات — المرجعية: كتالوج الخدمات · قوائم التسعير · دفتر الأسعار · وحدات القياس · نماذج العمل</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الحوكمة والضوابط</w:t>
            </w:r>
          </w:p>
        </w:tc>
        <w:tc>
          <w:tcPr>
            <w:tcW w:type="dxa" w:w="73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البنود: حوكمة المبيعات والعقود · مخاطر المبيعات والعقود</w:t>
            </w:r>
          </w:p>
        </w:tc>
      </w:tr>
    </w:tbl>
    <w:p>
      <w:pPr>
        <w:pStyle w:val="Heading2"/>
        <w:keepNext/>
        <w:bidi/>
        <w:spacing w:after="140" w:before="280"/>
        <w:jc w:val="right"/>
      </w:pPr>
      <w:r>
        <w:rPr>
          <w:b/>
          <w:bCs/>
          <w:rtl/>
        </w:rPr>
        <w:t xml:space="preserve">طبقة المهام والاعتمادات — مكوّنٌ مركزيٌّ مشترك</w:t>
      </w:r>
    </w:p>
    <w:p>
      <w:pPr>
        <w:bidi/>
        <w:spacing w:after="130" w:line="330"/>
        <w:jc w:val="right"/>
      </w:pPr>
      <w:r>
        <w:rPr>
          <w:b w:val="false"/>
          <w:bCs w:val="false"/>
          <w:i w:val="false"/>
          <w:iCs w:val="false"/>
          <w:sz w:val="24"/>
          <w:szCs w:val="24"/>
          <w:rtl/>
        </w:rPr>
        <w:t xml:space="preserve">مجموعةُ «المهام والاعتمادات» ليست كيانًا تملكه هذه الإدارة، بل طبقةُ عملٍ شخصيةٍ مركزيةٌ واحدةٌ على مستوى المنصة كلها. مكوّنُها واحدٌ يُرشَّح محتواه بالمستخدم والمساحة النشطة والدور والتكليف — ولا تُبنى نسخةٌ مستقلةٌ منه داخل كل إدارة. ولوحةُ الإدارة خارجَها: صفحةُ هبوطٍ لمساحة الإدارة لا بندًا في مجموعة.</w:t>
      </w:r>
    </w:p>
    <w:p>
      <w:pPr>
        <w:pStyle w:val="Heading2"/>
        <w:keepNext/>
        <w:bidi/>
        <w:spacing w:after="140" w:before="280"/>
        <w:jc w:val="right"/>
      </w:pPr>
      <w:r>
        <w:rPr>
          <w:b/>
          <w:bCs/>
          <w:rtl/>
        </w:rPr>
        <w:t xml:space="preserve">لغة التسمية المؤسسية — حكمٌ نهائيٌّ مقفل</w:t>
      </w:r>
    </w:p>
    <w:p>
      <w:pPr>
        <w:bidi/>
        <w:spacing w:after="130" w:line="330"/>
        <w:jc w:val="right"/>
      </w:pPr>
      <w:r>
        <w:rPr>
          <w:b/>
          <w:bCs/>
          <w:i w:val="false"/>
          <w:iCs w:val="false"/>
          <w:sz w:val="24"/>
          <w:szCs w:val="24"/>
          <w:rtl/>
        </w:rPr>
        <w:t xml:space="preserve">لغة إنجاز الرسمية لغةٌ مؤسسيةٌ إداريةٌ ثابتة. الأسماء أسماءُ سجلاتٍ وعملياتٍ ومستندات، والأفعالُ للأزرار والإجراءات وحدها. ولا لغةَ محادثيةٍ ولا سرديةٍ في التنقّل ولا في أسماء المجموعات ولا المراحل ولا الشاشات ولا محطات الاختبار. وقاعدة أفعال جمع المتكلم مُلغاةٌ نهائيًّا من التنقّل، ولا يبقى فيها قرارٌ معلَّق.</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300"/>
        <w:gridCol w:w="3600"/>
        <w:gridCol w:w="3900"/>
      </w:tblGrid>
      <w:tr>
        <w:trPr>
          <w:cantSplit/>
          <w:tblHeader/>
        </w:trPr>
        <w:tc>
          <w:tcPr>
            <w:tcW w:type="dxa" w:w="23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المستوى</w:t>
            </w:r>
          </w:p>
        </w:tc>
        <w:tc>
          <w:tcPr>
            <w:tcW w:type="dxa" w:w="3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قاعدة التسمية</w:t>
            </w:r>
          </w:p>
        </w:tc>
        <w:tc>
          <w:tcPr>
            <w:tcW w:type="dxa" w:w="3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أمثلة معتمدة</w:t>
            </w:r>
          </w:p>
        </w:tc>
      </w:tr>
      <w:tr>
        <w:trPr>
          <w:cantSplit/>
        </w:trPr>
        <w:tc>
          <w:tcPr>
            <w:tcW w:type="dxa" w:w="2300"/>
            <w:tcMar>
              <w:top w:type="dxa" w:w="70"/>
              <w:left w:type="dxa" w:w="95"/>
              <w:bottom w:type="dxa" w:w="70"/>
              <w:right w:type="dxa" w:w="95"/>
            </w:tcMar>
            <w:vAlign w:val="center"/>
          </w:tcPr>
          <w:p>
            <w:pPr>
              <w:bidi/>
              <w:spacing w:after="20" w:line="280"/>
              <w:jc w:val="right"/>
            </w:pPr>
            <w:r>
              <w:rPr>
                <w:b/>
                <w:bCs/>
                <w:sz w:val="21"/>
                <w:szCs w:val="21"/>
                <w:rtl/>
              </w:rPr>
              <w:t xml:space="preserve">المجموعة</w:t>
            </w:r>
          </w:p>
        </w:tc>
        <w:tc>
          <w:tcPr>
            <w:tcW w:type="dxa" w:w="3600"/>
            <w:tcMar>
              <w:top w:type="dxa" w:w="70"/>
              <w:left w:type="dxa" w:w="95"/>
              <w:bottom w:type="dxa" w:w="70"/>
              <w:right w:type="dxa" w:w="95"/>
            </w:tcMar>
            <w:vAlign w:val="center"/>
          </w:tcPr>
          <w:p>
            <w:pPr>
              <w:bidi/>
              <w:spacing w:after="20" w:line="280"/>
              <w:jc w:val="right"/>
            </w:pPr>
            <w:r>
              <w:rPr>
                <w:b w:val="false"/>
                <w:bCs w:val="false"/>
                <w:sz w:val="20"/>
                <w:szCs w:val="20"/>
                <w:rtl/>
              </w:rPr>
              <w:t xml:space="preserve">اسمٌ مؤسسيٌّ اسميٌّ مستقر يصف نطاق العمل</w:t>
            </w:r>
          </w:p>
        </w:tc>
        <w:tc>
          <w:tcPr>
            <w:tcW w:type="dxa" w:w="39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إدارة العملاء والفرص · العروض والتعاقد · الاستحقاقات والتسويات</w:t>
            </w:r>
          </w:p>
        </w:tc>
      </w:tr>
      <w:tr>
        <w:trPr>
          <w:cantSplit/>
        </w:trPr>
        <w:tc>
          <w:tcPr>
            <w:tcW w:type="dxa" w:w="23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الشاشة أو السجل</w:t>
            </w:r>
          </w:p>
        </w:tc>
        <w:tc>
          <w:tcPr>
            <w:tcW w:type="dxa" w:w="36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اسم الكيان أو المستند الرسمي</w:t>
            </w:r>
          </w:p>
        </w:tc>
        <w:tc>
          <w:tcPr>
            <w:tcW w:type="dxa" w:w="39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سجل العملاء · سجل عقود المشاريع · سجل الموردين</w:t>
            </w:r>
          </w:p>
        </w:tc>
      </w:tr>
      <w:tr>
        <w:trPr>
          <w:cantSplit/>
        </w:trPr>
        <w:tc>
          <w:tcPr>
            <w:tcW w:type="dxa" w:w="2300"/>
            <w:tcMar>
              <w:top w:type="dxa" w:w="70"/>
              <w:left w:type="dxa" w:w="95"/>
              <w:bottom w:type="dxa" w:w="70"/>
              <w:right w:type="dxa" w:w="95"/>
            </w:tcMar>
            <w:vAlign w:val="center"/>
          </w:tcPr>
          <w:p>
            <w:pPr>
              <w:bidi/>
              <w:spacing w:after="20" w:line="280"/>
              <w:jc w:val="right"/>
            </w:pPr>
            <w:r>
              <w:rPr>
                <w:b/>
                <w:bCs/>
                <w:sz w:val="21"/>
                <w:szCs w:val="21"/>
                <w:rtl/>
              </w:rPr>
              <w:t xml:space="preserve">التبويب</w:t>
            </w:r>
          </w:p>
        </w:tc>
        <w:tc>
          <w:tcPr>
            <w:tcW w:type="dxa" w:w="3600"/>
            <w:tcMar>
              <w:top w:type="dxa" w:w="70"/>
              <w:left w:type="dxa" w:w="95"/>
              <w:bottom w:type="dxa" w:w="70"/>
              <w:right w:type="dxa" w:w="95"/>
            </w:tcMar>
            <w:vAlign w:val="center"/>
          </w:tcPr>
          <w:p>
            <w:pPr>
              <w:bidi/>
              <w:spacing w:after="20" w:line="280"/>
              <w:jc w:val="right"/>
            </w:pPr>
            <w:r>
              <w:rPr>
                <w:b w:val="false"/>
                <w:bCs w:val="false"/>
                <w:sz w:val="20"/>
                <w:szCs w:val="20"/>
                <w:rtl/>
              </w:rPr>
              <w:t xml:space="preserve">اسم القسم داخل الكيان الأب</w:t>
            </w:r>
          </w:p>
        </w:tc>
        <w:tc>
          <w:tcPr>
            <w:tcW w:type="dxa" w:w="39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أحكام العقد · بنود العرض · مصفوفة الالتزامات</w:t>
            </w:r>
          </w:p>
        </w:tc>
      </w:tr>
      <w:tr>
        <w:trPr>
          <w:cantSplit/>
        </w:trPr>
        <w:tc>
          <w:tcPr>
            <w:tcW w:type="dxa" w:w="23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الزر والإجراء</w:t>
            </w:r>
          </w:p>
        </w:tc>
        <w:tc>
          <w:tcPr>
            <w:tcW w:type="dxa" w:w="36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فعلٌ صريحٌ محدَّد الأثر</w:t>
            </w:r>
          </w:p>
        </w:tc>
        <w:tc>
          <w:tcPr>
            <w:tcW w:type="dxa" w:w="39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إنشاء عرض · تحويل إلى عقد · إصدار ملحق</w:t>
            </w:r>
          </w:p>
        </w:tc>
      </w:tr>
      <w:tr>
        <w:trPr>
          <w:cantSplit/>
        </w:trPr>
        <w:tc>
          <w:tcPr>
            <w:tcW w:type="dxa" w:w="2300"/>
            <w:tcMar>
              <w:top w:type="dxa" w:w="70"/>
              <w:left w:type="dxa" w:w="95"/>
              <w:bottom w:type="dxa" w:w="70"/>
              <w:right w:type="dxa" w:w="95"/>
            </w:tcMar>
            <w:vAlign w:val="center"/>
          </w:tcPr>
          <w:p>
            <w:pPr>
              <w:bidi/>
              <w:spacing w:after="20" w:line="280"/>
              <w:jc w:val="right"/>
            </w:pPr>
            <w:r>
              <w:rPr>
                <w:b/>
                <w:bCs/>
                <w:sz w:val="21"/>
                <w:szCs w:val="21"/>
                <w:rtl/>
              </w:rPr>
              <w:t xml:space="preserve">محطة الاختبار</w:t>
            </w:r>
          </w:p>
        </w:tc>
        <w:tc>
          <w:tcPr>
            <w:tcW w:type="dxa" w:w="3600"/>
            <w:tcMar>
              <w:top w:type="dxa" w:w="70"/>
              <w:left w:type="dxa" w:w="95"/>
              <w:bottom w:type="dxa" w:w="70"/>
              <w:right w:type="dxa" w:w="95"/>
            </w:tcMar>
            <w:vAlign w:val="center"/>
          </w:tcPr>
          <w:p>
            <w:pPr>
              <w:bidi/>
              <w:spacing w:after="20" w:line="280"/>
              <w:jc w:val="right"/>
            </w:pPr>
            <w:r>
              <w:rPr>
                <w:b w:val="false"/>
                <w:bCs w:val="false"/>
                <w:sz w:val="20"/>
                <w:szCs w:val="20"/>
                <w:rtl/>
              </w:rPr>
              <w:t xml:space="preserve">اسم مصدري رسمي للعملية</w:t>
            </w:r>
          </w:p>
        </w:tc>
        <w:tc>
          <w:tcPr>
            <w:tcW w:type="dxa" w:w="39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إعداد المطالبة والتسليم للمالية</w:t>
            </w:r>
          </w:p>
        </w:tc>
      </w:tr>
    </w:tbl>
    <w:p>
      <w:pPr>
        <w:bidi/>
        <w:spacing w:before="150"/>
        <w:jc w:val="right"/>
      </w:pPr>
      <w:r>
        <w:rPr>
          <w:b w:val="false"/>
          <w:bCs w:val="false"/>
          <w:i w:val="false"/>
          <w:iCs w:val="false"/>
          <w:sz w:val="24"/>
          <w:szCs w:val="24"/>
          <w:rtl/>
        </w:rPr>
        <w:t xml:space="preserve">والصيغ الآتية ممنوعةٌ منعًا باتًّا في التنقّل وأسماء المجموعات والمراحل والشاشات ومحطات الاختبار — وقد أُزيلت من هذه الوثيقة كلها:</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9800"/>
      </w:tblGrid>
      <w:tr>
        <w:trPr>
          <w:cantSplit/>
        </w:trPr>
        <w:tc>
          <w:tcPr>
            <w:tcW w:type="dxa" w:w="9800"/>
            <w:shd w:fill="FBF0F0" w:color="auto" w:val="clear"/>
            <w:tcMar>
              <w:top w:type="dxa" w:w="70"/>
              <w:left w:type="dxa" w:w="95"/>
              <w:bottom w:type="dxa" w:w="70"/>
              <w:right w:type="dxa" w:w="95"/>
            </w:tcMar>
            <w:vAlign w:val="center"/>
          </w:tcPr>
          <w:p>
            <w:pPr>
              <w:bidi/>
              <w:spacing w:after="20" w:line="280"/>
              <w:jc w:val="right"/>
            </w:pPr>
            <w:r>
              <w:rPr>
                <w:b w:val="false"/>
                <w:bCs w:val="false"/>
                <w:color w:val="A3151F"/>
                <w:sz w:val="20"/>
                <w:szCs w:val="20"/>
                <w:rtl/>
              </w:rPr>
              <w:t xml:space="preserve">نبدأ من العميل  ·  نبدأ من المورد  ·  نعرض ونتفاوض  ·  نتعاقد ونلتزم  ·  نتابع التنفيذ  ·  نتابع الأداء  ·  نحاسبه ونصرف  ·  نعطيه حصتَه  ·  نتحقق من قدرته  ·  نوقّع عقدَه  ·  نقيّمه أو نُنهي عقدَه  ·  نجدّد أو نُقفل  ·  دعنا نعمل  ·  هيا للعمل</w:t>
            </w:r>
          </w:p>
        </w:tc>
      </w:tr>
    </w:tbl>
    <w:p>
      <w:pPr>
        <w:bidi/>
        <w:spacing w:before="130"/>
        <w:jc w:val="right"/>
      </w:pPr>
      <w:r>
        <w:rPr>
          <w:b w:val="false"/>
          <w:bCs w:val="false"/>
          <w:i w:val="false"/>
          <w:iCs w:val="false"/>
          <w:sz w:val="24"/>
          <w:szCs w:val="24"/>
          <w:rtl/>
        </w:rPr>
        <w:t xml:space="preserve">وسببُ المنع أن هذه المنصة تُعرض على لجان استثمارٍ وحوكمةٍ وجهاتٍ رقابية، وبنيةُ المعلومات فيها وثيقةٌ مؤسسية لا مادةُ تدريبٍ مبسَّطة. وإن أُريد الأسلوب المبسَّط فموضعه جولةٌ إرشاديةٌ أو مادةٌ تدريبيةٌ منفصلة، لا التنقّل.</w:t>
      </w:r>
    </w:p>
    <w:p>
      <w:pPr>
        <w:pStyle w:val="Heading2"/>
        <w:keepNext/>
        <w:bidi/>
        <w:spacing w:after="140" w:before="280"/>
        <w:jc w:val="right"/>
      </w:pPr>
      <w:r>
        <w:rPr>
          <w:b/>
          <w:bCs/>
          <w:rtl/>
        </w:rPr>
        <w:t xml:space="preserve">لماذا بقي هذا كيانًا مستقلًّا</w:t>
      </w:r>
    </w:p>
    <w:p>
      <w:pPr>
        <w:bidi/>
        <w:spacing w:after="130" w:line="330"/>
        <w:jc w:val="right"/>
      </w:pPr>
      <w:r>
        <w:rPr>
          <w:b w:val="false"/>
          <w:bCs w:val="false"/>
          <w:i w:val="false"/>
          <w:iCs w:val="false"/>
          <w:sz w:val="24"/>
          <w:szCs w:val="24"/>
          <w:rtl/>
        </w:rPr>
        <w:t xml:space="preserve">القاعدة: يبقى بندًا في التنقّل ما كان كيانًا رئيسيًّا يُبحث فيه عرضيًّا عبر آباء متعددين، أو مستندًا له سلّم اعتماد مستقل. وما عداه تبويب.</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900"/>
        <w:gridCol w:w="4700"/>
        <w:gridCol w:w="2200"/>
      </w:tblGrid>
      <w:tr>
        <w:trPr>
          <w:cantSplit/>
          <w:tblHeader/>
        </w:trPr>
        <w:tc>
          <w:tcPr>
            <w:tcW w:type="dxa" w:w="2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الكيان</w:t>
            </w:r>
          </w:p>
        </w:tc>
        <w:tc>
          <w:tcPr>
            <w:tcW w:type="dxa" w:w="47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سبب بقائه</w:t>
            </w:r>
          </w:p>
        </w:tc>
        <w:tc>
          <w:tcPr>
            <w:tcW w:type="dxa" w:w="2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الحكم</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العميل</w:t>
            </w:r>
          </w:p>
        </w:tc>
        <w:tc>
          <w:tcPr>
            <w:tcW w:type="dxa" w:w="4700"/>
            <w:tcMar>
              <w:top w:type="dxa" w:w="70"/>
              <w:left w:type="dxa" w:w="95"/>
              <w:bottom w:type="dxa" w:w="70"/>
              <w:right w:type="dxa" w:w="95"/>
            </w:tcMar>
            <w:vAlign w:val="center"/>
          </w:tcPr>
          <w:p>
            <w:pPr>
              <w:bidi/>
              <w:spacing w:after="20" w:line="280"/>
              <w:jc w:val="right"/>
            </w:pPr>
            <w:r>
              <w:rPr>
                <w:b w:val="false"/>
                <w:bCs w:val="false"/>
                <w:sz w:val="20"/>
                <w:szCs w:val="20"/>
                <w:rtl/>
              </w:rPr>
              <w:t xml:space="preserve">يُبحث فيه عرضيًّا من كل الإدارات</w:t>
            </w:r>
          </w:p>
        </w:tc>
        <w:tc>
          <w:tcPr>
            <w:tcW w:type="dxa" w:w="2200"/>
            <w:tcMar>
              <w:top w:type="dxa" w:w="70"/>
              <w:left w:type="dxa" w:w="95"/>
              <w:bottom w:type="dxa" w:w="70"/>
              <w:right w:type="dxa" w:w="95"/>
            </w:tcMar>
            <w:vAlign w:val="center"/>
          </w:tcPr>
          <w:p>
            <w:pPr>
              <w:bidi/>
              <w:spacing w:after="20" w:line="280"/>
              <w:jc w:val="center"/>
            </w:pPr>
            <w:r>
              <w:rPr>
                <w:b w:val="false"/>
                <w:bCs w:val="false"/>
                <w:color w:val="1F3B57"/>
                <w:sz w:val="20"/>
                <w:szCs w:val="20"/>
                <w:rtl/>
              </w:rPr>
              <w:t xml:space="preserve">بند مستقل</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المشروع</w:t>
            </w:r>
          </w:p>
        </w:tc>
        <w:tc>
          <w:tcPr>
            <w:tcW w:type="dxa" w:w="47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تقرؤه العمليات والموقع والمالية</w:t>
            </w:r>
          </w:p>
        </w:tc>
        <w:tc>
          <w:tcPr>
            <w:tcW w:type="dxa" w:w="2200"/>
            <w:shd w:fill="F2F6FA" w:color="auto" w:val="clear"/>
            <w:tcMar>
              <w:top w:type="dxa" w:w="70"/>
              <w:left w:type="dxa" w:w="95"/>
              <w:bottom w:type="dxa" w:w="70"/>
              <w:right w:type="dxa" w:w="95"/>
            </w:tcMar>
            <w:vAlign w:val="center"/>
          </w:tcPr>
          <w:p>
            <w:pPr>
              <w:bidi/>
              <w:spacing w:after="20" w:line="280"/>
              <w:jc w:val="center"/>
            </w:pPr>
            <w:r>
              <w:rPr>
                <w:b w:val="false"/>
                <w:bCs w:val="false"/>
                <w:color w:val="1F3B57"/>
                <w:sz w:val="20"/>
                <w:szCs w:val="20"/>
                <w:rtl/>
              </w:rPr>
              <w:t xml:space="preserve">بند مستقل</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الفرصة</w:t>
            </w:r>
          </w:p>
        </w:tc>
        <w:tc>
          <w:tcPr>
            <w:tcW w:type="dxa" w:w="4700"/>
            <w:tcMar>
              <w:top w:type="dxa" w:w="70"/>
              <w:left w:type="dxa" w:w="95"/>
              <w:bottom w:type="dxa" w:w="70"/>
              <w:right w:type="dxa" w:w="95"/>
            </w:tcMar>
            <w:vAlign w:val="center"/>
          </w:tcPr>
          <w:p>
            <w:pPr>
              <w:bidi/>
              <w:spacing w:after="20" w:line="280"/>
              <w:jc w:val="right"/>
            </w:pPr>
            <w:r>
              <w:rPr>
                <w:b w:val="false"/>
                <w:bCs w:val="false"/>
                <w:sz w:val="20"/>
                <w:szCs w:val="20"/>
                <w:rtl/>
              </w:rPr>
              <w:t xml:space="preserve">رأس دورة الفرص البيعية ولها حالة ومسؤول</w:t>
            </w:r>
          </w:p>
        </w:tc>
        <w:tc>
          <w:tcPr>
            <w:tcW w:type="dxa" w:w="2200"/>
            <w:tcMar>
              <w:top w:type="dxa" w:w="70"/>
              <w:left w:type="dxa" w:w="95"/>
              <w:bottom w:type="dxa" w:w="70"/>
              <w:right w:type="dxa" w:w="95"/>
            </w:tcMar>
            <w:vAlign w:val="center"/>
          </w:tcPr>
          <w:p>
            <w:pPr>
              <w:bidi/>
              <w:spacing w:after="20" w:line="280"/>
              <w:jc w:val="center"/>
            </w:pPr>
            <w:r>
              <w:rPr>
                <w:b w:val="false"/>
                <w:bCs w:val="false"/>
                <w:color w:val="1F3B57"/>
                <w:sz w:val="20"/>
                <w:szCs w:val="20"/>
                <w:rtl/>
              </w:rPr>
              <w:t xml:space="preserve">بند مستقل</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العرض</w:t>
            </w:r>
          </w:p>
        </w:tc>
        <w:tc>
          <w:tcPr>
            <w:tcW w:type="dxa" w:w="47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مستند بنسخ وسريان وقرار عميل</w:t>
            </w:r>
          </w:p>
        </w:tc>
        <w:tc>
          <w:tcPr>
            <w:tcW w:type="dxa" w:w="2200"/>
            <w:shd w:fill="F2F6FA" w:color="auto" w:val="clear"/>
            <w:tcMar>
              <w:top w:type="dxa" w:w="70"/>
              <w:left w:type="dxa" w:w="95"/>
              <w:bottom w:type="dxa" w:w="70"/>
              <w:right w:type="dxa" w:w="95"/>
            </w:tcMar>
            <w:vAlign w:val="center"/>
          </w:tcPr>
          <w:p>
            <w:pPr>
              <w:bidi/>
              <w:spacing w:after="20" w:line="280"/>
              <w:jc w:val="center"/>
            </w:pPr>
            <w:r>
              <w:rPr>
                <w:b w:val="false"/>
                <w:bCs w:val="false"/>
                <w:color w:val="1F3B57"/>
                <w:sz w:val="20"/>
                <w:szCs w:val="20"/>
                <w:rtl/>
              </w:rPr>
              <w:t xml:space="preserve">بند مستقل</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العقد</w:t>
            </w:r>
          </w:p>
        </w:tc>
        <w:tc>
          <w:tcPr>
            <w:tcW w:type="dxa" w:w="4700"/>
            <w:tcMar>
              <w:top w:type="dxa" w:w="70"/>
              <w:left w:type="dxa" w:w="95"/>
              <w:bottom w:type="dxa" w:w="70"/>
              <w:right w:type="dxa" w:w="95"/>
            </w:tcMar>
            <w:vAlign w:val="center"/>
          </w:tcPr>
          <w:p>
            <w:pPr>
              <w:bidi/>
              <w:spacing w:after="20" w:line="280"/>
              <w:jc w:val="right"/>
            </w:pPr>
            <w:r>
              <w:rPr>
                <w:b w:val="false"/>
                <w:bCs w:val="false"/>
                <w:sz w:val="20"/>
                <w:szCs w:val="20"/>
                <w:rtl/>
              </w:rPr>
              <w:t xml:space="preserve">مستند موقَّع بسلّم اعتماد وأثر تعاقدي</w:t>
            </w:r>
          </w:p>
        </w:tc>
        <w:tc>
          <w:tcPr>
            <w:tcW w:type="dxa" w:w="2200"/>
            <w:tcMar>
              <w:top w:type="dxa" w:w="70"/>
              <w:left w:type="dxa" w:w="95"/>
              <w:bottom w:type="dxa" w:w="70"/>
              <w:right w:type="dxa" w:w="95"/>
            </w:tcMar>
            <w:vAlign w:val="center"/>
          </w:tcPr>
          <w:p>
            <w:pPr>
              <w:bidi/>
              <w:spacing w:after="20" w:line="280"/>
              <w:jc w:val="center"/>
            </w:pPr>
            <w:r>
              <w:rPr>
                <w:b w:val="false"/>
                <w:bCs w:val="false"/>
                <w:color w:val="1F3B57"/>
                <w:sz w:val="20"/>
                <w:szCs w:val="20"/>
                <w:rtl/>
              </w:rPr>
              <w:t xml:space="preserve">بند مستقل</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المطالبة</w:t>
            </w:r>
          </w:p>
        </w:tc>
        <w:tc>
          <w:tcPr>
            <w:tcW w:type="dxa" w:w="47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مستند بأثر مالي وتسليم للمالية</w:t>
            </w:r>
          </w:p>
        </w:tc>
        <w:tc>
          <w:tcPr>
            <w:tcW w:type="dxa" w:w="2200"/>
            <w:shd w:fill="F2F6FA" w:color="auto" w:val="clear"/>
            <w:tcMar>
              <w:top w:type="dxa" w:w="70"/>
              <w:left w:type="dxa" w:w="95"/>
              <w:bottom w:type="dxa" w:w="70"/>
              <w:right w:type="dxa" w:w="95"/>
            </w:tcMar>
            <w:vAlign w:val="center"/>
          </w:tcPr>
          <w:p>
            <w:pPr>
              <w:bidi/>
              <w:spacing w:after="20" w:line="280"/>
              <w:jc w:val="center"/>
            </w:pPr>
            <w:r>
              <w:rPr>
                <w:b w:val="false"/>
                <w:bCs w:val="false"/>
                <w:color w:val="1F3B57"/>
                <w:sz w:val="20"/>
                <w:szCs w:val="20"/>
                <w:rtl/>
              </w:rPr>
              <w:t xml:space="preserve">بند مستقل</w:t>
            </w:r>
          </w:p>
        </w:tc>
      </w:tr>
    </w:tbl>
    <w:p>
      <w:pPr>
        <w:pStyle w:val="Heading2"/>
        <w:keepNext/>
        <w:bidi/>
        <w:spacing w:after="140" w:before="280"/>
        <w:jc w:val="right"/>
      </w:pPr>
      <w:r>
        <w:rPr>
          <w:b/>
          <w:bCs/>
          <w:rtl/>
        </w:rPr>
        <w:t xml:space="preserve">ما لا يجوز دمجه — الحدود المعيارية</w:t>
      </w:r>
    </w:p>
    <w:p>
      <w:pPr>
        <w:bidi/>
        <w:spacing w:after="130" w:line="330"/>
        <w:jc w:val="right"/>
      </w:pPr>
      <w:r>
        <w:rPr>
          <w:b w:val="false"/>
          <w:bCs w:val="false"/>
          <w:i w:val="false"/>
          <w:iCs w:val="false"/>
          <w:sz w:val="24"/>
          <w:szCs w:val="24"/>
          <w:rtl/>
        </w:rPr>
        <w:t xml:space="preserve">الدمج مطلوب، لكن له سقفٌ لا يُتجاوز. وهذه الحالات السبع لا تُدمج مهما بلغت رغبة التبسيط، لأن دمجها يُسقط ضابطًا رقابيًّا لا شاشة:</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3200"/>
        <w:gridCol w:w="6600"/>
      </w:tblGrid>
      <w:tr>
        <w:trPr>
          <w:cantSplit/>
          <w:tblHeader/>
        </w:trPr>
        <w:tc>
          <w:tcPr>
            <w:tcW w:type="dxa" w:w="3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الحالة</w:t>
            </w:r>
          </w:p>
        </w:tc>
        <w:tc>
          <w:tcPr>
            <w:tcW w:type="dxa" w:w="6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السبب المعياري</w:t>
            </w:r>
          </w:p>
        </w:tc>
      </w:tr>
      <w:tr>
        <w:trPr>
          <w:cantSplit/>
        </w:trPr>
        <w:tc>
          <w:tcPr>
            <w:tcW w:type="dxa" w:w="3200"/>
            <w:tcMar>
              <w:top w:type="dxa" w:w="70"/>
              <w:left w:type="dxa" w:w="95"/>
              <w:bottom w:type="dxa" w:w="70"/>
              <w:right w:type="dxa" w:w="95"/>
            </w:tcMar>
            <w:vAlign w:val="center"/>
          </w:tcPr>
          <w:p>
            <w:pPr>
              <w:bidi/>
              <w:spacing w:after="20" w:line="280"/>
              <w:jc w:val="right"/>
            </w:pPr>
            <w:r>
              <w:rPr>
                <w:b/>
                <w:bCs/>
                <w:sz w:val="21"/>
                <w:szCs w:val="21"/>
                <w:rtl/>
              </w:rPr>
              <w:t xml:space="preserve">مستندٌ له سلّم اعتماد مستقل</w:t>
            </w:r>
          </w:p>
        </w:tc>
        <w:tc>
          <w:tcPr>
            <w:tcW w:type="dxa" w:w="6600"/>
            <w:tcMar>
              <w:top w:type="dxa" w:w="70"/>
              <w:left w:type="dxa" w:w="95"/>
              <w:bottom w:type="dxa" w:w="70"/>
              <w:right w:type="dxa" w:w="95"/>
            </w:tcMar>
            <w:vAlign w:val="center"/>
          </w:tcPr>
          <w:p>
            <w:pPr>
              <w:bidi/>
              <w:spacing w:after="20" w:line="280"/>
              <w:jc w:val="right"/>
            </w:pPr>
            <w:r>
              <w:rPr>
                <w:b w:val="false"/>
                <w:bCs w:val="false"/>
                <w:sz w:val="20"/>
                <w:szCs w:val="20"/>
                <w:rtl/>
              </w:rPr>
              <w:t xml:space="preserve">العقد والمطالبة والتسوية وطلب الدفع — لكلٍّ منها منشئ ومراجع ومعتمِد وتاريخ اعتماد، ودمجها يُسقط سلّمها.</w:t>
            </w:r>
          </w:p>
        </w:tc>
      </w:tr>
      <w:tr>
        <w:trPr>
          <w:cantSplit/>
        </w:trPr>
        <w:tc>
          <w:tcPr>
            <w:tcW w:type="dxa" w:w="32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مستندٌ له توقيع قانوني أو أثر تعاقدي</w:t>
            </w:r>
          </w:p>
        </w:tc>
        <w:tc>
          <w:tcPr>
            <w:tcW w:type="dxa" w:w="66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ما يُوقَّع أو يُحتجّ به أمام الغير يبقى كيانًا مستقلًّا بمعرّفه وتاريخه ونسخته.</w:t>
            </w:r>
          </w:p>
        </w:tc>
      </w:tr>
      <w:tr>
        <w:trPr>
          <w:cantSplit/>
        </w:trPr>
        <w:tc>
          <w:tcPr>
            <w:tcW w:type="dxa" w:w="3200"/>
            <w:tcMar>
              <w:top w:type="dxa" w:w="70"/>
              <w:left w:type="dxa" w:w="95"/>
              <w:bottom w:type="dxa" w:w="70"/>
              <w:right w:type="dxa" w:w="95"/>
            </w:tcMar>
            <w:vAlign w:val="center"/>
          </w:tcPr>
          <w:p>
            <w:pPr>
              <w:bidi/>
              <w:spacing w:after="20" w:line="280"/>
              <w:jc w:val="right"/>
            </w:pPr>
            <w:r>
              <w:rPr>
                <w:b/>
                <w:bCs/>
                <w:sz w:val="21"/>
                <w:szCs w:val="21"/>
                <w:rtl/>
              </w:rPr>
              <w:t xml:space="preserve">مستندٌ ينشئ أثرًا ماليًّا</w:t>
            </w:r>
          </w:p>
        </w:tc>
        <w:tc>
          <w:tcPr>
            <w:tcW w:type="dxa" w:w="6600"/>
            <w:tcMar>
              <w:top w:type="dxa" w:w="70"/>
              <w:left w:type="dxa" w:w="95"/>
              <w:bottom w:type="dxa" w:w="70"/>
              <w:right w:type="dxa" w:w="95"/>
            </w:tcMar>
            <w:vAlign w:val="center"/>
          </w:tcPr>
          <w:p>
            <w:pPr>
              <w:bidi/>
              <w:spacing w:after="20" w:line="280"/>
              <w:jc w:val="right"/>
            </w:pPr>
            <w:r>
              <w:rPr>
                <w:b w:val="false"/>
                <w:bCs w:val="false"/>
                <w:sz w:val="20"/>
                <w:szCs w:val="20"/>
                <w:rtl/>
              </w:rPr>
              <w:t xml:space="preserve">لا يُدمج سطحٌ ينشئ التزامًا أو استحقاقًا مع سطحٍ يعتمده — لأن الدمج يجمع المنشئ والمعتمِد في يدٍ واحدة.</w:t>
            </w:r>
          </w:p>
        </w:tc>
      </w:tr>
      <w:tr>
        <w:trPr>
          <w:cantSplit/>
        </w:trPr>
        <w:tc>
          <w:tcPr>
            <w:tcW w:type="dxa" w:w="32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سجلٌّ يملكه نطاق آخر</w:t>
            </w:r>
          </w:p>
        </w:tc>
        <w:tc>
          <w:tcPr>
            <w:tcW w:type="dxa" w:w="66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ما تملكه إدارة أخرى يُعرض إسقاطَ قراءةٍ موسومًا بمالكه — لا تبويبًا داخل ملفنا.</w:t>
            </w:r>
          </w:p>
        </w:tc>
      </w:tr>
      <w:tr>
        <w:trPr>
          <w:cantSplit/>
        </w:trPr>
        <w:tc>
          <w:tcPr>
            <w:tcW w:type="dxa" w:w="3200"/>
            <w:tcMar>
              <w:top w:type="dxa" w:w="70"/>
              <w:left w:type="dxa" w:w="95"/>
              <w:bottom w:type="dxa" w:w="70"/>
              <w:right w:type="dxa" w:w="95"/>
            </w:tcMar>
            <w:vAlign w:val="center"/>
          </w:tcPr>
          <w:p>
            <w:pPr>
              <w:bidi/>
              <w:spacing w:after="20" w:line="280"/>
              <w:jc w:val="right"/>
            </w:pPr>
            <w:r>
              <w:rPr>
                <w:b/>
                <w:bCs/>
                <w:sz w:val="21"/>
                <w:szCs w:val="21"/>
                <w:rtl/>
              </w:rPr>
              <w:t xml:space="preserve">سجلٌّ يُبحث فيه عرضيًّا</w:t>
            </w:r>
          </w:p>
        </w:tc>
        <w:tc>
          <w:tcPr>
            <w:tcW w:type="dxa" w:w="6600"/>
            <w:tcMar>
              <w:top w:type="dxa" w:w="70"/>
              <w:left w:type="dxa" w:w="95"/>
              <w:bottom w:type="dxa" w:w="70"/>
              <w:right w:type="dxa" w:w="95"/>
            </w:tcMar>
            <w:vAlign w:val="center"/>
          </w:tcPr>
          <w:p>
            <w:pPr>
              <w:bidi/>
              <w:spacing w:after="20" w:line="280"/>
              <w:jc w:val="right"/>
            </w:pPr>
            <w:r>
              <w:rPr>
                <w:b w:val="false"/>
                <w:bCs w:val="false"/>
                <w:sz w:val="20"/>
                <w:szCs w:val="20"/>
                <w:rtl/>
              </w:rPr>
              <w:t xml:space="preserve">ما يُبحث فيه عبر آباء متعددين — كالعملاء والمشاريع والعقود — يبقى بندًا في التنقّل حتى لو كان له أب.</w:t>
            </w:r>
          </w:p>
        </w:tc>
      </w:tr>
      <w:tr>
        <w:trPr>
          <w:cantSplit/>
        </w:trPr>
        <w:tc>
          <w:tcPr>
            <w:tcW w:type="dxa" w:w="32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بياناتٌ مرجعية مشتركة</w:t>
            </w:r>
          </w:p>
        </w:tc>
        <w:tc>
          <w:tcPr>
            <w:tcW w:type="dxa" w:w="66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القوائم ووحدات القياس ونماذج العمل بيتها واحد مرجعي تقرأ منه الإدارات كلها.</w:t>
            </w:r>
          </w:p>
        </w:tc>
      </w:tr>
      <w:tr>
        <w:trPr>
          <w:cantSplit/>
        </w:trPr>
        <w:tc>
          <w:tcPr>
            <w:tcW w:type="dxa" w:w="3200"/>
            <w:tcMar>
              <w:top w:type="dxa" w:w="70"/>
              <w:left w:type="dxa" w:w="95"/>
              <w:bottom w:type="dxa" w:w="70"/>
              <w:right w:type="dxa" w:w="95"/>
            </w:tcMar>
            <w:vAlign w:val="center"/>
          </w:tcPr>
          <w:p>
            <w:pPr>
              <w:bidi/>
              <w:spacing w:after="20" w:line="280"/>
              <w:jc w:val="right"/>
            </w:pPr>
            <w:r>
              <w:rPr>
                <w:b/>
                <w:bCs/>
                <w:sz w:val="21"/>
                <w:szCs w:val="21"/>
                <w:rtl/>
              </w:rPr>
              <w:t xml:space="preserve">أثرٌ تدقيقي</w:t>
            </w:r>
          </w:p>
        </w:tc>
        <w:tc>
          <w:tcPr>
            <w:tcW w:type="dxa" w:w="6600"/>
            <w:tcMar>
              <w:top w:type="dxa" w:w="70"/>
              <w:left w:type="dxa" w:w="95"/>
              <w:bottom w:type="dxa" w:w="70"/>
              <w:right w:type="dxa" w:w="95"/>
            </w:tcMar>
            <w:vAlign w:val="center"/>
          </w:tcPr>
          <w:p>
            <w:pPr>
              <w:bidi/>
              <w:spacing w:after="20" w:line="280"/>
              <w:jc w:val="right"/>
            </w:pPr>
            <w:r>
              <w:rPr>
                <w:b w:val="false"/>
                <w:bCs w:val="false"/>
                <w:sz w:val="20"/>
                <w:szCs w:val="20"/>
                <w:rtl/>
              </w:rPr>
              <w:t xml:space="preserve">سجلات التتبع والاطّلاع لا تُدمج في شاشات العمل ولا تظهر في التنقّل.</w:t>
            </w:r>
          </w:p>
        </w:tc>
      </w:tr>
    </w:tbl>
    <w:p>
      <w:pPr>
        <w:pStyle w:val="Heading1"/>
        <w:keepNext/>
        <w:bidi/>
        <w:spacing w:after="180" w:before="360"/>
        <w:jc w:val="right"/>
      </w:pPr>
      <w:r>
        <w:rPr>
          <w:b/>
          <w:bCs/>
          <w:rtl/>
        </w:rPr>
        <w:t xml:space="preserve">عقد التعبئة التلقائية — لا يُترك فارغًا إلا الجديد</w:t>
      </w:r>
    </w:p>
    <w:p>
      <w:pPr>
        <w:bidi/>
        <w:spacing w:after="130" w:line="330"/>
        <w:jc w:val="right"/>
      </w:pPr>
      <w:r>
        <w:rPr>
          <w:b w:val="false"/>
          <w:bCs w:val="false"/>
          <w:i w:val="false"/>
          <w:iCs w:val="false"/>
          <w:sz w:val="24"/>
          <w:szCs w:val="24"/>
          <w:rtl/>
        </w:rPr>
        <w:t xml:space="preserve">الدمج وحده لا يكفي: المطلوب ألّا يُعيد الموظف إدخال ما أُدخل قبله. والمرجع الحاكم نفسه يثبت أن هذا ممكن بالأرقام — فأغلب خلاياه ليست إدخالًا يدويًّا أصلًا:</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4900"/>
        <w:gridCol w:w="4900"/>
      </w:tblGrid>
      <w:tr>
        <w:trPr>
          <w:cantSplit/>
          <w:tblHeader/>
        </w:trPr>
        <w:tc>
          <w:tcPr>
            <w:tcW w:type="dxa" w:w="4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المقياس</w:t>
            </w:r>
          </w:p>
        </w:tc>
        <w:tc>
          <w:tcPr>
            <w:tcW w:type="dxa" w:w="4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القيمة</w:t>
            </w:r>
          </w:p>
        </w:tc>
      </w:tr>
      <w:tr>
        <w:trPr>
          <w:cantSplit/>
        </w:trPr>
        <w:tc>
          <w:tcPr>
            <w:tcW w:type="dxa" w:w="4900"/>
            <w:tcMar>
              <w:top w:type="dxa" w:w="70"/>
              <w:left w:type="dxa" w:w="95"/>
              <w:bottom w:type="dxa" w:w="70"/>
              <w:right w:type="dxa" w:w="95"/>
            </w:tcMar>
            <w:vAlign w:val="center"/>
          </w:tcPr>
          <w:p>
            <w:pPr>
              <w:bidi/>
              <w:spacing w:after="20" w:line="280"/>
              <w:jc w:val="right"/>
            </w:pPr>
            <w:r>
              <w:rPr>
                <w:b w:val="false"/>
                <w:bCs w:val="false"/>
                <w:sz w:val="21"/>
                <w:szCs w:val="21"/>
                <w:rtl/>
              </w:rPr>
              <w:t xml:space="preserve">خلايا مصدرها آلي</w:t>
            </w:r>
          </w:p>
        </w:tc>
        <w:tc>
          <w:tcPr>
            <w:tcW w:type="dxa" w:w="4900"/>
            <w:tcMar>
              <w:top w:type="dxa" w:w="70"/>
              <w:left w:type="dxa" w:w="95"/>
              <w:bottom w:type="dxa" w:w="70"/>
              <w:right w:type="dxa" w:w="95"/>
            </w:tcMar>
            <w:vAlign w:val="center"/>
          </w:tcPr>
          <w:p>
            <w:pPr>
              <w:bidi w:val="false"/>
              <w:spacing w:after="20" w:line="280"/>
              <w:jc w:val="center"/>
            </w:pPr>
            <w:r>
              <w:rPr>
                <w:b/>
                <w:bCs/>
                <w:color w:val="1F3B57"/>
                <w:sz w:val="22"/>
                <w:szCs w:val="22"/>
                <w:rtl/>
              </w:rPr>
              <w:t xml:space="preserve">60,777</w:t>
            </w:r>
          </w:p>
        </w:tc>
      </w:tr>
      <w:tr>
        <w:trPr>
          <w:cantSplit/>
        </w:trPr>
        <w:tc>
          <w:tcPr>
            <w:tcW w:type="dxa" w:w="49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خلايا تحتاج إدخالًا يدويًا</w:t>
            </w:r>
          </w:p>
        </w:tc>
        <w:tc>
          <w:tcPr>
            <w:tcW w:type="dxa" w:w="4900"/>
            <w:shd w:fill="F2F6FA" w:color="auto" w:val="clear"/>
            <w:tcMar>
              <w:top w:type="dxa" w:w="70"/>
              <w:left w:type="dxa" w:w="95"/>
              <w:bottom w:type="dxa" w:w="70"/>
              <w:right w:type="dxa" w:w="95"/>
            </w:tcMar>
            <w:vAlign w:val="center"/>
          </w:tcPr>
          <w:p>
            <w:pPr>
              <w:bidi w:val="false"/>
              <w:spacing w:after="20" w:line="280"/>
              <w:jc w:val="center"/>
            </w:pPr>
            <w:r>
              <w:rPr>
                <w:b/>
                <w:bCs/>
                <w:color w:val="1F3B57"/>
                <w:sz w:val="22"/>
                <w:szCs w:val="22"/>
                <w:rtl/>
              </w:rPr>
              <w:t xml:space="preserve">380</w:t>
            </w:r>
          </w:p>
        </w:tc>
      </w:tr>
      <w:tr>
        <w:trPr>
          <w:cantSplit/>
        </w:trPr>
        <w:tc>
          <w:tcPr>
            <w:tcW w:type="dxa" w:w="4900"/>
            <w:tcMar>
              <w:top w:type="dxa" w:w="70"/>
              <w:left w:type="dxa" w:w="95"/>
              <w:bottom w:type="dxa" w:w="70"/>
              <w:right w:type="dxa" w:w="95"/>
            </w:tcMar>
            <w:vAlign w:val="center"/>
          </w:tcPr>
          <w:p>
            <w:pPr>
              <w:bidi/>
              <w:spacing w:after="20" w:line="280"/>
              <w:jc w:val="right"/>
            </w:pPr>
            <w:r>
              <w:rPr>
                <w:b w:val="false"/>
                <w:bCs w:val="false"/>
                <w:sz w:val="21"/>
                <w:szCs w:val="21"/>
                <w:rtl/>
              </w:rPr>
              <w:t xml:space="preserve">نسبة التعبئة الآلية</w:t>
            </w:r>
          </w:p>
        </w:tc>
        <w:tc>
          <w:tcPr>
            <w:tcW w:type="dxa" w:w="4900"/>
            <w:tcMar>
              <w:top w:type="dxa" w:w="70"/>
              <w:left w:type="dxa" w:w="95"/>
              <w:bottom w:type="dxa" w:w="70"/>
              <w:right w:type="dxa" w:w="95"/>
            </w:tcMar>
            <w:vAlign w:val="center"/>
          </w:tcPr>
          <w:p>
            <w:pPr>
              <w:bidi w:val="false"/>
              <w:spacing w:after="20" w:line="280"/>
              <w:jc w:val="center"/>
            </w:pPr>
            <w:r>
              <w:rPr>
                <w:b/>
                <w:bCs/>
                <w:color w:val="1F3B57"/>
                <w:sz w:val="22"/>
                <w:szCs w:val="22"/>
                <w:rtl/>
              </w:rPr>
              <w:t xml:space="preserve">99.4٪</w:t>
            </w:r>
          </w:p>
        </w:tc>
      </w:tr>
      <w:tr>
        <w:trPr>
          <w:cantSplit/>
        </w:trPr>
        <w:tc>
          <w:tcPr>
            <w:tcW w:type="dxa" w:w="49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أعمدة إدخال من إجمالي الأعمدة</w:t>
            </w:r>
          </w:p>
        </w:tc>
        <w:tc>
          <w:tcPr>
            <w:tcW w:type="dxa" w:w="4900"/>
            <w:shd w:fill="F2F6FA" w:color="auto" w:val="clear"/>
            <w:tcMar>
              <w:top w:type="dxa" w:w="70"/>
              <w:left w:type="dxa" w:w="95"/>
              <w:bottom w:type="dxa" w:w="70"/>
              <w:right w:type="dxa" w:w="95"/>
            </w:tcMar>
            <w:vAlign w:val="center"/>
          </w:tcPr>
          <w:p>
            <w:pPr>
              <w:bidi w:val="false"/>
              <w:spacing w:after="20" w:line="280"/>
              <w:jc w:val="center"/>
            </w:pPr>
            <w:r>
              <w:rPr>
                <w:b/>
                <w:bCs/>
                <w:color w:val="1F3B57"/>
                <w:sz w:val="22"/>
                <w:szCs w:val="22"/>
                <w:rtl/>
              </w:rPr>
              <w:t xml:space="preserve">181 من 481</w:t>
            </w:r>
          </w:p>
        </w:tc>
      </w:tr>
    </w:tbl>
    <w:p>
      <w:pPr>
        <w:bidi/>
        <w:spacing w:before="130"/>
        <w:jc w:val="right"/>
      </w:pPr>
      <w:r>
        <w:rPr>
          <w:b w:val="false"/>
          <w:bCs w:val="false"/>
          <w:i w:val="false"/>
          <w:iCs w:val="false"/>
          <w:sz w:val="24"/>
          <w:szCs w:val="24"/>
          <w:rtl/>
        </w:rPr>
        <w:t xml:space="preserve">أي أن الأصل في الحقل أن يُملأ آليًّا، والاستثناء أن يُكتب يدويًّا. وهذه قواعد الإنفاذ السبع:</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900"/>
        <w:gridCol w:w="6900"/>
      </w:tblGrid>
      <w:tr>
        <w:trPr>
          <w:cantSplit/>
          <w:tblHeader/>
        </w:trPr>
        <w:tc>
          <w:tcPr>
            <w:tcW w:type="dxa" w:w="2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القاعدة</w:t>
            </w:r>
          </w:p>
        </w:tc>
        <w:tc>
          <w:tcPr>
            <w:tcW w:type="dxa" w:w="6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إنفاذها</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الوراثة من الأب</w:t>
            </w:r>
          </w:p>
        </w:tc>
        <w:tc>
          <w:tcPr>
            <w:tcW w:type="dxa" w:w="6900"/>
            <w:tcMar>
              <w:top w:type="dxa" w:w="70"/>
              <w:left w:type="dxa" w:w="95"/>
              <w:bottom w:type="dxa" w:w="70"/>
              <w:right w:type="dxa" w:w="95"/>
            </w:tcMar>
            <w:vAlign w:val="center"/>
          </w:tcPr>
          <w:p>
            <w:pPr>
              <w:bidi/>
              <w:spacing w:after="20" w:line="280"/>
              <w:jc w:val="right"/>
            </w:pPr>
            <w:r>
              <w:rPr>
                <w:b w:val="false"/>
                <w:bCs w:val="false"/>
                <w:sz w:val="20"/>
                <w:szCs w:val="20"/>
                <w:rtl/>
              </w:rPr>
              <w:t xml:space="preserve">كل حقل موجود في الكيان الأب يُملأ تلقائيًّا في التابع، ويُعرض للقراءة فقط مع بيان مصدره — ولا يُعاد إدخاله.</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الإنشاء بالإسناد</w:t>
            </w:r>
          </w:p>
        </w:tc>
        <w:tc>
          <w:tcPr>
            <w:tcW w:type="dxa" w:w="69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زر «إنشاء من هذا السجل» ينقل السياق كاملًا إلى المستند التالي: العميل والمشروع والعقد والعملة والشروط — فلا يبدأ الموظف من صفحة فارغة.</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الاختيار من السجل</w:t>
            </w:r>
          </w:p>
        </w:tc>
        <w:tc>
          <w:tcPr>
            <w:tcW w:type="dxa" w:w="6900"/>
            <w:tcMar>
              <w:top w:type="dxa" w:w="70"/>
              <w:left w:type="dxa" w:w="95"/>
              <w:bottom w:type="dxa" w:w="70"/>
              <w:right w:type="dxa" w:w="95"/>
            </w:tcMar>
            <w:vAlign w:val="center"/>
          </w:tcPr>
          <w:p>
            <w:pPr>
              <w:bidi/>
              <w:spacing w:after="20" w:line="280"/>
              <w:jc w:val="right"/>
            </w:pPr>
            <w:r>
              <w:rPr>
                <w:b w:val="false"/>
                <w:bCs w:val="false"/>
                <w:sz w:val="20"/>
                <w:szCs w:val="20"/>
                <w:rtl/>
              </w:rPr>
              <w:t xml:space="preserve">كل حقل مصدره سجل أمٌّ يُختار من قائمة لا يُكتب حرًّا — فيمتنع الخطأ الإملائي وتَثبت المفاتيح.</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الحساب في الخدمة</w:t>
            </w:r>
          </w:p>
        </w:tc>
        <w:tc>
          <w:tcPr>
            <w:tcW w:type="dxa" w:w="69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كل قيمة محسوبة تُحسب في طبقة الخدمة وتُعرض ولا تُدخل — ولا معادلة في الشاشة.</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الإسقاط الموسوم</w:t>
            </w:r>
          </w:p>
        </w:tc>
        <w:tc>
          <w:tcPr>
            <w:tcW w:type="dxa" w:w="6900"/>
            <w:tcMar>
              <w:top w:type="dxa" w:w="70"/>
              <w:left w:type="dxa" w:w="95"/>
              <w:bottom w:type="dxa" w:w="70"/>
              <w:right w:type="dxa" w:w="95"/>
            </w:tcMar>
            <w:vAlign w:val="center"/>
          </w:tcPr>
          <w:p>
            <w:pPr>
              <w:bidi/>
              <w:spacing w:after="20" w:line="280"/>
              <w:jc w:val="right"/>
            </w:pPr>
            <w:r>
              <w:rPr>
                <w:b w:val="false"/>
                <w:bCs w:val="false"/>
                <w:sz w:val="20"/>
                <w:szCs w:val="20"/>
                <w:rtl/>
              </w:rPr>
              <w:t xml:space="preserve">كل قيمة يملكها نطاق آخر تُعرض بوسم مالكها وزمن قراءتها — ولا تُخزَّن نسخةٌ ثانية منها.</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القيم الافتراضية</w:t>
            </w:r>
          </w:p>
        </w:tc>
        <w:tc>
          <w:tcPr>
            <w:tcW w:type="dxa" w:w="69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ما له قيمة غالبة في العقد أو المورد يُقترح افتراضًا قابلًا للتعديل بصلاحية — لا يُترك فارغًا.</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الفراغ الوحيد المسموح</w:t>
            </w:r>
          </w:p>
        </w:tc>
        <w:tc>
          <w:tcPr>
            <w:tcW w:type="dxa" w:w="6900"/>
            <w:tcMar>
              <w:top w:type="dxa" w:w="70"/>
              <w:left w:type="dxa" w:w="95"/>
              <w:bottom w:type="dxa" w:w="70"/>
              <w:right w:type="dxa" w:w="95"/>
            </w:tcMar>
            <w:vAlign w:val="center"/>
          </w:tcPr>
          <w:p>
            <w:pPr>
              <w:bidi/>
              <w:spacing w:after="20" w:line="280"/>
              <w:jc w:val="right"/>
            </w:pPr>
            <w:r>
              <w:rPr>
                <w:b w:val="false"/>
                <w:bCs w:val="false"/>
                <w:sz w:val="20"/>
                <w:szCs w:val="20"/>
                <w:rtl/>
              </w:rPr>
              <w:t xml:space="preserve">لا يبقى فارغًا إلا الحقل الذي يحمل معلومةً جديدة فعلًا لم تُدخل في أي موضع قبله.</w:t>
            </w:r>
          </w:p>
        </w:tc>
      </w:tr>
    </w:tbl>
    <w:p>
      <w:pPr>
        <w:pStyle w:val="Heading2"/>
        <w:keepNext/>
        <w:bidi/>
        <w:spacing w:after="140" w:before="280"/>
        <w:jc w:val="right"/>
      </w:pPr>
      <w:r>
        <w:rPr>
          <w:b/>
          <w:bCs/>
          <w:rtl/>
        </w:rPr>
        <w:t xml:space="preserve">أزرار الإنشاء بالإسناد وبواباتها</w:t>
      </w:r>
    </w:p>
    <w:p>
      <w:pPr>
        <w:bidi/>
        <w:spacing w:after="130" w:line="330"/>
        <w:jc w:val="right"/>
      </w:pPr>
      <w:r>
        <w:rPr>
          <w:b w:val="false"/>
          <w:bCs w:val="false"/>
          <w:i w:val="false"/>
          <w:iCs w:val="false"/>
          <w:sz w:val="24"/>
          <w:szCs w:val="24"/>
          <w:rtl/>
        </w:rPr>
        <w:t xml:space="preserve">هذه هي الآلية التي تحوّل الشاشات المدمجة إلى دورةٍ متصلة: زرٌّ في السجل الأب ينشئ المستند التالي ويحمل إليه سياقه كاملًا. لكنّ الزر لا يُتاح لمجرد وجود الأب — فلكلٍّ منه شرطُ إتاحةٍ يمنع القفز على مرحلةٍ إلزامية في الدورة المستندية.</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500"/>
        <w:gridCol w:w="3300"/>
        <w:gridCol w:w="4000"/>
      </w:tblGrid>
      <w:tr>
        <w:trPr>
          <w:cantSplit/>
          <w:tblHeader/>
        </w:trPr>
        <w:tc>
          <w:tcPr>
            <w:tcW w:type="dxa" w:w="25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الموضع والزر</w:t>
            </w:r>
          </w:p>
        </w:tc>
        <w:tc>
          <w:tcPr>
            <w:tcW w:type="dxa" w:w="33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ما يرثه</w:t>
            </w:r>
          </w:p>
        </w:tc>
        <w:tc>
          <w:tcPr>
            <w:tcW w:type="dxa" w:w="40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شرط الإتاحة</w:t>
            </w:r>
          </w:p>
        </w:tc>
      </w:tr>
      <w:tr>
        <w:trPr>
          <w:cantSplit/>
        </w:trPr>
        <w:tc>
          <w:tcPr>
            <w:tcW w:type="dxa" w:w="25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ملف العميل</w:t>
            </w:r>
          </w:p>
          <w:p>
            <w:pPr>
              <w:bidi/>
              <w:spacing w:after="20" w:line="280"/>
              <w:jc w:val="right"/>
            </w:pPr>
            <w:r>
              <w:rPr>
                <w:b/>
                <w:bCs/>
                <w:color w:val="1F3B57"/>
                <w:sz w:val="20"/>
                <w:szCs w:val="20"/>
                <w:rtl/>
              </w:rPr>
              <w:t xml:space="preserve">إنشاء مشروع</w:t>
            </w:r>
          </w:p>
        </w:tc>
        <w:tc>
          <w:tcPr>
            <w:tcW w:type="dxa" w:w="33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العميل · القطاع · العملة · شروط الدفع</w:t>
            </w:r>
          </w:p>
        </w:tc>
        <w:tc>
          <w:tcPr>
            <w:tcW w:type="dxa" w:w="4000"/>
            <w:tcMar>
              <w:top w:type="dxa" w:w="70"/>
              <w:left w:type="dxa" w:w="95"/>
              <w:bottom w:type="dxa" w:w="70"/>
              <w:right w:type="dxa" w:w="95"/>
            </w:tcMar>
            <w:vAlign w:val="center"/>
          </w:tcPr>
          <w:p>
            <w:pPr>
              <w:bidi/>
              <w:spacing w:after="20" w:line="280"/>
              <w:jc w:val="right"/>
            </w:pPr>
            <w:r>
              <w:rPr>
                <w:b w:val="false"/>
                <w:bCs w:val="false"/>
                <w:sz w:val="19"/>
                <w:szCs w:val="19"/>
                <w:rtl/>
              </w:rPr>
              <w:t xml:space="preserve">العميل نشطٌ وغير محظورٍ ائتمانيًّا</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ملف العميل</w:t>
            </w:r>
          </w:p>
          <w:p>
            <w:pPr>
              <w:bidi/>
              <w:spacing w:after="20" w:line="280"/>
              <w:jc w:val="right"/>
            </w:pPr>
            <w:r>
              <w:rPr>
                <w:b/>
                <w:bCs/>
                <w:color w:val="1F3B57"/>
                <w:sz w:val="20"/>
                <w:szCs w:val="20"/>
                <w:rtl/>
              </w:rPr>
              <w:t xml:space="preserve">إنشاء فرصة</w:t>
            </w:r>
          </w:p>
        </w:tc>
        <w:tc>
          <w:tcPr>
            <w:tcW w:type="dxa" w:w="33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العميل · المشروع · جهة الاتصال</w:t>
            </w:r>
          </w:p>
        </w:tc>
        <w:tc>
          <w:tcPr>
            <w:tcW w:type="dxa" w:w="4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العميل نشط وله مشروعٌ أو مبادرةٌ تجارية</w:t>
            </w:r>
          </w:p>
        </w:tc>
      </w:tr>
      <w:tr>
        <w:trPr>
          <w:cantSplit/>
        </w:trPr>
        <w:tc>
          <w:tcPr>
            <w:tcW w:type="dxa" w:w="25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ملف العميل</w:t>
            </w:r>
          </w:p>
          <w:p>
            <w:pPr>
              <w:bidi/>
              <w:spacing w:after="20" w:line="280"/>
              <w:jc w:val="right"/>
            </w:pPr>
            <w:r>
              <w:rPr>
                <w:b/>
                <w:bCs/>
                <w:color w:val="A3151F"/>
                <w:sz w:val="20"/>
                <w:szCs w:val="20"/>
                <w:rtl/>
              </w:rPr>
              <w:t xml:space="preserve">عرض عقود العميل — قراءة لا إنشاء</w:t>
            </w:r>
          </w:p>
        </w:tc>
        <w:tc>
          <w:tcPr>
            <w:tcW w:type="dxa" w:w="33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w:t>
            </w:r>
          </w:p>
        </w:tc>
        <w:tc>
          <w:tcPr>
            <w:tcW w:type="dxa" w:w="4000"/>
            <w:tcMar>
              <w:top w:type="dxa" w:w="70"/>
              <w:left w:type="dxa" w:w="95"/>
              <w:bottom w:type="dxa" w:w="70"/>
              <w:right w:type="dxa" w:w="95"/>
            </w:tcMar>
            <w:vAlign w:val="center"/>
          </w:tcPr>
          <w:p>
            <w:pPr>
              <w:bidi/>
              <w:spacing w:after="20" w:line="280"/>
              <w:jc w:val="right"/>
            </w:pPr>
            <w:r>
              <w:rPr>
                <w:b w:val="false"/>
                <w:bCs w:val="false"/>
                <w:sz w:val="19"/>
                <w:szCs w:val="19"/>
                <w:rtl/>
              </w:rPr>
              <w:t xml:space="preserve">لا يُنشأ عقدٌ من ملف العميل بحال</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الفرصة</w:t>
            </w:r>
          </w:p>
          <w:p>
            <w:pPr>
              <w:bidi/>
              <w:spacing w:after="20" w:line="280"/>
              <w:jc w:val="right"/>
            </w:pPr>
            <w:r>
              <w:rPr>
                <w:b/>
                <w:bCs/>
                <w:color w:val="1F3B57"/>
                <w:sz w:val="20"/>
                <w:szCs w:val="20"/>
                <w:rtl/>
              </w:rPr>
              <w:t xml:space="preserve">تسجيل نشاط أو متابعة</w:t>
            </w:r>
          </w:p>
        </w:tc>
        <w:tc>
          <w:tcPr>
            <w:tcW w:type="dxa" w:w="33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الفرصة · العميل · المشروع</w:t>
            </w:r>
          </w:p>
        </w:tc>
        <w:tc>
          <w:tcPr>
            <w:tcW w:type="dxa" w:w="4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الفرصة مفتوحة</w:t>
            </w:r>
          </w:p>
        </w:tc>
      </w:tr>
      <w:tr>
        <w:trPr>
          <w:cantSplit/>
        </w:trPr>
        <w:tc>
          <w:tcPr>
            <w:tcW w:type="dxa" w:w="25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الفرصة</w:t>
            </w:r>
          </w:p>
          <w:p>
            <w:pPr>
              <w:bidi/>
              <w:spacing w:after="20" w:line="280"/>
              <w:jc w:val="right"/>
            </w:pPr>
            <w:r>
              <w:rPr>
                <w:b/>
                <w:bCs/>
                <w:color w:val="1F3B57"/>
                <w:sz w:val="20"/>
                <w:szCs w:val="20"/>
                <w:rtl/>
              </w:rPr>
              <w:t xml:space="preserve">تسجيل احتياج وطلب عرض</w:t>
            </w:r>
          </w:p>
        </w:tc>
        <w:tc>
          <w:tcPr>
            <w:tcW w:type="dxa" w:w="33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نموذج العمل · نوع الخدمة · الكمية · المدة</w:t>
            </w:r>
          </w:p>
        </w:tc>
        <w:tc>
          <w:tcPr>
            <w:tcW w:type="dxa" w:w="4000"/>
            <w:tcMar>
              <w:top w:type="dxa" w:w="70"/>
              <w:left w:type="dxa" w:w="95"/>
              <w:bottom w:type="dxa" w:w="70"/>
              <w:right w:type="dxa" w:w="95"/>
            </w:tcMar>
            <w:vAlign w:val="center"/>
          </w:tcPr>
          <w:p>
            <w:pPr>
              <w:bidi/>
              <w:spacing w:after="20" w:line="280"/>
              <w:jc w:val="right"/>
            </w:pPr>
            <w:r>
              <w:rPr>
                <w:b w:val="false"/>
                <w:bCs w:val="false"/>
                <w:sz w:val="19"/>
                <w:szCs w:val="19"/>
                <w:rtl/>
              </w:rPr>
              <w:t xml:space="preserve">الفرصة مفتوحة ولها مسؤولٌ مسنَد</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الفرصة</w:t>
            </w:r>
          </w:p>
          <w:p>
            <w:pPr>
              <w:bidi/>
              <w:spacing w:after="20" w:line="280"/>
              <w:jc w:val="right"/>
            </w:pPr>
            <w:r>
              <w:rPr>
                <w:b/>
                <w:bCs/>
                <w:color w:val="1F3B57"/>
                <w:sz w:val="20"/>
                <w:szCs w:val="20"/>
                <w:rtl/>
              </w:rPr>
              <w:t xml:space="preserve">إصدار عرض</w:t>
            </w:r>
          </w:p>
        </w:tc>
        <w:tc>
          <w:tcPr>
            <w:tcW w:type="dxa" w:w="33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الاحتياج · الكمية · الوحدة · نموذج العمل</w:t>
            </w:r>
          </w:p>
        </w:tc>
        <w:tc>
          <w:tcPr>
            <w:tcW w:type="dxa" w:w="4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وجود احتياجٍ مسجَّلٍ للفرصة</w:t>
            </w:r>
          </w:p>
        </w:tc>
      </w:tr>
      <w:tr>
        <w:trPr>
          <w:cantSplit/>
        </w:trPr>
        <w:tc>
          <w:tcPr>
            <w:tcW w:type="dxa" w:w="25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العرض</w:t>
            </w:r>
          </w:p>
          <w:p>
            <w:pPr>
              <w:bidi/>
              <w:spacing w:after="20" w:line="280"/>
              <w:jc w:val="right"/>
            </w:pPr>
            <w:r>
              <w:rPr>
                <w:b/>
                <w:bCs/>
                <w:color w:val="1F3B57"/>
                <w:sz w:val="20"/>
                <w:szCs w:val="20"/>
                <w:rtl/>
              </w:rPr>
              <w:t xml:space="preserve">إضافة بند · تسجيل واقعة تفاوض</w:t>
            </w:r>
          </w:p>
        </w:tc>
        <w:tc>
          <w:tcPr>
            <w:tcW w:type="dxa" w:w="33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رأس العرض · العملة · السريان</w:t>
            </w:r>
          </w:p>
        </w:tc>
        <w:tc>
          <w:tcPr>
            <w:tcW w:type="dxa" w:w="4000"/>
            <w:tcMar>
              <w:top w:type="dxa" w:w="70"/>
              <w:left w:type="dxa" w:w="95"/>
              <w:bottom w:type="dxa" w:w="70"/>
              <w:right w:type="dxa" w:w="95"/>
            </w:tcMar>
            <w:vAlign w:val="center"/>
          </w:tcPr>
          <w:p>
            <w:pPr>
              <w:bidi/>
              <w:spacing w:after="20" w:line="280"/>
              <w:jc w:val="right"/>
            </w:pPr>
            <w:r>
              <w:rPr>
                <w:b w:val="false"/>
                <w:bCs w:val="false"/>
                <w:sz w:val="19"/>
                <w:szCs w:val="19"/>
                <w:rtl/>
              </w:rPr>
              <w:t xml:space="preserve">العرض في نسخةٍ قابلةٍ للتعديل</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العرض</w:t>
            </w:r>
          </w:p>
          <w:p>
            <w:pPr>
              <w:bidi/>
              <w:spacing w:after="20" w:line="280"/>
              <w:jc w:val="right"/>
            </w:pPr>
            <w:r>
              <w:rPr>
                <w:b/>
                <w:bCs/>
                <w:color w:val="1F3B57"/>
                <w:sz w:val="20"/>
                <w:szCs w:val="20"/>
                <w:rtl/>
              </w:rPr>
              <w:t xml:space="preserve">فتح مراجعة ما قبل التعاقد</w:t>
            </w:r>
          </w:p>
        </w:tc>
        <w:tc>
          <w:tcPr>
            <w:tcW w:type="dxa" w:w="33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بنود العرض النهائية · الشروط</w:t>
            </w:r>
          </w:p>
        </w:tc>
        <w:tc>
          <w:tcPr>
            <w:tcW w:type="dxa" w:w="4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العرض مُرسَلٌ وقرار العميل مسجَّل</w:t>
            </w:r>
          </w:p>
        </w:tc>
      </w:tr>
      <w:tr>
        <w:trPr>
          <w:cantSplit/>
        </w:trPr>
        <w:tc>
          <w:tcPr>
            <w:tcW w:type="dxa" w:w="25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العرض</w:t>
            </w:r>
          </w:p>
          <w:p>
            <w:pPr>
              <w:bidi/>
              <w:spacing w:after="20" w:line="280"/>
              <w:jc w:val="right"/>
            </w:pPr>
            <w:r>
              <w:rPr>
                <w:b/>
                <w:bCs/>
                <w:color w:val="1F3B57"/>
                <w:sz w:val="20"/>
                <w:szCs w:val="20"/>
                <w:rtl/>
              </w:rPr>
              <w:t xml:space="preserve">تحويل إلى عقد</w:t>
            </w:r>
          </w:p>
        </w:tc>
        <w:tc>
          <w:tcPr>
            <w:tcW w:type="dxa" w:w="33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البنود · الأسعار · الشروط · مدة السريان</w:t>
            </w:r>
          </w:p>
        </w:tc>
        <w:tc>
          <w:tcPr>
            <w:tcW w:type="dxa" w:w="4000"/>
            <w:tcMar>
              <w:top w:type="dxa" w:w="70"/>
              <w:left w:type="dxa" w:w="95"/>
              <w:bottom w:type="dxa" w:w="70"/>
              <w:right w:type="dxa" w:w="95"/>
            </w:tcMar>
            <w:vAlign w:val="center"/>
          </w:tcPr>
          <w:p>
            <w:pPr>
              <w:bidi/>
              <w:spacing w:after="20" w:line="280"/>
              <w:jc w:val="right"/>
            </w:pPr>
            <w:r>
              <w:rPr>
                <w:b w:val="false"/>
                <w:bCs w:val="false"/>
                <w:sz w:val="19"/>
                <w:szCs w:val="19"/>
                <w:rtl/>
              </w:rPr>
              <w:t xml:space="preserve">النسخة نافذة · قبول العميل مسجَّل · مراجعة ما قبل التعاقد مكتملة · الاعتمادات تامة · لا مانع تعاقدي</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العقد</w:t>
            </w:r>
          </w:p>
          <w:p>
            <w:pPr>
              <w:bidi/>
              <w:spacing w:after="20" w:line="280"/>
              <w:jc w:val="right"/>
            </w:pPr>
            <w:r>
              <w:rPr>
                <w:b/>
                <w:bCs/>
                <w:color w:val="1F3B57"/>
                <w:sz w:val="20"/>
                <w:szCs w:val="20"/>
                <w:rtl/>
              </w:rPr>
              <w:t xml:space="preserve">تثبيت خط الأساس · توليد التغطية · إصدار ملحق</w:t>
            </w:r>
          </w:p>
        </w:tc>
        <w:tc>
          <w:tcPr>
            <w:tcW w:type="dxa" w:w="33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كود العقد · البنود · الوحدة · المستهدف</w:t>
            </w:r>
          </w:p>
        </w:tc>
        <w:tc>
          <w:tcPr>
            <w:tcW w:type="dxa" w:w="4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العقد موقَّعٌ ونافذ</w:t>
            </w:r>
          </w:p>
        </w:tc>
      </w:tr>
      <w:tr>
        <w:trPr>
          <w:cantSplit/>
        </w:trPr>
        <w:tc>
          <w:tcPr>
            <w:tcW w:type="dxa" w:w="25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العقد</w:t>
            </w:r>
          </w:p>
          <w:p>
            <w:pPr>
              <w:bidi/>
              <w:spacing w:after="20" w:line="280"/>
              <w:jc w:val="right"/>
            </w:pPr>
            <w:r>
              <w:rPr>
                <w:b/>
                <w:bCs/>
                <w:color w:val="A3151F"/>
                <w:sz w:val="20"/>
                <w:szCs w:val="20"/>
                <w:rtl/>
              </w:rPr>
              <w:t xml:space="preserve">عرض المطالبات — قراءة لا إنشاء</w:t>
            </w:r>
          </w:p>
        </w:tc>
        <w:tc>
          <w:tcPr>
            <w:tcW w:type="dxa" w:w="33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w:t>
            </w:r>
          </w:p>
        </w:tc>
        <w:tc>
          <w:tcPr>
            <w:tcW w:type="dxa" w:w="4000"/>
            <w:tcMar>
              <w:top w:type="dxa" w:w="70"/>
              <w:left w:type="dxa" w:w="95"/>
              <w:bottom w:type="dxa" w:w="70"/>
              <w:right w:type="dxa" w:w="95"/>
            </w:tcMar>
            <w:vAlign w:val="center"/>
          </w:tcPr>
          <w:p>
            <w:pPr>
              <w:bidi/>
              <w:spacing w:after="20" w:line="280"/>
              <w:jc w:val="right"/>
            </w:pPr>
            <w:r>
              <w:rPr>
                <w:b w:val="false"/>
                <w:bCs w:val="false"/>
                <w:sz w:val="19"/>
                <w:szCs w:val="19"/>
                <w:rtl/>
              </w:rPr>
              <w:t xml:space="preserve">لا تُنشأ مطالبةٌ من رأس العقد</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الأداء المعتمد</w:t>
            </w:r>
          </w:p>
          <w:p>
            <w:pPr>
              <w:bidi/>
              <w:spacing w:after="20" w:line="280"/>
              <w:jc w:val="right"/>
            </w:pPr>
            <w:r>
              <w:rPr>
                <w:b/>
                <w:bCs/>
                <w:color w:val="1F3B57"/>
                <w:sz w:val="20"/>
                <w:szCs w:val="20"/>
                <w:rtl/>
              </w:rPr>
              <w:t xml:space="preserve">إنشاء مطالبة</w:t>
            </w:r>
          </w:p>
        </w:tc>
        <w:tc>
          <w:tcPr>
            <w:tcW w:type="dxa" w:w="33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الفترة · الكمية المعتمدة · الوحدة · مرجع القياس</w:t>
            </w:r>
          </w:p>
        </w:tc>
        <w:tc>
          <w:tcPr>
            <w:tcW w:type="dxa" w:w="4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فترةٌ مقفلةٌ باعتماد الوحدات · ولا مطالبةَ سابقةً لها</w:t>
            </w:r>
          </w:p>
        </w:tc>
      </w:tr>
      <w:tr>
        <w:trPr>
          <w:cantSplit/>
        </w:trPr>
        <w:tc>
          <w:tcPr>
            <w:tcW w:type="dxa" w:w="25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احتياج التغطية</w:t>
            </w:r>
          </w:p>
          <w:p>
            <w:pPr>
              <w:bidi/>
              <w:spacing w:after="20" w:line="280"/>
              <w:jc w:val="right"/>
            </w:pPr>
            <w:r>
              <w:rPr>
                <w:b/>
                <w:bCs/>
                <w:color w:val="1F3B57"/>
                <w:sz w:val="20"/>
                <w:szCs w:val="20"/>
                <w:rtl/>
              </w:rPr>
              <w:t xml:space="preserve">بدء ترشيح مورد · إنشاء طلب عرض</w:t>
            </w:r>
          </w:p>
        </w:tc>
        <w:tc>
          <w:tcPr>
            <w:tcW w:type="dxa" w:w="33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العقد · التغطية · النوع · الوحدة · المستهدف</w:t>
            </w:r>
          </w:p>
        </w:tc>
        <w:tc>
          <w:tcPr>
            <w:tcW w:type="dxa" w:w="4000"/>
            <w:tcMar>
              <w:top w:type="dxa" w:w="70"/>
              <w:left w:type="dxa" w:w="95"/>
              <w:bottom w:type="dxa" w:w="70"/>
              <w:right w:type="dxa" w:w="95"/>
            </w:tcMar>
            <w:vAlign w:val="center"/>
          </w:tcPr>
          <w:p>
            <w:pPr>
              <w:bidi/>
              <w:spacing w:after="20" w:line="280"/>
              <w:jc w:val="right"/>
            </w:pPr>
            <w:r>
              <w:rPr>
                <w:b w:val="false"/>
                <w:bCs w:val="false"/>
                <w:sz w:val="19"/>
                <w:szCs w:val="19"/>
                <w:rtl/>
              </w:rPr>
              <w:t xml:space="preserve">وجود فجوة تغطيةٍ موجبةٍ في الاحتياج</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الترشيح المعتمد</w:t>
            </w:r>
          </w:p>
          <w:p>
            <w:pPr>
              <w:bidi/>
              <w:spacing w:after="20" w:line="280"/>
              <w:jc w:val="right"/>
            </w:pPr>
            <w:r>
              <w:rPr>
                <w:b/>
                <w:bCs/>
                <w:color w:val="1F3B57"/>
                <w:sz w:val="20"/>
                <w:szCs w:val="20"/>
                <w:rtl/>
              </w:rPr>
              <w:t xml:space="preserve">إنشاء عقد مورد</w:t>
            </w:r>
          </w:p>
        </w:tc>
        <w:tc>
          <w:tcPr>
            <w:tcW w:type="dxa" w:w="33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المورد · السعر المعروض · الاحتياج · المدة</w:t>
            </w:r>
          </w:p>
        </w:tc>
        <w:tc>
          <w:tcPr>
            <w:tcW w:type="dxa" w:w="4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فحوص التأهيل والحساب البنكي والسقف والهامش ناجحة · مراجعة ما قبل التعاقد مكتملة · الاعتماد صادر</w:t>
            </w:r>
          </w:p>
        </w:tc>
      </w:tr>
      <w:tr>
        <w:trPr>
          <w:cantSplit/>
        </w:trPr>
        <w:tc>
          <w:tcPr>
            <w:tcW w:type="dxa" w:w="25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عقد المورد</w:t>
            </w:r>
          </w:p>
          <w:p>
            <w:pPr>
              <w:bidi/>
              <w:spacing w:after="20" w:line="280"/>
              <w:jc w:val="right"/>
            </w:pPr>
            <w:r>
              <w:rPr>
                <w:b/>
                <w:bCs/>
                <w:color w:val="1F3B57"/>
                <w:sz w:val="20"/>
                <w:szCs w:val="20"/>
                <w:rtl/>
              </w:rPr>
              <w:t xml:space="preserve">إضافة بند · إنشاء حصة · إصدار ملحق</w:t>
            </w:r>
          </w:p>
        </w:tc>
        <w:tc>
          <w:tcPr>
            <w:tcW w:type="dxa" w:w="33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المورد · العقد · النوع · السعر · السريان</w:t>
            </w:r>
          </w:p>
        </w:tc>
        <w:tc>
          <w:tcPr>
            <w:tcW w:type="dxa" w:w="4000"/>
            <w:tcMar>
              <w:top w:type="dxa" w:w="70"/>
              <w:left w:type="dxa" w:w="95"/>
              <w:bottom w:type="dxa" w:w="70"/>
              <w:right w:type="dxa" w:w="95"/>
            </w:tcMar>
            <w:vAlign w:val="center"/>
          </w:tcPr>
          <w:p>
            <w:pPr>
              <w:bidi/>
              <w:spacing w:after="20" w:line="280"/>
              <w:jc w:val="right"/>
            </w:pPr>
            <w:r>
              <w:rPr>
                <w:b w:val="false"/>
                <w:bCs w:val="false"/>
                <w:sz w:val="19"/>
                <w:szCs w:val="19"/>
                <w:rtl/>
              </w:rPr>
              <w:t xml:space="preserve">العقد نافذ — ولا يُسنَد معدةٌ من رأس العقد</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الحصة والوحدة التعاقدية</w:t>
            </w:r>
          </w:p>
          <w:p>
            <w:pPr>
              <w:bidi/>
              <w:spacing w:after="20" w:line="280"/>
              <w:jc w:val="right"/>
            </w:pPr>
            <w:r>
              <w:rPr>
                <w:b/>
                <w:bCs/>
                <w:color w:val="1F3B57"/>
                <w:sz w:val="20"/>
                <w:szCs w:val="20"/>
                <w:rtl/>
              </w:rPr>
              <w:t xml:space="preserve">إسناد معدة أساسية أو احتياطية · تسجيل إحلال</w:t>
            </w:r>
          </w:p>
        </w:tc>
        <w:tc>
          <w:tcPr>
            <w:tcW w:type="dxa" w:w="33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الوحدة · التغطية · الموقع · المستهدف الشهري</w:t>
            </w:r>
          </w:p>
        </w:tc>
        <w:tc>
          <w:tcPr>
            <w:tcW w:type="dxa" w:w="4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المعدة متحققةُ الصفة وجاهزة — والإسناد لا يرفع الحصة ولا المستهدف</w:t>
            </w:r>
          </w:p>
        </w:tc>
      </w:tr>
      <w:tr>
        <w:trPr>
          <w:cantSplit/>
        </w:trPr>
        <w:tc>
          <w:tcPr>
            <w:tcW w:type="dxa" w:w="25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الوحدات المعتمدة</w:t>
            </w:r>
          </w:p>
          <w:p>
            <w:pPr>
              <w:bidi/>
              <w:spacing w:after="20" w:line="280"/>
              <w:jc w:val="right"/>
            </w:pPr>
            <w:r>
              <w:rPr>
                <w:b/>
                <w:bCs/>
                <w:color w:val="1F3B57"/>
                <w:sz w:val="20"/>
                <w:szCs w:val="20"/>
                <w:rtl/>
              </w:rPr>
              <w:t xml:space="preserve">توليد استحقاق · فتح إقفال شهري</w:t>
            </w:r>
          </w:p>
        </w:tc>
        <w:tc>
          <w:tcPr>
            <w:tcW w:type="dxa" w:w="33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المورد · العقد · الشهر · الوحدات · السعر المطبق</w:t>
            </w:r>
          </w:p>
        </w:tc>
        <w:tc>
          <w:tcPr>
            <w:tcW w:type="dxa" w:w="4000"/>
            <w:tcMar>
              <w:top w:type="dxa" w:w="70"/>
              <w:left w:type="dxa" w:w="95"/>
              <w:bottom w:type="dxa" w:w="70"/>
              <w:right w:type="dxa" w:w="95"/>
            </w:tcMar>
            <w:vAlign w:val="center"/>
          </w:tcPr>
          <w:p>
            <w:pPr>
              <w:bidi/>
              <w:spacing w:after="20" w:line="280"/>
              <w:jc w:val="right"/>
            </w:pPr>
            <w:r>
              <w:rPr>
                <w:b w:val="false"/>
                <w:bCs w:val="false"/>
                <w:sz w:val="19"/>
                <w:szCs w:val="19"/>
                <w:rtl/>
              </w:rPr>
              <w:t xml:space="preserve">اعتماد الوحدات تامٌّ للشهر</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التسوية</w:t>
            </w:r>
          </w:p>
          <w:p>
            <w:pPr>
              <w:bidi/>
              <w:spacing w:after="20" w:line="280"/>
              <w:jc w:val="right"/>
            </w:pPr>
            <w:r>
              <w:rPr>
                <w:b/>
                <w:bCs/>
                <w:color w:val="1F3B57"/>
                <w:sz w:val="20"/>
                <w:szCs w:val="20"/>
                <w:rtl/>
              </w:rPr>
              <w:t xml:space="preserve">إنشاء طلب دفع</w:t>
            </w:r>
          </w:p>
        </w:tc>
        <w:tc>
          <w:tcPr>
            <w:tcW w:type="dxa" w:w="33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صافي المستحق · العملة · الحساب البنكي · مرجع الإقفال</w:t>
            </w:r>
          </w:p>
        </w:tc>
        <w:tc>
          <w:tcPr>
            <w:tcW w:type="dxa" w:w="4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الإقفال معتمَد · الحساب البنكي متحقق · لا تجاوزَ لصافي الشهر</w:t>
            </w:r>
          </w:p>
        </w:tc>
      </w:tr>
    </w:tbl>
    <w:p>
      <w:pPr>
        <w:pStyle w:val="Heading2"/>
        <w:keepNext/>
        <w:bidi/>
        <w:spacing w:after="140" w:before="280"/>
        <w:jc w:val="right"/>
      </w:pPr>
      <w:r>
        <w:rPr>
          <w:b/>
          <w:bCs/>
          <w:rtl/>
        </w:rPr>
        <w:t xml:space="preserve">القاعدة العامة — لا إنشاء بمجرد وجود الأب</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600"/>
        <w:gridCol w:w="7200"/>
      </w:tblGrid>
      <w:tr>
        <w:trPr>
          <w:cantSplit/>
          <w:tblHeader/>
        </w:trPr>
        <w:tc>
          <w:tcPr>
            <w:tcW w:type="dxa" w:w="2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القاعدة</w:t>
            </w:r>
          </w:p>
        </w:tc>
        <w:tc>
          <w:tcPr>
            <w:tcW w:type="dxa" w:w="7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مضمونها</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وجود الأب لا يكفي</w:t>
            </w:r>
          </w:p>
        </w:tc>
        <w:tc>
          <w:tcPr>
            <w:tcW w:type="dxa" w:w="7200"/>
            <w:tcMar>
              <w:top w:type="dxa" w:w="70"/>
              <w:left w:type="dxa" w:w="95"/>
              <w:bottom w:type="dxa" w:w="70"/>
              <w:right w:type="dxa" w:w="95"/>
            </w:tcMar>
            <w:vAlign w:val="center"/>
          </w:tcPr>
          <w:p>
            <w:pPr>
              <w:bidi/>
              <w:spacing w:after="20" w:line="280"/>
              <w:jc w:val="right"/>
            </w:pPr>
            <w:r>
              <w:rPr>
                <w:b w:val="false"/>
                <w:bCs w:val="false"/>
                <w:sz w:val="20"/>
                <w:szCs w:val="20"/>
                <w:rtl/>
              </w:rPr>
              <w:t xml:space="preserve">ظهورُ زر الإنشاء لا يُبنى على وجود السجل الأب، بل على قراءة الحالة الراهنة من آلة الحالة ومحرك الاعتماد معًا.</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المعادلة الملزمة</w:t>
            </w:r>
          </w:p>
        </w:tc>
        <w:tc>
          <w:tcPr>
            <w:tcW w:type="dxa" w:w="7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إتاحة إنشاء المستند التالي = سياق الأب + انتقال حالةٍ مسموح + الاعتمادات المطلوبة + المستند المصدري اللازم.</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سلوك الزر عند التخلف</w:t>
            </w:r>
          </w:p>
        </w:tc>
        <w:tc>
          <w:tcPr>
            <w:tcW w:type="dxa" w:w="7200"/>
            <w:tcMar>
              <w:top w:type="dxa" w:w="70"/>
              <w:left w:type="dxa" w:w="95"/>
              <w:bottom w:type="dxa" w:w="70"/>
              <w:right w:type="dxa" w:w="95"/>
            </w:tcMar>
            <w:vAlign w:val="center"/>
          </w:tcPr>
          <w:p>
            <w:pPr>
              <w:bidi/>
              <w:spacing w:after="20" w:line="280"/>
              <w:jc w:val="right"/>
            </w:pPr>
            <w:r>
              <w:rPr>
                <w:b w:val="false"/>
                <w:bCs w:val="false"/>
                <w:sz w:val="20"/>
                <w:szCs w:val="20"/>
                <w:rtl/>
              </w:rPr>
              <w:t xml:space="preserve">لا يظهر الزر أصلًا، أو يظهر معطَّلًا مع سببٍ رسميٍّ مكتوب يبيّن الشرط الناقص — ولا يظهر فعّالًا ثم يفشل بعد الضغط.</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الإنفاذ في الخادم</w:t>
            </w:r>
          </w:p>
        </w:tc>
        <w:tc>
          <w:tcPr>
            <w:tcW w:type="dxa" w:w="7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الشرط نفسه يُفحص في طبقة الخدمة قبل الكتابة، لا في الواجهة وحدها — فالواجهة تُخفي والخادم يمنع.</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أثر المحاولة</w:t>
            </w:r>
          </w:p>
        </w:tc>
        <w:tc>
          <w:tcPr>
            <w:tcW w:type="dxa" w:w="7200"/>
            <w:tcMar>
              <w:top w:type="dxa" w:w="70"/>
              <w:left w:type="dxa" w:w="95"/>
              <w:bottom w:type="dxa" w:w="70"/>
              <w:right w:type="dxa" w:w="95"/>
            </w:tcMar>
            <w:vAlign w:val="center"/>
          </w:tcPr>
          <w:p>
            <w:pPr>
              <w:bidi/>
              <w:spacing w:after="20" w:line="280"/>
              <w:jc w:val="right"/>
            </w:pPr>
            <w:r>
              <w:rPr>
                <w:b w:val="false"/>
                <w:bCs w:val="false"/>
                <w:sz w:val="20"/>
                <w:szCs w:val="20"/>
                <w:rtl/>
              </w:rPr>
              <w:t xml:space="preserve">كل محاولة إنشاءٍ مرفوضة تُسجَّل بسببها في سجل الأثر، فيُقاس تكرار محاولات التجاوز.</w:t>
            </w:r>
          </w:p>
        </w:tc>
      </w:tr>
    </w:tbl>
    <w:p>
      <w:pPr>
        <w:bidi/>
        <w:spacing w:before="130"/>
        <w:jc w:val="right"/>
      </w:pPr>
      <w:r>
        <w:rPr>
          <w:b/>
          <w:bCs/>
          <w:i w:val="false"/>
          <w:iCs w:val="false"/>
          <w:sz w:val="24"/>
          <w:szCs w:val="24"/>
          <w:rtl/>
        </w:rPr>
        <w:t xml:space="preserve">وشرط القبول لهذا الباب: يفتح الموظف المستند التالي فلا يجد فارغًا إلا ما يحمل معلومةً جديدة فعلًا. وكل حقلٍ موروثٍ يُعرض للقراءة مع بيان مصدره، فإن احتاج تعديلًا فبصلاحية وبأثرٍ مسجَّل — لا بكتابةٍ حرة فوق الموروث.</w:t>
      </w:r>
    </w:p>
    <w:p>
      <w:r>
        <w:br w:type="page"/>
      </w:r>
    </w:p>
    <w:p>
      <w:pPr>
        <w:pStyle w:val="Heading1"/>
        <w:keepNext/>
        <w:bidi/>
        <w:spacing w:after="180" w:before="360"/>
        <w:jc w:val="right"/>
      </w:pPr>
      <w:r>
        <w:rPr>
          <w:b/>
          <w:bCs/>
          <w:rtl/>
        </w:rPr>
        <w:t xml:space="preserve">المراجعة العكسية — هل تكتمل الدورة بعد تطبيق هذه الوثيقة؟</w:t>
      </w:r>
    </w:p>
    <w:p>
      <w:pPr>
        <w:bidi/>
        <w:spacing w:after="130" w:line="330"/>
        <w:jc w:val="right"/>
      </w:pPr>
      <w:r>
        <w:rPr>
          <w:b w:val="false"/>
          <w:bCs w:val="false"/>
          <w:i w:val="false"/>
          <w:iCs w:val="false"/>
          <w:sz w:val="24"/>
          <w:szCs w:val="24"/>
          <w:rtl/>
        </w:rPr>
        <w:t xml:space="preserve">المراجعة العكسية على هذه الوثيقة نفسها أثبتت أن قراراتها داخل نطاق المبيعات سليمة، وأنها كانت تفترض أمرًا غير صحيح خارج نطاقها: أن سلسلة الأثر التي تغذّي مطالبات المبيعات قائمة. وهي ليست قائمة. وأربعة تصحيحات أخرى وجبت على الوثيقة.</w:t>
      </w:r>
    </w:p>
    <w:p>
      <w:pPr>
        <w:pStyle w:val="Heading2"/>
        <w:keepNext/>
        <w:bidi/>
        <w:spacing w:after="140" w:before="280"/>
        <w:jc w:val="right"/>
      </w:pPr>
      <w:r>
        <w:rPr>
          <w:b/>
          <w:bCs/>
          <w:rtl/>
        </w:rPr>
        <w:t xml:space="preserve">الجواب الصريح</w:t>
      </w:r>
    </w:p>
    <w:p>
      <w:pPr>
        <w:bidi/>
        <w:spacing w:after="130" w:line="330"/>
        <w:jc w:val="right"/>
      </w:pPr>
      <w:r>
        <w:rPr>
          <w:b w:val="false"/>
          <w:bCs w:val="false"/>
          <w:i w:val="false"/>
          <w:iCs w:val="false"/>
          <w:sz w:val="24"/>
          <w:szCs w:val="24"/>
          <w:rtl/>
        </w:rPr>
        <w:t xml:space="preserve">لا. تطبيق هذه الوثيقة يجعل إدارة المبيعات مكتملةً داخليًّا ومرتَّبةً بدورتها المستندية الصحيحة — لكنه لا يجعل دورة الإيراد مكتملة مئةً بالمئة، لأن ستَّ عشرة عقدة من تسع وعشرين في سلسلة الأثر غير مبنية، وخمس عشرة منها خارج نطاق هذه الإدارة كليًّا: تسعٌ في التشغيل وستٌّ في المالية والخزينة. فالمطالبة قائمة، ومدخلها — الوحدة المعتمدة — ليس له بوابة اعتماد مبنية، ومخرجها — الفاتورة والتحصيل — ليس له سطح تحصيل مبني.</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400"/>
        <w:gridCol w:w="2400"/>
        <w:gridCol w:w="2400"/>
        <w:gridCol w:w="2600"/>
      </w:tblGrid>
      <w:tr>
        <w:trPr>
          <w:cantSplit/>
          <w:tblHeader/>
        </w:trPr>
        <w:tc>
          <w:tcPr>
            <w:tcW w:type="dxa" w:w="24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الحصيلة</w:t>
            </w:r>
          </w:p>
        </w:tc>
        <w:tc>
          <w:tcPr>
            <w:tcW w:type="dxa" w:w="24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عقد مبنية</w:t>
            </w:r>
          </w:p>
        </w:tc>
        <w:tc>
          <w:tcPr>
            <w:tcW w:type="dxa" w:w="24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عقد غير مبنية</w:t>
            </w:r>
          </w:p>
        </w:tc>
        <w:tc>
          <w:tcPr>
            <w:tcW w:type="dxa" w:w="2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خارج نطاق هذه الإدارة</w:t>
            </w:r>
          </w:p>
        </w:tc>
      </w:tr>
      <w:tr>
        <w:trPr>
          <w:cantSplit/>
        </w:trPr>
        <w:tc>
          <w:tcPr>
            <w:tcW w:type="dxa" w:w="2400"/>
            <w:tcMar>
              <w:top w:type="dxa" w:w="70"/>
              <w:left w:type="dxa" w:w="95"/>
              <w:bottom w:type="dxa" w:w="70"/>
              <w:right w:type="dxa" w:w="95"/>
            </w:tcMar>
            <w:vAlign w:val="center"/>
          </w:tcPr>
          <w:p>
            <w:pPr>
              <w:bidi/>
              <w:spacing w:after="20" w:line="280"/>
              <w:jc w:val="right"/>
            </w:pPr>
            <w:r>
              <w:rPr>
                <w:b/>
                <w:bCs/>
                <w:sz w:val="21"/>
                <w:szCs w:val="21"/>
                <w:rtl/>
              </w:rPr>
              <w:t xml:space="preserve">سلسلة الأثر — 29 عقدة</w:t>
            </w:r>
          </w:p>
        </w:tc>
        <w:tc>
          <w:tcPr>
            <w:tcW w:type="dxa" w:w="2400"/>
            <w:tcMar>
              <w:top w:type="dxa" w:w="70"/>
              <w:left w:type="dxa" w:w="95"/>
              <w:bottom w:type="dxa" w:w="70"/>
              <w:right w:type="dxa" w:w="95"/>
            </w:tcMar>
            <w:vAlign w:val="center"/>
          </w:tcPr>
          <w:p>
            <w:pPr>
              <w:bidi w:val="false"/>
              <w:spacing w:after="20" w:line="280"/>
              <w:jc w:val="center"/>
            </w:pPr>
            <w:r>
              <w:rPr>
                <w:b/>
                <w:bCs/>
                <w:color w:val="1F6B3A"/>
                <w:sz w:val="26"/>
                <w:szCs w:val="26"/>
                <w:rtl/>
              </w:rPr>
              <w:t xml:space="preserve">13</w:t>
            </w:r>
          </w:p>
        </w:tc>
        <w:tc>
          <w:tcPr>
            <w:tcW w:type="dxa" w:w="2400"/>
            <w:tcMar>
              <w:top w:type="dxa" w:w="70"/>
              <w:left w:type="dxa" w:w="95"/>
              <w:bottom w:type="dxa" w:w="70"/>
              <w:right w:type="dxa" w:w="95"/>
            </w:tcMar>
            <w:vAlign w:val="center"/>
          </w:tcPr>
          <w:p>
            <w:pPr>
              <w:bidi w:val="false"/>
              <w:spacing w:after="20" w:line="280"/>
              <w:jc w:val="center"/>
            </w:pPr>
            <w:r>
              <w:rPr>
                <w:b/>
                <w:bCs/>
                <w:color w:val="A3151F"/>
                <w:sz w:val="26"/>
                <w:szCs w:val="26"/>
                <w:rtl/>
              </w:rPr>
              <w:t xml:space="preserve">16</w:t>
            </w:r>
          </w:p>
        </w:tc>
        <w:tc>
          <w:tcPr>
            <w:tcW w:type="dxa" w:w="2600"/>
            <w:tcMar>
              <w:top w:type="dxa" w:w="70"/>
              <w:left w:type="dxa" w:w="95"/>
              <w:bottom w:type="dxa" w:w="70"/>
              <w:right w:type="dxa" w:w="95"/>
            </w:tcMar>
            <w:vAlign w:val="center"/>
          </w:tcPr>
          <w:p>
            <w:pPr>
              <w:bidi/>
              <w:spacing w:after="20" w:line="280"/>
              <w:jc w:val="center"/>
            </w:pPr>
            <w:r>
              <w:rPr>
                <w:b/>
                <w:bCs/>
                <w:color w:val="A3151F"/>
                <w:sz w:val="21"/>
                <w:szCs w:val="21"/>
                <w:rtl/>
              </w:rPr>
              <w:t xml:space="preserve">15 من 16</w:t>
            </w:r>
          </w:p>
        </w:tc>
      </w:tr>
    </w:tbl>
    <w:p>
      <w:pPr>
        <w:bidi/>
        <w:spacing w:after="150"/>
        <w:jc w:val="right"/>
      </w:pPr>
      <w:r>
        <w:rPr>
          <w:b/>
          <w:bCs/>
          <w:i w:val="false"/>
          <w:iCs w:val="false"/>
          <w:sz w:val="24"/>
          <w:szCs w:val="24"/>
          <w:rtl/>
        </w:rPr>
        <w:t xml:space="preserve">تحقُّقٌ لاحقٌ على اللقطة </w:t>
      </w:r>
      <w:r>
        <w:rPr>
          <w:b/>
          <w:bCs/>
          <w:i w:val="false"/>
          <w:iCs w:val="false"/>
          <w:sz w:val="24"/>
          <w:szCs w:val="24"/>
          <w:rtl w:val="false"/>
        </w:rPr>
        <w:t xml:space="preserve">BL-20260821b:</w:t>
      </w:r>
      <w:r>
        <w:rPr>
          <w:b/>
          <w:bCs/>
          <w:i w:val="false"/>
          <w:iCs w:val="false"/>
          <w:sz w:val="24"/>
          <w:szCs w:val="24"/>
          <w:rtl/>
        </w:rPr>
        <w:t xml:space="preserve"> صار لكيان العقد سلّمُ اعتمادٍ في المحرك (</w:t>
      </w:r>
      <w:r>
        <w:rPr>
          <w:b/>
          <w:bCs/>
          <w:i w:val="false"/>
          <w:iCs w:val="false"/>
          <w:sz w:val="24"/>
          <w:szCs w:val="24"/>
          <w:rtl w:val="false"/>
        </w:rPr>
        <w:t xml:space="preserve">LD-14</w:t>
      </w:r>
      <w:r>
        <w:rPr>
          <w:b/>
          <w:bCs/>
          <w:i w:val="false"/>
          <w:iCs w:val="false"/>
          <w:sz w:val="24"/>
          <w:szCs w:val="24"/>
          <w:rtl/>
        </w:rPr>
        <w:t xml:space="preserve">) — وهو ما يسند بوابة تحويل العرض إلى عقد سندًا حيًّا؛ والفوترةُ ما تزال صفرًا مطلقًا على القرص فتبقى محطتها اعتماديةً خارجية كما قررت الوثيقة.</w:t>
      </w:r>
    </w:p>
    <w:p>
      <w:pPr>
        <w:pStyle w:val="Heading2"/>
        <w:keepNext/>
        <w:bidi/>
        <w:spacing w:after="140" w:before="280"/>
        <w:jc w:val="right"/>
      </w:pPr>
      <w:r>
        <w:rPr>
          <w:b/>
          <w:bCs/>
          <w:rtl/>
        </w:rPr>
        <w:t xml:space="preserve">تصحيحات المراجعة العكسية على قرارات هذه الوثيقة</w:t>
      </w:r>
    </w:p>
    <w:p>
      <w:pPr>
        <w:bidi/>
        <w:spacing w:after="130" w:line="330"/>
        <w:jc w:val="right"/>
      </w:pPr>
      <w:r>
        <w:rPr>
          <w:b w:val="false"/>
          <w:bCs w:val="false"/>
          <w:i w:val="false"/>
          <w:iCs w:val="false"/>
          <w:sz w:val="24"/>
          <w:szCs w:val="24"/>
          <w:rtl/>
        </w:rPr>
        <w:t xml:space="preserve">هذه أخطاء وقعت في النسخة الأولى من الوثيقة، صُحّحت هنا وسرت على جداولها كلها — والقاعدة التي كسرتها هي القاعدة نفسها التي تفرضها الوثيقة: لا يُعلَن نقصٌ قبل استنفاد البحث عن المكافئ.</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900"/>
        <w:gridCol w:w="3400"/>
        <w:gridCol w:w="3500"/>
      </w:tblGrid>
      <w:tr>
        <w:trPr>
          <w:cantSplit/>
          <w:tblHeader/>
        </w:trPr>
        <w:tc>
          <w:tcPr>
            <w:tcW w:type="dxa" w:w="2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التصحيح</w:t>
            </w:r>
          </w:p>
        </w:tc>
        <w:tc>
          <w:tcPr>
            <w:tcW w:type="dxa" w:w="34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ما كان وما ثبت</w:t>
            </w:r>
          </w:p>
        </w:tc>
        <w:tc>
          <w:tcPr>
            <w:tcW w:type="dxa" w:w="35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الحكم بعد التصحيح</w:t>
            </w:r>
          </w:p>
        </w:tc>
      </w:tr>
      <w:tr>
        <w:trPr>
          <w:cantSplit/>
        </w:trPr>
        <w:tc>
          <w:tcPr>
            <w:tcW w:type="dxa" w:w="2900"/>
            <w:tcMar>
              <w:top w:type="dxa" w:w="70"/>
              <w:left w:type="dxa" w:w="95"/>
              <w:bottom w:type="dxa" w:w="70"/>
              <w:right w:type="dxa" w:w="95"/>
            </w:tcMar>
            <w:vAlign w:val="center"/>
          </w:tcPr>
          <w:p>
            <w:pPr>
              <w:bidi/>
              <w:spacing w:after="20" w:line="280"/>
              <w:jc w:val="right"/>
            </w:pPr>
            <w:r>
              <w:rPr>
                <w:b/>
                <w:bCs/>
                <w:color w:val="A3151F"/>
                <w:sz w:val="21"/>
                <w:szCs w:val="21"/>
                <w:rtl/>
              </w:rPr>
              <w:t xml:space="preserve">ت-1 — آليات تعديل السعر ليست مفقودة</w:t>
            </w:r>
          </w:p>
          <w:p>
            <w:pPr>
              <w:bidi w:val="false"/>
              <w:spacing w:after="20" w:line="280"/>
              <w:jc w:val="left"/>
            </w:pPr>
            <w:r>
              <w:rPr>
                <w:b w:val="false"/>
                <w:bCs w:val="false"/>
                <w:color w:val="5A6B7B"/>
                <w:sz w:val="17"/>
                <w:szCs w:val="17"/>
                <w:rtl w:val="false"/>
              </w:rPr>
              <w:t xml:space="preserve">price_adjust</w:t>
            </w:r>
            <w:r>
              <w:rPr>
                <w:b w:val="false"/>
                <w:bCs w:val="false"/>
                <w:color w:val="5A6B7B"/>
                <w:sz w:val="17"/>
                <w:szCs w:val="17"/>
                <w:rtl/>
              </w:rPr>
              <w:t xml:space="preserve"> → </w:t>
            </w:r>
            <w:r>
              <w:rPr>
                <w:b w:val="false"/>
                <w:bCs w:val="false"/>
                <w:color w:val="5A6B7B"/>
                <w:sz w:val="17"/>
                <w:szCs w:val="17"/>
                <w:rtl w:val="false"/>
              </w:rPr>
              <w:t xml:space="preserve">price_terms.php</w:t>
            </w:r>
          </w:p>
        </w:tc>
        <w:tc>
          <w:tcPr>
            <w:tcW w:type="dxa" w:w="3400"/>
            <w:tcMar>
              <w:top w:type="dxa" w:w="70"/>
              <w:left w:type="dxa" w:w="95"/>
              <w:bottom w:type="dxa" w:w="70"/>
              <w:right w:type="dxa" w:w="95"/>
            </w:tcMar>
            <w:vAlign w:val="center"/>
          </w:tcPr>
          <w:p>
            <w:pPr>
              <w:bidi/>
              <w:spacing w:after="20" w:line="280"/>
              <w:jc w:val="right"/>
            </w:pPr>
            <w:r>
              <w:rPr>
                <w:b w:val="false"/>
                <w:bCs w:val="false"/>
                <w:sz w:val="20"/>
                <w:szCs w:val="20"/>
                <w:rtl/>
              </w:rPr>
              <w:t xml:space="preserve">أُعلنت قدرةً محكومة مفقودة، والفحص العكسي أثبت أنها قائمة على القرص باسم مسار مختلف عن اسمها في دفتر الدورة.</w:t>
            </w:r>
          </w:p>
        </w:tc>
        <w:tc>
          <w:tcPr>
            <w:tcW w:type="dxa" w:w="3500"/>
            <w:tcMar>
              <w:top w:type="dxa" w:w="70"/>
              <w:left w:type="dxa" w:w="95"/>
              <w:bottom w:type="dxa" w:w="70"/>
              <w:right w:type="dxa" w:w="95"/>
            </w:tcMar>
            <w:vAlign w:val="center"/>
          </w:tcPr>
          <w:p>
            <w:pPr>
              <w:bidi/>
              <w:spacing w:after="20" w:line="280"/>
              <w:jc w:val="right"/>
            </w:pPr>
            <w:r>
              <w:rPr>
                <w:b w:val="false"/>
                <w:bCs w:val="false"/>
                <w:sz w:val="20"/>
                <w:szCs w:val="20"/>
                <w:rtl/>
              </w:rPr>
              <w:t xml:space="preserve">يُصحَّح القرار إلى شاشة قائمة تُعاد تسميتها وتُسجَّل في الدورة، ويُحذف بندها من قائمة النقص.</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color w:val="A3151F"/>
                <w:sz w:val="21"/>
                <w:szCs w:val="21"/>
                <w:rtl/>
              </w:rPr>
              <w:t xml:space="preserve">ت-2 — فواتير العملاء ليست مفقودة</w:t>
            </w:r>
          </w:p>
          <w:p>
            <w:pPr>
              <w:bidi w:val="false"/>
              <w:spacing w:after="20" w:line="280"/>
              <w:jc w:val="left"/>
            </w:pPr>
            <w:r>
              <w:rPr>
                <w:b w:val="false"/>
                <w:bCs w:val="false"/>
                <w:color w:val="5A6B7B"/>
                <w:sz w:val="17"/>
                <w:szCs w:val="17"/>
                <w:rtl w:val="false"/>
              </w:rPr>
              <w:t xml:space="preserve">invoices</w:t>
            </w:r>
            <w:r>
              <w:rPr>
                <w:b w:val="false"/>
                <w:bCs w:val="false"/>
                <w:color w:val="5A6B7B"/>
                <w:sz w:val="17"/>
                <w:szCs w:val="17"/>
                <w:rtl/>
              </w:rPr>
              <w:t xml:space="preserve"> → </w:t>
            </w:r>
            <w:r>
              <w:rPr>
                <w:b w:val="false"/>
                <w:bCs w:val="false"/>
                <w:color w:val="5A6B7B"/>
                <w:sz w:val="17"/>
                <w:szCs w:val="17"/>
                <w:rtl w:val="false"/>
              </w:rPr>
              <w:t xml:space="preserve">tax_invoices.php</w:t>
            </w:r>
          </w:p>
        </w:tc>
        <w:tc>
          <w:tcPr>
            <w:tcW w:type="dxa" w:w="34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مسار الفوترة مسجَّل باسم لا وجود له، والفاتورة الرسمية قائمة فعلًا وبيتها المالية.</w:t>
            </w:r>
          </w:p>
        </w:tc>
        <w:tc>
          <w:tcPr>
            <w:tcW w:type="dxa" w:w="35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يبقى الحكم أن الفوترة بيت المالية — ويُصحَّح وصفها من غير مبنية إلى قائمة عند مالكها.</w:t>
            </w:r>
          </w:p>
        </w:tc>
      </w:tr>
      <w:tr>
        <w:trPr>
          <w:cantSplit/>
        </w:trPr>
        <w:tc>
          <w:tcPr>
            <w:tcW w:type="dxa" w:w="2900"/>
            <w:tcMar>
              <w:top w:type="dxa" w:w="70"/>
              <w:left w:type="dxa" w:w="95"/>
              <w:bottom w:type="dxa" w:w="70"/>
              <w:right w:type="dxa" w:w="95"/>
            </w:tcMar>
            <w:vAlign w:val="center"/>
          </w:tcPr>
          <w:p>
            <w:pPr>
              <w:bidi/>
              <w:spacing w:after="20" w:line="280"/>
              <w:jc w:val="right"/>
            </w:pPr>
            <w:r>
              <w:rPr>
                <w:b/>
                <w:bCs/>
                <w:color w:val="A3151F"/>
                <w:sz w:val="21"/>
                <w:szCs w:val="21"/>
                <w:rtl/>
              </w:rPr>
              <w:t xml:space="preserve">ت-3 — الوحدات التعاقدية المرقَّمة تحتاج إثبات تكافؤ</w:t>
            </w:r>
          </w:p>
          <w:p>
            <w:pPr>
              <w:bidi w:val="false"/>
              <w:spacing w:after="20" w:line="280"/>
              <w:jc w:val="left"/>
            </w:pPr>
            <w:r>
              <w:rPr>
                <w:b w:val="false"/>
                <w:bCs w:val="false"/>
                <w:color w:val="5A6B7B"/>
                <w:sz w:val="17"/>
                <w:szCs w:val="17"/>
                <w:rtl w:val="false"/>
              </w:rPr>
              <w:t xml:space="preserve">units.php</w:t>
            </w:r>
            <w:r>
              <w:rPr>
                <w:b w:val="false"/>
                <w:bCs w:val="false"/>
                <w:color w:val="5A6B7B"/>
                <w:sz w:val="17"/>
                <w:szCs w:val="17"/>
                <w:rtl/>
              </w:rPr>
              <w:t xml:space="preserve"> </w:t>
            </w:r>
            <w:r>
              <w:rPr>
                <w:b w:val="false"/>
                <w:bCs w:val="false"/>
                <w:color w:val="5A6B7B"/>
                <w:sz w:val="17"/>
                <w:szCs w:val="17"/>
                <w:rtl w:val="false"/>
              </w:rPr>
              <w:t xml:space="preserve">vs</w:t>
            </w:r>
            <w:r>
              <w:rPr>
                <w:b w:val="false"/>
                <w:bCs w:val="false"/>
                <w:color w:val="5A6B7B"/>
                <w:sz w:val="17"/>
                <w:szCs w:val="17"/>
                <w:rtl/>
              </w:rPr>
              <w:t xml:space="preserve"> </w:t>
            </w:r>
            <w:r>
              <w:rPr>
                <w:b w:val="false"/>
                <w:bCs w:val="false"/>
                <w:color w:val="5A6B7B"/>
                <w:sz w:val="17"/>
                <w:szCs w:val="17"/>
                <w:rtl w:val="false"/>
              </w:rPr>
              <w:t xml:space="preserve">containers.php</w:t>
            </w:r>
          </w:p>
        </w:tc>
        <w:tc>
          <w:tcPr>
            <w:tcW w:type="dxa" w:w="3400"/>
            <w:tcMar>
              <w:top w:type="dxa" w:w="70"/>
              <w:left w:type="dxa" w:w="95"/>
              <w:bottom w:type="dxa" w:w="70"/>
              <w:right w:type="dxa" w:w="95"/>
            </w:tcMar>
            <w:vAlign w:val="center"/>
          </w:tcPr>
          <w:p>
            <w:pPr>
              <w:bidi/>
              <w:spacing w:after="20" w:line="280"/>
              <w:jc w:val="right"/>
            </w:pPr>
            <w:r>
              <w:rPr>
                <w:b w:val="false"/>
                <w:bCs w:val="false"/>
                <w:sz w:val="20"/>
                <w:szCs w:val="20"/>
                <w:rtl/>
              </w:rPr>
              <w:t xml:space="preserve">أُعلنت مفقودة، والفحص أظهر أن وظيفتها قد تكون مدمجة في شاشة إسناد المعدات للوحدات في التشغيل.</w:t>
            </w:r>
          </w:p>
        </w:tc>
        <w:tc>
          <w:tcPr>
            <w:tcW w:type="dxa" w:w="3500"/>
            <w:tcMar>
              <w:top w:type="dxa" w:w="70"/>
              <w:left w:type="dxa" w:w="95"/>
              <w:bottom w:type="dxa" w:w="70"/>
              <w:right w:type="dxa" w:w="95"/>
            </w:tcMar>
            <w:vAlign w:val="center"/>
          </w:tcPr>
          <w:p>
            <w:pPr>
              <w:bidi/>
              <w:spacing w:after="20" w:line="280"/>
              <w:jc w:val="right"/>
            </w:pPr>
            <w:r>
              <w:rPr>
                <w:b w:val="false"/>
                <w:bCs w:val="false"/>
                <w:sz w:val="20"/>
                <w:szCs w:val="20"/>
                <w:rtl/>
              </w:rPr>
              <w:t xml:space="preserve">لا تُبنى قبل إثبات عدم التكافؤ مع الشاشة القائمة — وهذا هو نص البند الثالث نفسه.</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color w:val="A3151F"/>
                <w:sz w:val="21"/>
                <w:szCs w:val="21"/>
                <w:rtl/>
              </w:rPr>
              <w:t xml:space="preserve">ت-4 — محطة التحصيل بلا مصدر إسقاط</w:t>
            </w:r>
          </w:p>
          <w:p>
            <w:pPr>
              <w:bidi w:val="false"/>
              <w:spacing w:after="20" w:line="280"/>
              <w:jc w:val="left"/>
            </w:pPr>
            <w:r>
              <w:rPr>
                <w:b w:val="false"/>
                <w:bCs w:val="false"/>
                <w:color w:val="5A6B7B"/>
                <w:sz w:val="17"/>
                <w:szCs w:val="17"/>
                <w:rtl w:val="false"/>
              </w:rPr>
              <w:t xml:space="preserve">tre_receipts.php</w:t>
            </w:r>
          </w:p>
        </w:tc>
        <w:tc>
          <w:tcPr>
            <w:tcW w:type="dxa" w:w="34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الوثيقة توجب عرض حالة التحصيل إسقاطًا من المالية — وسند القبض والتحصيل غير مبني أصلًا.</w:t>
            </w:r>
          </w:p>
        </w:tc>
        <w:tc>
          <w:tcPr>
            <w:tcW w:type="dxa" w:w="35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يُعلَن الإسقاط معلَّقًا على بناء مصدره، وتُعرض حالة المطالبة بدلًا منه حتى ذلك الحين.</w:t>
            </w:r>
          </w:p>
        </w:tc>
      </w:tr>
      <w:tr>
        <w:trPr>
          <w:cantSplit/>
        </w:trPr>
        <w:tc>
          <w:tcPr>
            <w:tcW w:type="dxa" w:w="2900"/>
            <w:tcMar>
              <w:top w:type="dxa" w:w="70"/>
              <w:left w:type="dxa" w:w="95"/>
              <w:bottom w:type="dxa" w:w="70"/>
              <w:right w:type="dxa" w:w="95"/>
            </w:tcMar>
            <w:vAlign w:val="center"/>
          </w:tcPr>
          <w:p>
            <w:pPr>
              <w:bidi/>
              <w:spacing w:after="20" w:line="280"/>
              <w:jc w:val="right"/>
            </w:pPr>
            <w:r>
              <w:rPr>
                <w:b/>
                <w:bCs/>
                <w:color w:val="A3151F"/>
                <w:sz w:val="21"/>
                <w:szCs w:val="21"/>
                <w:rtl/>
              </w:rPr>
              <w:t xml:space="preserve">ت-5 — الاعتماد التجاري للوحدة: موضعٌ لا ملكية</w:t>
            </w:r>
          </w:p>
          <w:p>
            <w:pPr>
              <w:bidi w:val="false"/>
              <w:spacing w:after="20" w:line="280"/>
              <w:jc w:val="left"/>
            </w:pPr>
            <w:r>
              <w:rPr>
                <w:b w:val="false"/>
                <w:bCs w:val="false"/>
                <w:color w:val="5A6B7B"/>
                <w:sz w:val="17"/>
                <w:szCs w:val="17"/>
                <w:rtl w:val="false"/>
              </w:rPr>
              <w:t xml:space="preserve">unit_sales_gate.php</w:t>
            </w:r>
            <w:r>
              <w:rPr>
                <w:b w:val="false"/>
                <w:bCs w:val="false"/>
                <w:color w:val="5A6B7B"/>
                <w:sz w:val="17"/>
                <w:szCs w:val="17"/>
                <w:rtl/>
              </w:rPr>
              <w:t xml:space="preserve"> · </w:t>
            </w:r>
            <w:r>
              <w:rPr>
                <w:b w:val="false"/>
                <w:bCs w:val="false"/>
                <w:color w:val="5A6B7B"/>
                <w:sz w:val="17"/>
                <w:szCs w:val="17"/>
                <w:rtl w:val="false"/>
              </w:rPr>
              <w:t xml:space="preserve">LD-02</w:t>
            </w:r>
          </w:p>
        </w:tc>
        <w:tc>
          <w:tcPr>
            <w:tcW w:type="dxa" w:w="3400"/>
            <w:tcMar>
              <w:top w:type="dxa" w:w="70"/>
              <w:left w:type="dxa" w:w="95"/>
              <w:bottom w:type="dxa" w:w="70"/>
              <w:right w:type="dxa" w:w="95"/>
            </w:tcMar>
            <w:vAlign w:val="center"/>
          </w:tcPr>
          <w:p>
            <w:pPr>
              <w:bidi/>
              <w:spacing w:after="20" w:line="280"/>
              <w:jc w:val="right"/>
            </w:pPr>
            <w:r>
              <w:rPr>
                <w:b w:val="false"/>
                <w:bCs w:val="false"/>
                <w:sz w:val="20"/>
                <w:szCs w:val="20"/>
                <w:rtl/>
              </w:rPr>
              <w:t xml:space="preserve">موضعُها التقني محرك الوحدات في نطاق التشغيل، وأما ملكيةُ العملية فللمبيعات والعقود وفق السلّم الحاكم. وكان النص الأول ينسبها إلى التشغيل ملكيةً — وهو خلطٌ بين الهندسة والحوكمة.</w:t>
            </w:r>
          </w:p>
        </w:tc>
        <w:tc>
          <w:tcPr>
            <w:tcW w:type="dxa" w:w="3500"/>
            <w:tcMar>
              <w:top w:type="dxa" w:w="70"/>
              <w:left w:type="dxa" w:w="95"/>
              <w:bottom w:type="dxa" w:w="70"/>
              <w:right w:type="dxa" w:w="95"/>
            </w:tcMar>
            <w:vAlign w:val="center"/>
          </w:tcPr>
          <w:p>
            <w:pPr>
              <w:bidi/>
              <w:spacing w:after="20" w:line="280"/>
              <w:jc w:val="right"/>
            </w:pPr>
            <w:r>
              <w:rPr>
                <w:b w:val="false"/>
                <w:bCs w:val="false"/>
                <w:sz w:val="20"/>
                <w:szCs w:val="20"/>
                <w:rtl/>
              </w:rPr>
              <w:t xml:space="preserve">تُنقل إلى جدول الاعتماديات الخارجية بموضعها التقني ومالك عمليتها وسلّمها، ولا تُوصف بأنها مملوكة للتشغيل.</w:t>
            </w:r>
          </w:p>
        </w:tc>
      </w:tr>
    </w:tbl>
    <w:p>
      <w:pPr>
        <w:pStyle w:val="Heading2"/>
        <w:keepNext/>
        <w:bidi/>
        <w:spacing w:after="140" w:before="280"/>
        <w:jc w:val="right"/>
      </w:pPr>
      <w:r>
        <w:rPr>
          <w:b/>
          <w:bCs/>
          <w:rtl/>
        </w:rPr>
        <w:t xml:space="preserve">سلسلة الأثر من إدخال واحد — تتبّع أمامي وعكسي</w:t>
      </w:r>
    </w:p>
    <w:p>
      <w:pPr>
        <w:bidi/>
        <w:spacing w:after="130" w:line="330"/>
        <w:jc w:val="right"/>
      </w:pPr>
      <w:r>
        <w:rPr>
          <w:b w:val="false"/>
          <w:bCs w:val="false"/>
          <w:i w:val="false"/>
          <w:iCs w:val="false"/>
          <w:sz w:val="24"/>
          <w:szCs w:val="24"/>
          <w:rtl/>
        </w:rPr>
        <w:t xml:space="preserve">هذا هو اختبار الترابط الحقيقي: ساعةٌ واحدة تُدخَل مرة واحدة في الموقع، فتظهر في كل موضع ذي صلة بلا إعادة إدخال. والتتبّع الأمامي يبدأ من التايم شيت وينتهي عند التحصيل والصرف؛ والتتبّع العكسي يبدأ من الاستحقاق ويرجع حتى الواقعة الأصلية. وكل عقدة غير مبنية هي قطعٌ في السلسلة، لا نقصُ شاشةٍ فحسب.</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3000"/>
        <w:gridCol w:w="4300"/>
        <w:gridCol w:w="2500"/>
      </w:tblGrid>
      <w:tr>
        <w:trPr>
          <w:cantSplit/>
          <w:tblHeader/>
        </w:trPr>
        <w:tc>
          <w:tcPr>
            <w:tcW w:type="dxa" w:w="30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العقدة وموضعها التقني</w:t>
            </w:r>
          </w:p>
        </w:tc>
        <w:tc>
          <w:tcPr>
            <w:tcW w:type="dxa" w:w="43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دورها في السلسلة</w:t>
            </w:r>
          </w:p>
        </w:tc>
        <w:tc>
          <w:tcPr>
            <w:tcW w:type="dxa" w:w="25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الحالة</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1. تسجيل التايم شيت والإنتاج</w:t>
            </w:r>
          </w:p>
          <w:p>
            <w:pPr>
              <w:bidi/>
              <w:spacing w:after="20" w:line="280"/>
              <w:jc w:val="right"/>
            </w:pPr>
            <w:r>
              <w:rPr>
                <w:b w:val="false"/>
                <w:bCs w:val="false"/>
                <w:color w:val="5A6B7B"/>
                <w:sz w:val="18"/>
                <w:szCs w:val="18"/>
                <w:rtl/>
              </w:rPr>
              <w:t xml:space="preserve">نطاق الموقع</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الإدخال الوحيد للواقعة: ساعة أو طن أو متر</w:t>
            </w:r>
          </w:p>
        </w:tc>
        <w:tc>
          <w:tcPr>
            <w:tcW w:type="dxa" w:w="2500"/>
            <w:tcMar>
              <w:top w:type="dxa" w:w="70"/>
              <w:left w:type="dxa" w:w="95"/>
              <w:bottom w:type="dxa" w:w="70"/>
              <w:right w:type="dxa" w:w="95"/>
            </w:tcMar>
            <w:vAlign w:val="center"/>
          </w:tcPr>
          <w:p>
            <w:pPr>
              <w:bidi/>
              <w:spacing w:after="20" w:line="280"/>
              <w:jc w:val="right"/>
            </w:pPr>
            <w:r>
              <w:rPr>
                <w:b w:val="false"/>
                <w:bCs w:val="false"/>
                <w:color w:val="1F6B3A"/>
                <w:sz w:val="20"/>
                <w:szCs w:val="20"/>
                <w:rtl/>
              </w:rPr>
              <w:t xml:space="preserve">مبنية</w:t>
            </w:r>
          </w:p>
          <w:p>
            <w:pPr>
              <w:bidi w:val="false"/>
              <w:spacing w:after="20" w:line="280"/>
              <w:jc w:val="left"/>
            </w:pPr>
            <w:r>
              <w:rPr>
                <w:b w:val="false"/>
                <w:bCs w:val="false"/>
                <w:color w:val="5A6B7B"/>
                <w:sz w:val="17"/>
                <w:szCs w:val="17"/>
                <w:rtl w:val="false"/>
              </w:rPr>
              <w:t xml:space="preserve">timesheet.php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2. إدخال وحدات العمل اليومية</w:t>
            </w:r>
          </w:p>
          <w:p>
            <w:pPr>
              <w:bidi/>
              <w:spacing w:after="20" w:line="280"/>
              <w:jc w:val="right"/>
            </w:pPr>
            <w:r>
              <w:rPr>
                <w:b w:val="false"/>
                <w:bCs w:val="false"/>
                <w:color w:val="5A6B7B"/>
                <w:sz w:val="18"/>
                <w:szCs w:val="18"/>
                <w:rtl/>
              </w:rPr>
              <w:t xml:space="preserve">محرك الوحدات</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تحويل الواقعة إلى وحدة يومية مرقَّمة</w:t>
            </w:r>
          </w:p>
        </w:tc>
        <w:tc>
          <w:tcPr>
            <w:tcW w:type="dxa" w:w="2500"/>
            <w:shd w:fill="F2F6FA" w:color="auto" w:val="clear"/>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unit_entry.php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3. الاعتماد اليومي لرفع الوحدات</w:t>
            </w:r>
          </w:p>
          <w:p>
            <w:pPr>
              <w:bidi/>
              <w:spacing w:after="20" w:line="280"/>
              <w:jc w:val="right"/>
            </w:pPr>
            <w:r>
              <w:rPr>
                <w:b w:val="false"/>
                <w:bCs w:val="false"/>
                <w:color w:val="5A6B7B"/>
                <w:sz w:val="18"/>
                <w:szCs w:val="18"/>
                <w:rtl/>
              </w:rPr>
              <w:t xml:space="preserve">محرك الوحدات</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بوابة مدير الموقع قبل أي رفع</w:t>
            </w:r>
          </w:p>
        </w:tc>
        <w:tc>
          <w:tcPr>
            <w:tcW w:type="dxa" w:w="2500"/>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unit_daily_approve.php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4. مطابقة بيانات العميل</w:t>
            </w:r>
          </w:p>
          <w:p>
            <w:pPr>
              <w:bidi/>
              <w:spacing w:after="20" w:line="280"/>
              <w:jc w:val="right"/>
            </w:pPr>
            <w:r>
              <w:rPr>
                <w:b w:val="false"/>
                <w:bCs w:val="false"/>
                <w:color w:val="5A6B7B"/>
                <w:sz w:val="18"/>
                <w:szCs w:val="18"/>
                <w:rtl/>
              </w:rPr>
              <w:t xml:space="preserve">محرك الوحدات</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مطابقة الوحدة بعقد العميل والتزامه</w:t>
            </w:r>
          </w:p>
        </w:tc>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1F6B3A"/>
                <w:sz w:val="20"/>
                <w:szCs w:val="20"/>
                <w:rtl/>
              </w:rPr>
              <w:t xml:space="preserve">مبنية</w:t>
            </w:r>
          </w:p>
          <w:p>
            <w:pPr>
              <w:bidi w:val="false"/>
              <w:spacing w:after="20" w:line="280"/>
              <w:jc w:val="left"/>
            </w:pPr>
            <w:r>
              <w:rPr>
                <w:b w:val="false"/>
                <w:bCs w:val="false"/>
                <w:color w:val="5A6B7B"/>
                <w:sz w:val="17"/>
                <w:szCs w:val="17"/>
                <w:rtl w:val="false"/>
              </w:rPr>
              <w:t xml:space="preserve">unit_client_match.php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5. بوابة اعتماد المبيعات</w:t>
            </w:r>
          </w:p>
          <w:p>
            <w:pPr>
              <w:bidi/>
              <w:spacing w:after="20" w:line="280"/>
              <w:jc w:val="right"/>
            </w:pPr>
            <w:r>
              <w:rPr>
                <w:b w:val="false"/>
                <w:bCs w:val="false"/>
                <w:color w:val="5A6B7B"/>
                <w:sz w:val="18"/>
                <w:szCs w:val="18"/>
                <w:rtl/>
              </w:rPr>
              <w:t xml:space="preserve">محرك الوحدات</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اعتماد الجانب التجاري للوحدة</w:t>
            </w:r>
          </w:p>
        </w:tc>
        <w:tc>
          <w:tcPr>
            <w:tcW w:type="dxa" w:w="2500"/>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unit_sales_gate.php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6. اعتماد وحدات الموردين</w:t>
            </w:r>
          </w:p>
          <w:p>
            <w:pPr>
              <w:bidi/>
              <w:spacing w:after="20" w:line="280"/>
              <w:jc w:val="right"/>
            </w:pPr>
            <w:r>
              <w:rPr>
                <w:b w:val="false"/>
                <w:bCs w:val="false"/>
                <w:color w:val="5A6B7B"/>
                <w:sz w:val="18"/>
                <w:szCs w:val="18"/>
                <w:rtl/>
              </w:rPr>
              <w:t xml:space="preserve">محرك الوحدات</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اعتماد ما ينسب لحصة المورد ومعداته</w:t>
            </w:r>
          </w:p>
        </w:tc>
        <w:tc>
          <w:tcPr>
            <w:tcW w:type="dxa" w:w="2500"/>
            <w:shd w:fill="F2F6FA" w:color="auto" w:val="clear"/>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unit_supplier_approve.php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7. اعتماد وحدات المشغّلين</w:t>
            </w:r>
          </w:p>
          <w:p>
            <w:pPr>
              <w:bidi/>
              <w:spacing w:after="20" w:line="280"/>
              <w:jc w:val="right"/>
            </w:pPr>
            <w:r>
              <w:rPr>
                <w:b w:val="false"/>
                <w:bCs w:val="false"/>
                <w:color w:val="5A6B7B"/>
                <w:sz w:val="18"/>
                <w:szCs w:val="18"/>
                <w:rtl/>
              </w:rPr>
              <w:t xml:space="preserve">محرك الوحدات</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اعتماد ما ينسب لمشغّل ووردية</w:t>
            </w:r>
          </w:p>
        </w:tc>
        <w:tc>
          <w:tcPr>
            <w:tcW w:type="dxa" w:w="2500"/>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unit_workforce_approve.php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8. الاعتماد المالي الأولي</w:t>
            </w:r>
          </w:p>
          <w:p>
            <w:pPr>
              <w:bidi/>
              <w:spacing w:after="20" w:line="280"/>
              <w:jc w:val="right"/>
            </w:pPr>
            <w:r>
              <w:rPr>
                <w:b w:val="false"/>
                <w:bCs w:val="false"/>
                <w:color w:val="5A6B7B"/>
                <w:sz w:val="18"/>
                <w:szCs w:val="18"/>
                <w:rtl/>
              </w:rPr>
              <w:t xml:space="preserve">محرك الوحدات المشترك</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أول تحويل للواقعة إلى أثر مالي</w:t>
            </w:r>
          </w:p>
        </w:tc>
        <w:tc>
          <w:tcPr>
            <w:tcW w:type="dxa" w:w="2500"/>
            <w:shd w:fill="F2F6FA" w:color="auto" w:val="clear"/>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unit_fin_prelim.php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9. الاعتماد المالي النهائي</w:t>
            </w:r>
          </w:p>
          <w:p>
            <w:pPr>
              <w:bidi/>
              <w:spacing w:after="20" w:line="280"/>
              <w:jc w:val="right"/>
            </w:pPr>
            <w:r>
              <w:rPr>
                <w:b w:val="false"/>
                <w:bCs w:val="false"/>
                <w:color w:val="5A6B7B"/>
                <w:sz w:val="18"/>
                <w:szCs w:val="18"/>
                <w:rtl/>
              </w:rPr>
              <w:t xml:space="preserve">محرك الوحدات المشترك</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قفل الأثر المالي للفترة</w:t>
            </w:r>
          </w:p>
        </w:tc>
        <w:tc>
          <w:tcPr>
            <w:tcW w:type="dxa" w:w="2500"/>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unit_fin_final.php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10. كشف التايم شيت — العميل</w:t>
            </w:r>
          </w:p>
          <w:p>
            <w:pPr>
              <w:bidi/>
              <w:spacing w:after="20" w:line="280"/>
              <w:jc w:val="right"/>
            </w:pPr>
            <w:r>
              <w:rPr>
                <w:b w:val="false"/>
                <w:bCs w:val="false"/>
                <w:color w:val="5A6B7B"/>
                <w:sz w:val="18"/>
                <w:szCs w:val="18"/>
                <w:rtl/>
              </w:rPr>
              <w:t xml:space="preserve">محرك الوحدات</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منظر العميل من الواقعة الواحدة</w:t>
            </w:r>
          </w:p>
        </w:tc>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1F6B3A"/>
                <w:sz w:val="20"/>
                <w:szCs w:val="20"/>
                <w:rtl/>
              </w:rPr>
              <w:t xml:space="preserve">مبنية</w:t>
            </w:r>
          </w:p>
          <w:p>
            <w:pPr>
              <w:bidi w:val="false"/>
              <w:spacing w:after="20" w:line="280"/>
              <w:jc w:val="left"/>
            </w:pPr>
            <w:r>
              <w:rPr>
                <w:b w:val="false"/>
                <w:bCs w:val="false"/>
                <w:color w:val="5A6B7B"/>
                <w:sz w:val="17"/>
                <w:szCs w:val="17"/>
                <w:rtl w:val="false"/>
              </w:rPr>
              <w:t xml:space="preserve">unit_statement_client.php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11. كشف التايم شيت — المورد</w:t>
            </w:r>
          </w:p>
          <w:p>
            <w:pPr>
              <w:bidi/>
              <w:spacing w:after="20" w:line="280"/>
              <w:jc w:val="right"/>
            </w:pPr>
            <w:r>
              <w:rPr>
                <w:b w:val="false"/>
                <w:bCs w:val="false"/>
                <w:color w:val="5A6B7B"/>
                <w:sz w:val="18"/>
                <w:szCs w:val="18"/>
                <w:rtl/>
              </w:rPr>
              <w:t xml:space="preserve">محرك الوحدات</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منظر المورد من الواقعة نفسها</w:t>
            </w:r>
          </w:p>
        </w:tc>
        <w:tc>
          <w:tcPr>
            <w:tcW w:type="dxa" w:w="2500"/>
            <w:tcMar>
              <w:top w:type="dxa" w:w="70"/>
              <w:left w:type="dxa" w:w="95"/>
              <w:bottom w:type="dxa" w:w="70"/>
              <w:right w:type="dxa" w:w="95"/>
            </w:tcMar>
            <w:vAlign w:val="center"/>
          </w:tcPr>
          <w:p>
            <w:pPr>
              <w:bidi/>
              <w:spacing w:after="20" w:line="280"/>
              <w:jc w:val="right"/>
            </w:pPr>
            <w:r>
              <w:rPr>
                <w:b w:val="false"/>
                <w:bCs w:val="false"/>
                <w:color w:val="1F6B3A"/>
                <w:sz w:val="20"/>
                <w:szCs w:val="20"/>
                <w:rtl/>
              </w:rPr>
              <w:t xml:space="preserve">مبنية</w:t>
            </w:r>
          </w:p>
          <w:p>
            <w:pPr>
              <w:bidi w:val="false"/>
              <w:spacing w:after="20" w:line="280"/>
              <w:jc w:val="left"/>
            </w:pPr>
            <w:r>
              <w:rPr>
                <w:b w:val="false"/>
                <w:bCs w:val="false"/>
                <w:color w:val="5A6B7B"/>
                <w:sz w:val="17"/>
                <w:szCs w:val="17"/>
                <w:rtl w:val="false"/>
              </w:rPr>
              <w:t xml:space="preserve">unit_statement_supplier.php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12. كشف التايم شيت — المشغّل</w:t>
            </w:r>
          </w:p>
          <w:p>
            <w:pPr>
              <w:bidi/>
              <w:spacing w:after="20" w:line="280"/>
              <w:jc w:val="right"/>
            </w:pPr>
            <w:r>
              <w:rPr>
                <w:b w:val="false"/>
                <w:bCs w:val="false"/>
                <w:color w:val="5A6B7B"/>
                <w:sz w:val="18"/>
                <w:szCs w:val="18"/>
                <w:rtl/>
              </w:rPr>
              <w:t xml:space="preserve">محرك الوحدات</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منظر المشغّل من الواقعة نفسها</w:t>
            </w:r>
          </w:p>
        </w:tc>
        <w:tc>
          <w:tcPr>
            <w:tcW w:type="dxa" w:w="2500"/>
            <w:shd w:fill="F2F6FA" w:color="auto" w:val="clear"/>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unit_statement_worker.php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13. تصحيح الوحدات بالسلسلة الثلاثية</w:t>
            </w:r>
          </w:p>
          <w:p>
            <w:pPr>
              <w:bidi/>
              <w:spacing w:after="20" w:line="280"/>
              <w:jc w:val="right"/>
            </w:pPr>
            <w:r>
              <w:rPr>
                <w:b w:val="false"/>
                <w:bCs w:val="false"/>
                <w:color w:val="5A6B7B"/>
                <w:sz w:val="18"/>
                <w:szCs w:val="18"/>
                <w:rtl/>
              </w:rPr>
              <w:t xml:space="preserve">محرك الوحدات المشترك</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التصحيح يمر بالثلاثة معًا أو لا يمر</w:t>
            </w:r>
          </w:p>
        </w:tc>
        <w:tc>
          <w:tcPr>
            <w:tcW w:type="dxa" w:w="2500"/>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unit_correction.php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14. الأداء الشهري للوحدة</w:t>
            </w:r>
          </w:p>
          <w:p>
            <w:pPr>
              <w:bidi/>
              <w:spacing w:after="20" w:line="280"/>
              <w:jc w:val="right"/>
            </w:pPr>
            <w:r>
              <w:rPr>
                <w:b w:val="false"/>
                <w:bCs w:val="false"/>
                <w:color w:val="5A6B7B"/>
                <w:sz w:val="18"/>
                <w:szCs w:val="18"/>
                <w:rtl/>
              </w:rPr>
              <w:t xml:space="preserve">محرك الوحدات</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التجميع الشهري للوحدة</w:t>
            </w:r>
          </w:p>
        </w:tc>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1F6B3A"/>
                <w:sz w:val="20"/>
                <w:szCs w:val="20"/>
                <w:rtl/>
              </w:rPr>
              <w:t xml:space="preserve">مبنية</w:t>
            </w:r>
          </w:p>
          <w:p>
            <w:pPr>
              <w:bidi w:val="false"/>
              <w:spacing w:after="20" w:line="280"/>
              <w:jc w:val="left"/>
            </w:pPr>
            <w:r>
              <w:rPr>
                <w:b w:val="false"/>
                <w:bCs w:val="false"/>
                <w:color w:val="5A6B7B"/>
                <w:sz w:val="17"/>
                <w:szCs w:val="17"/>
                <w:rtl w:val="false"/>
              </w:rPr>
              <w:t xml:space="preserve">unit_perf.php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15. المستخلصات والمطالبات</w:t>
            </w:r>
          </w:p>
          <w:p>
            <w:pPr>
              <w:bidi/>
              <w:spacing w:after="20" w:line="280"/>
              <w:jc w:val="right"/>
            </w:pPr>
            <w:r>
              <w:rPr>
                <w:b w:val="false"/>
                <w:bCs w:val="false"/>
                <w:color w:val="5A6B7B"/>
                <w:sz w:val="18"/>
                <w:szCs w:val="18"/>
                <w:rtl/>
              </w:rPr>
              <w:t xml:space="preserve">نطاق المبيعات</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مطالبة العميل من الأداء المعتمد</w:t>
            </w:r>
          </w:p>
        </w:tc>
        <w:tc>
          <w:tcPr>
            <w:tcW w:type="dxa" w:w="2500"/>
            <w:tcMar>
              <w:top w:type="dxa" w:w="70"/>
              <w:left w:type="dxa" w:w="95"/>
              <w:bottom w:type="dxa" w:w="70"/>
              <w:right w:type="dxa" w:w="95"/>
            </w:tcMar>
            <w:vAlign w:val="center"/>
          </w:tcPr>
          <w:p>
            <w:pPr>
              <w:bidi/>
              <w:spacing w:after="20" w:line="280"/>
              <w:jc w:val="right"/>
            </w:pPr>
            <w:r>
              <w:rPr>
                <w:b w:val="false"/>
                <w:bCs w:val="false"/>
                <w:color w:val="1F6B3A"/>
                <w:sz w:val="20"/>
                <w:szCs w:val="20"/>
                <w:rtl/>
              </w:rPr>
              <w:t xml:space="preserve">مبنية</w:t>
            </w:r>
          </w:p>
          <w:p>
            <w:pPr>
              <w:bidi w:val="false"/>
              <w:spacing w:after="20" w:line="280"/>
              <w:jc w:val="left"/>
            </w:pPr>
            <w:r>
              <w:rPr>
                <w:b w:val="false"/>
                <w:bCs w:val="false"/>
                <w:color w:val="5A6B7B"/>
                <w:sz w:val="17"/>
                <w:szCs w:val="17"/>
                <w:rtl w:val="false"/>
              </w:rPr>
              <w:t xml:space="preserve">claims.php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16. توليد استحقاقات عقد العميل</w:t>
            </w:r>
          </w:p>
          <w:p>
            <w:pPr>
              <w:bidi/>
              <w:spacing w:after="20" w:line="280"/>
              <w:jc w:val="right"/>
            </w:pPr>
            <w:r>
              <w:rPr>
                <w:b w:val="false"/>
                <w:bCs w:val="false"/>
                <w:color w:val="5A6B7B"/>
                <w:sz w:val="18"/>
                <w:szCs w:val="18"/>
                <w:rtl/>
              </w:rPr>
              <w:t xml:space="preserve">نطاق المالية</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تحويل المطالبة إلى استحقاق محاسبي</w:t>
            </w:r>
          </w:p>
        </w:tc>
        <w:tc>
          <w:tcPr>
            <w:tcW w:type="dxa" w:w="2500"/>
            <w:shd w:fill="F2F6FA" w:color="auto" w:val="clear"/>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ar_accrual_gen.php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17. شهادة الإنجاز الشهرية</w:t>
            </w:r>
          </w:p>
          <w:p>
            <w:pPr>
              <w:bidi/>
              <w:spacing w:after="20" w:line="280"/>
              <w:jc w:val="right"/>
            </w:pPr>
            <w:r>
              <w:rPr>
                <w:b w:val="false"/>
                <w:bCs w:val="false"/>
                <w:color w:val="5A6B7B"/>
                <w:sz w:val="18"/>
                <w:szCs w:val="18"/>
                <w:rtl/>
              </w:rPr>
              <w:t xml:space="preserve">نطاق المالية</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مستند الإنجاز الذي تُبنى عليه الفاتورة</w:t>
            </w:r>
          </w:p>
        </w:tc>
        <w:tc>
          <w:tcPr>
            <w:tcW w:type="dxa" w:w="2500"/>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ar_completion_cert.php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18. فاتورة المطالبة وإحالتها</w:t>
            </w:r>
          </w:p>
          <w:p>
            <w:pPr>
              <w:bidi/>
              <w:spacing w:after="20" w:line="280"/>
              <w:jc w:val="right"/>
            </w:pPr>
            <w:r>
              <w:rPr>
                <w:b w:val="false"/>
                <w:bCs w:val="false"/>
                <w:color w:val="5A6B7B"/>
                <w:sz w:val="18"/>
                <w:szCs w:val="18"/>
                <w:rtl/>
              </w:rPr>
              <w:t xml:space="preserve">نطاق المالية</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الفاتورة ثم إحالتها لقسم التحصيل</w:t>
            </w:r>
          </w:p>
        </w:tc>
        <w:tc>
          <w:tcPr>
            <w:tcW w:type="dxa" w:w="2500"/>
            <w:shd w:fill="F2F6FA" w:color="auto" w:val="clear"/>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ar_claim_invoice.php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19. الفاتورة الضريبية والإقرارات</w:t>
            </w:r>
          </w:p>
          <w:p>
            <w:pPr>
              <w:bidi/>
              <w:spacing w:after="20" w:line="280"/>
              <w:jc w:val="right"/>
            </w:pPr>
            <w:r>
              <w:rPr>
                <w:b w:val="false"/>
                <w:bCs w:val="false"/>
                <w:color w:val="5A6B7B"/>
                <w:sz w:val="18"/>
                <w:szCs w:val="18"/>
                <w:rtl/>
              </w:rPr>
              <w:t xml:space="preserve">نطاق المالية</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الفاتورة الرسمية</w:t>
            </w:r>
          </w:p>
        </w:tc>
        <w:tc>
          <w:tcPr>
            <w:tcW w:type="dxa" w:w="2500"/>
            <w:tcMar>
              <w:top w:type="dxa" w:w="70"/>
              <w:left w:type="dxa" w:w="95"/>
              <w:bottom w:type="dxa" w:w="70"/>
              <w:right w:type="dxa" w:w="95"/>
            </w:tcMar>
            <w:vAlign w:val="center"/>
          </w:tcPr>
          <w:p>
            <w:pPr>
              <w:bidi/>
              <w:spacing w:after="20" w:line="280"/>
              <w:jc w:val="right"/>
            </w:pPr>
            <w:r>
              <w:rPr>
                <w:b w:val="false"/>
                <w:bCs w:val="false"/>
                <w:color w:val="1F6B3A"/>
                <w:sz w:val="20"/>
                <w:szCs w:val="20"/>
                <w:rtl/>
              </w:rPr>
              <w:t xml:space="preserve">مبنية</w:t>
            </w:r>
          </w:p>
          <w:p>
            <w:pPr>
              <w:bidi w:val="false"/>
              <w:spacing w:after="20" w:line="280"/>
              <w:jc w:val="left"/>
            </w:pPr>
            <w:r>
              <w:rPr>
                <w:b w:val="false"/>
                <w:bCs w:val="false"/>
                <w:color w:val="5A6B7B"/>
                <w:sz w:val="17"/>
                <w:szCs w:val="17"/>
                <w:rtl w:val="false"/>
              </w:rPr>
              <w:t xml:space="preserve">tax_invoices.php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20. سندات القبض والتحصيل</w:t>
            </w:r>
          </w:p>
          <w:p>
            <w:pPr>
              <w:bidi/>
              <w:spacing w:after="20" w:line="280"/>
              <w:jc w:val="right"/>
            </w:pPr>
            <w:r>
              <w:rPr>
                <w:b w:val="false"/>
                <w:bCs w:val="false"/>
                <w:color w:val="5A6B7B"/>
                <w:sz w:val="18"/>
                <w:szCs w:val="18"/>
                <w:rtl/>
              </w:rPr>
              <w:t xml:space="preserve">نطاق الخزينة</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قبض النقد من العميل</w:t>
            </w:r>
          </w:p>
        </w:tc>
        <w:tc>
          <w:tcPr>
            <w:tcW w:type="dxa" w:w="2500"/>
            <w:shd w:fill="F2F6FA" w:color="auto" w:val="clear"/>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tre_receipts.php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21. كشف حساب العميل</w:t>
            </w:r>
          </w:p>
          <w:p>
            <w:pPr>
              <w:bidi/>
              <w:spacing w:after="20" w:line="280"/>
              <w:jc w:val="right"/>
            </w:pPr>
            <w:r>
              <w:rPr>
                <w:b w:val="false"/>
                <w:bCs w:val="false"/>
                <w:color w:val="5A6B7B"/>
                <w:sz w:val="18"/>
                <w:szCs w:val="18"/>
                <w:rtl/>
              </w:rPr>
              <w:t xml:space="preserve">نطاق المالية</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الذمة والرصيد</w:t>
            </w:r>
          </w:p>
        </w:tc>
        <w:tc>
          <w:tcPr>
            <w:tcW w:type="dxa" w:w="2500"/>
            <w:tcMar>
              <w:top w:type="dxa" w:w="70"/>
              <w:left w:type="dxa" w:w="95"/>
              <w:bottom w:type="dxa" w:w="70"/>
              <w:right w:type="dxa" w:w="95"/>
            </w:tcMar>
            <w:vAlign w:val="center"/>
          </w:tcPr>
          <w:p>
            <w:pPr>
              <w:bidi/>
              <w:spacing w:after="20" w:line="280"/>
              <w:jc w:val="right"/>
            </w:pPr>
            <w:r>
              <w:rPr>
                <w:b w:val="false"/>
                <w:bCs w:val="false"/>
                <w:color w:val="1F6B3A"/>
                <w:sz w:val="20"/>
                <w:szCs w:val="20"/>
                <w:rtl/>
              </w:rPr>
              <w:t xml:space="preserve">مبنية</w:t>
            </w:r>
          </w:p>
          <w:p>
            <w:pPr>
              <w:bidi w:val="false"/>
              <w:spacing w:after="20" w:line="280"/>
              <w:jc w:val="left"/>
            </w:pPr>
            <w:r>
              <w:rPr>
                <w:b w:val="false"/>
                <w:bCs w:val="false"/>
                <w:color w:val="5A6B7B"/>
                <w:sz w:val="17"/>
                <w:szCs w:val="17"/>
                <w:rtl w:val="false"/>
              </w:rPr>
              <w:t xml:space="preserve">client_statement.php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22. التسويات ومستحقات الموردين</w:t>
            </w:r>
          </w:p>
          <w:p>
            <w:pPr>
              <w:bidi/>
              <w:spacing w:after="20" w:line="280"/>
              <w:jc w:val="right"/>
            </w:pPr>
            <w:r>
              <w:rPr>
                <w:b w:val="false"/>
                <w:bCs w:val="false"/>
                <w:color w:val="5A6B7B"/>
                <w:sz w:val="18"/>
                <w:szCs w:val="18"/>
                <w:rtl/>
              </w:rPr>
              <w:t xml:space="preserve">نطاق الموردين</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الإقفال الشهري لصافي مستحق المورد</w:t>
            </w:r>
          </w:p>
        </w:tc>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1F6B3A"/>
                <w:sz w:val="20"/>
                <w:szCs w:val="20"/>
                <w:rtl/>
              </w:rPr>
              <w:t xml:space="preserve">مبنية</w:t>
            </w:r>
          </w:p>
          <w:p>
            <w:pPr>
              <w:bidi w:val="false"/>
              <w:spacing w:after="20" w:line="280"/>
              <w:jc w:val="left"/>
            </w:pPr>
            <w:r>
              <w:rPr>
                <w:b w:val="false"/>
                <w:bCs w:val="false"/>
                <w:color w:val="5A6B7B"/>
                <w:sz w:val="17"/>
                <w:szCs w:val="17"/>
                <w:rtl w:val="false"/>
              </w:rPr>
              <w:t xml:space="preserve">settlements.php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23. توليد التزامات عقد المورد</w:t>
            </w:r>
          </w:p>
          <w:p>
            <w:pPr>
              <w:bidi/>
              <w:spacing w:after="20" w:line="280"/>
              <w:jc w:val="right"/>
            </w:pPr>
            <w:r>
              <w:rPr>
                <w:b w:val="false"/>
                <w:bCs w:val="false"/>
                <w:color w:val="5A6B7B"/>
                <w:sz w:val="18"/>
                <w:szCs w:val="18"/>
                <w:rtl/>
              </w:rPr>
              <w:t xml:space="preserve">نطاق الموردين</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تحويل بنود عقد المورد إلى التزام مالي</w:t>
            </w:r>
          </w:p>
        </w:tc>
        <w:tc>
          <w:tcPr>
            <w:tcW w:type="dxa" w:w="2500"/>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ap_oblig_gen.php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24. طلبات الدفع والسداد</w:t>
            </w:r>
          </w:p>
          <w:p>
            <w:pPr>
              <w:bidi/>
              <w:spacing w:after="20" w:line="280"/>
              <w:jc w:val="right"/>
            </w:pPr>
            <w:r>
              <w:rPr>
                <w:b w:val="false"/>
                <w:bCs w:val="false"/>
                <w:color w:val="5A6B7B"/>
                <w:sz w:val="18"/>
                <w:szCs w:val="18"/>
                <w:rtl/>
              </w:rPr>
              <w:t xml:space="preserve">نطاق المالية</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طلب الدفع بعد التسوية</w:t>
            </w:r>
          </w:p>
        </w:tc>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1F6B3A"/>
                <w:sz w:val="20"/>
                <w:szCs w:val="20"/>
                <w:rtl/>
              </w:rPr>
              <w:t xml:space="preserve">مبنية</w:t>
            </w:r>
          </w:p>
          <w:p>
            <w:pPr>
              <w:bidi w:val="false"/>
              <w:spacing w:after="20" w:line="280"/>
              <w:jc w:val="left"/>
            </w:pPr>
            <w:r>
              <w:rPr>
                <w:b w:val="false"/>
                <w:bCs w:val="false"/>
                <w:color w:val="5A6B7B"/>
                <w:sz w:val="17"/>
                <w:szCs w:val="17"/>
                <w:rtl w:val="false"/>
              </w:rPr>
              <w:t xml:space="preserve">payments_fin.php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25. دفعات الدفع والتنفيذ</w:t>
            </w:r>
          </w:p>
          <w:p>
            <w:pPr>
              <w:bidi/>
              <w:spacing w:after="20" w:line="280"/>
              <w:jc w:val="right"/>
            </w:pPr>
            <w:r>
              <w:rPr>
                <w:b w:val="false"/>
                <w:bCs w:val="false"/>
                <w:color w:val="5A6B7B"/>
                <w:sz w:val="18"/>
                <w:szCs w:val="18"/>
                <w:rtl/>
              </w:rPr>
              <w:t xml:space="preserve">نطاق الخزينة</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تنفيذ الصرف على دفعات</w:t>
            </w:r>
          </w:p>
        </w:tc>
        <w:tc>
          <w:tcPr>
            <w:tcW w:type="dxa" w:w="2500"/>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tre_pay_batch.php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26. توثيق التنفيذ والإشعارات</w:t>
            </w:r>
          </w:p>
          <w:p>
            <w:pPr>
              <w:bidi/>
              <w:spacing w:after="20" w:line="280"/>
              <w:jc w:val="right"/>
            </w:pPr>
            <w:r>
              <w:rPr>
                <w:b w:val="false"/>
                <w:bCs w:val="false"/>
                <w:color w:val="5A6B7B"/>
                <w:sz w:val="18"/>
                <w:szCs w:val="18"/>
                <w:rtl/>
              </w:rPr>
              <w:t xml:space="preserve">نطاق الخزينة</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إثبات الصرف ومرجعه</w:t>
            </w:r>
          </w:p>
        </w:tc>
        <w:tc>
          <w:tcPr>
            <w:tcW w:type="dxa" w:w="2500"/>
            <w:shd w:fill="F2F6FA" w:color="auto" w:val="clear"/>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tre_exec_log.php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27. كشف حساب المورد الشهري</w:t>
            </w:r>
          </w:p>
          <w:p>
            <w:pPr>
              <w:bidi/>
              <w:spacing w:after="20" w:line="280"/>
              <w:jc w:val="right"/>
            </w:pPr>
            <w:r>
              <w:rPr>
                <w:b w:val="false"/>
                <w:bCs w:val="false"/>
                <w:color w:val="5A6B7B"/>
                <w:sz w:val="18"/>
                <w:szCs w:val="18"/>
                <w:rtl/>
              </w:rPr>
              <w:t xml:space="preserve">نطاق المالية</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الرصيد المحاسبي للمورد</w:t>
            </w:r>
          </w:p>
        </w:tc>
        <w:tc>
          <w:tcPr>
            <w:tcW w:type="dxa" w:w="2500"/>
            <w:tcMar>
              <w:top w:type="dxa" w:w="70"/>
              <w:left w:type="dxa" w:w="95"/>
              <w:bottom w:type="dxa" w:w="70"/>
              <w:right w:type="dxa" w:w="95"/>
            </w:tcMar>
            <w:vAlign w:val="center"/>
          </w:tcPr>
          <w:p>
            <w:pPr>
              <w:bidi/>
              <w:spacing w:after="20" w:line="280"/>
              <w:jc w:val="right"/>
            </w:pPr>
            <w:r>
              <w:rPr>
                <w:b w:val="false"/>
                <w:bCs w:val="false"/>
                <w:color w:val="1F6B3A"/>
                <w:sz w:val="20"/>
                <w:szCs w:val="20"/>
                <w:rtl/>
              </w:rPr>
              <w:t xml:space="preserve">مبنية</w:t>
            </w:r>
          </w:p>
          <w:p>
            <w:pPr>
              <w:bidi w:val="false"/>
              <w:spacing w:after="20" w:line="280"/>
              <w:jc w:val="left"/>
            </w:pPr>
            <w:r>
              <w:rPr>
                <w:b w:val="false"/>
                <w:bCs w:val="false"/>
                <w:color w:val="5A6B7B"/>
                <w:sz w:val="17"/>
                <w:szCs w:val="17"/>
                <w:rtl w:val="false"/>
              </w:rPr>
              <w:t xml:space="preserve">supplier_statement_fin.php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28. توليد المستحق من العمل المعتمد</w:t>
            </w:r>
          </w:p>
          <w:p>
            <w:pPr>
              <w:bidi/>
              <w:spacing w:after="20" w:line="280"/>
              <w:jc w:val="right"/>
            </w:pPr>
            <w:r>
              <w:rPr>
                <w:b w:val="false"/>
                <w:bCs w:val="false"/>
                <w:color w:val="5A6B7B"/>
                <w:sz w:val="18"/>
                <w:szCs w:val="18"/>
                <w:rtl/>
              </w:rPr>
              <w:t xml:space="preserve">نطاق القوى التشغيلية</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استحقاق المشغّل من الوحدة المعتمدة</w:t>
            </w:r>
          </w:p>
        </w:tc>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1F6B3A"/>
                <w:sz w:val="20"/>
                <w:szCs w:val="20"/>
                <w:rtl/>
              </w:rPr>
              <w:t xml:space="preserve">مبنية</w:t>
            </w:r>
          </w:p>
          <w:p>
            <w:pPr>
              <w:bidi w:val="false"/>
              <w:spacing w:after="20" w:line="280"/>
              <w:jc w:val="left"/>
            </w:pPr>
            <w:r>
              <w:rPr>
                <w:b w:val="false"/>
                <w:bCs w:val="false"/>
                <w:color w:val="5A6B7B"/>
                <w:sz w:val="17"/>
                <w:szCs w:val="17"/>
                <w:rtl w:val="false"/>
              </w:rPr>
              <w:t xml:space="preserve">entitlement.php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29. فحص شروط الاستحقاق</w:t>
            </w:r>
          </w:p>
          <w:p>
            <w:pPr>
              <w:bidi/>
              <w:spacing w:after="20" w:line="280"/>
              <w:jc w:val="right"/>
            </w:pPr>
            <w:r>
              <w:rPr>
                <w:b w:val="false"/>
                <w:bCs w:val="false"/>
                <w:color w:val="5A6B7B"/>
                <w:sz w:val="18"/>
                <w:szCs w:val="18"/>
                <w:rtl/>
              </w:rPr>
              <w:t xml:space="preserve">نطاق المالية</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بوابة شروط الاعتراف بالاستحقاق</w:t>
            </w:r>
          </w:p>
        </w:tc>
        <w:tc>
          <w:tcPr>
            <w:tcW w:type="dxa" w:w="2500"/>
            <w:tcMar>
              <w:top w:type="dxa" w:w="70"/>
              <w:left w:type="dxa" w:w="95"/>
              <w:bottom w:type="dxa" w:w="70"/>
              <w:right w:type="dxa" w:w="95"/>
            </w:tcMar>
            <w:vAlign w:val="center"/>
          </w:tcPr>
          <w:p>
            <w:pPr>
              <w:bidi/>
              <w:spacing w:after="20" w:line="280"/>
              <w:jc w:val="right"/>
            </w:pPr>
            <w:r>
              <w:rPr>
                <w:b w:val="false"/>
                <w:bCs w:val="false"/>
                <w:color w:val="1F6B3A"/>
                <w:sz w:val="20"/>
                <w:szCs w:val="20"/>
                <w:rtl/>
              </w:rPr>
              <w:t xml:space="preserve">مبنية</w:t>
            </w:r>
          </w:p>
          <w:p>
            <w:pPr>
              <w:bidi w:val="false"/>
              <w:spacing w:after="20" w:line="280"/>
              <w:jc w:val="left"/>
            </w:pPr>
            <w:r>
              <w:rPr>
                <w:b w:val="false"/>
                <w:bCs w:val="false"/>
                <w:color w:val="5A6B7B"/>
                <w:sz w:val="17"/>
                <w:szCs w:val="17"/>
                <w:rtl w:val="false"/>
              </w:rPr>
              <w:t xml:space="preserve">entitlement_gate.php</w:t>
            </w:r>
          </w:p>
        </w:tc>
      </w:tr>
    </w:tbl>
    <w:p>
      <w:pPr>
        <w:bidi/>
        <w:spacing w:before="120"/>
        <w:jc w:val="right"/>
      </w:pPr>
      <w:r>
        <w:rPr>
          <w:b w:val="false"/>
          <w:bCs w:val="false"/>
          <w:i w:val="false"/>
          <w:iCs w:val="false"/>
          <w:sz w:val="24"/>
          <w:szCs w:val="24"/>
          <w:rtl/>
        </w:rPr>
        <w:t xml:space="preserve">القراءة العكسية للجدول: أيُّ استحقاقٍ أو مطالبةٍ تُنتَج اليوم لا تستطيع إثبات سلسلة اعتمادها إلى الواقعة الأصلية، لأن عقد الاعتماد بينهما غير مبنية. وهذا هو الفرق بين نظامٍ تظهر فيه البيانات وبين نظامٍ تُثبَت فيه.</w:t>
      </w:r>
    </w:p>
    <w:p>
      <w:pPr>
        <w:pStyle w:val="Heading2"/>
        <w:keepNext/>
        <w:bidi/>
        <w:spacing w:after="140" w:before="280"/>
        <w:jc w:val="right"/>
      </w:pPr>
      <w:r>
        <w:rPr>
          <w:b/>
          <w:bCs/>
          <w:rtl/>
        </w:rPr>
        <w:t xml:space="preserve">طبقات ملكية سلسلة الاعتماد — تصحيحٌ جوهري</w:t>
      </w:r>
    </w:p>
    <w:p>
      <w:pPr>
        <w:bidi/>
        <w:spacing w:after="130" w:line="330"/>
        <w:jc w:val="right"/>
      </w:pPr>
      <w:r>
        <w:rPr>
          <w:b w:val="false"/>
          <w:bCs w:val="false"/>
          <w:i w:val="false"/>
          <w:iCs w:val="false"/>
          <w:sz w:val="24"/>
          <w:szCs w:val="24"/>
          <w:rtl/>
        </w:rPr>
        <w:t xml:space="preserve">عمودُ «الموضع التقني» في الجدول أعلاه يصف أين تعيش الخدمة في النظام، ولا يُنشئ ملكيةً لأحد. وقد كان الجدولُ في نسخته الأولى يسمّي هذا العمود «بيتها»، فأوهم أن الاعتماد المالي للوحدة مملوكٌ للتشغيل لمجرد أن محرك الوحدات يعمل في نطاقه — وهذا خلطٌ بين الهندسة والحوكمة يُصحَّح هنا. فالملكية ثماني طبقاتٍ منفصلةٍ لا طبقةٌ واحدة:</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400"/>
        <w:gridCol w:w="5400"/>
        <w:gridCol w:w="2000"/>
      </w:tblGrid>
      <w:tr>
        <w:trPr>
          <w:cantSplit/>
          <w:tblHeader/>
        </w:trPr>
        <w:tc>
          <w:tcPr>
            <w:tcW w:type="dxa" w:w="24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الطبقة</w:t>
            </w:r>
          </w:p>
        </w:tc>
        <w:tc>
          <w:tcPr>
            <w:tcW w:type="dxa" w:w="54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مضمونها</w:t>
            </w:r>
          </w:p>
        </w:tc>
        <w:tc>
          <w:tcPr>
            <w:tcW w:type="dxa" w:w="20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الحقل</w:t>
            </w:r>
          </w:p>
        </w:tc>
      </w:tr>
      <w:tr>
        <w:trPr>
          <w:cantSplit/>
        </w:trPr>
        <w:tc>
          <w:tcPr>
            <w:tcW w:type="dxa" w:w="2400"/>
            <w:tcMar>
              <w:top w:type="dxa" w:w="70"/>
              <w:left w:type="dxa" w:w="95"/>
              <w:bottom w:type="dxa" w:w="70"/>
              <w:right w:type="dxa" w:w="95"/>
            </w:tcMar>
            <w:vAlign w:val="center"/>
          </w:tcPr>
          <w:p>
            <w:pPr>
              <w:bidi/>
              <w:spacing w:after="20" w:line="280"/>
              <w:jc w:val="right"/>
            </w:pPr>
            <w:r>
              <w:rPr>
                <w:b/>
                <w:bCs/>
                <w:sz w:val="21"/>
                <w:szCs w:val="21"/>
                <w:rtl/>
              </w:rPr>
              <w:t xml:space="preserve">الموضع التقني</w:t>
            </w:r>
          </w:p>
        </w:tc>
        <w:tc>
          <w:tcPr>
            <w:tcW w:type="dxa" w:w="5400"/>
            <w:tcMar>
              <w:top w:type="dxa" w:w="70"/>
              <w:left w:type="dxa" w:w="95"/>
              <w:bottom w:type="dxa" w:w="70"/>
              <w:right w:type="dxa" w:w="95"/>
            </w:tcMar>
            <w:vAlign w:val="center"/>
          </w:tcPr>
          <w:p>
            <w:pPr>
              <w:bidi/>
              <w:spacing w:after="20" w:line="280"/>
              <w:jc w:val="right"/>
            </w:pPr>
            <w:r>
              <w:rPr>
                <w:b w:val="false"/>
                <w:bCs w:val="false"/>
                <w:sz w:val="20"/>
                <w:szCs w:val="20"/>
                <w:rtl/>
              </w:rPr>
              <w:t xml:space="preserve">أين تعيش الخدمة أو الواقعة في النظام — وصفٌ هندسيٌّ لا يُنشئ ملكيةً لأحد.</w:t>
            </w:r>
          </w:p>
        </w:tc>
        <w:tc>
          <w:tcPr>
            <w:tcW w:type="dxa" w:w="2000"/>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Technical_Runtime</w:t>
            </w:r>
          </w:p>
        </w:tc>
      </w:tr>
      <w:tr>
        <w:trPr>
          <w:cantSplit/>
        </w:trPr>
        <w:tc>
          <w:tcPr>
            <w:tcW w:type="dxa" w:w="24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مالك العملية</w:t>
            </w:r>
          </w:p>
        </w:tc>
        <w:tc>
          <w:tcPr>
            <w:tcW w:type="dxa" w:w="54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من يملك الحدث أو المستند التجاري أو التشغيلي ويجيب عنه أمام الحوكمة.</w:t>
            </w:r>
          </w:p>
        </w:tc>
        <w:tc>
          <w:tcPr>
            <w:tcW w:type="dxa" w:w="20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Process_Owner</w:t>
            </w:r>
          </w:p>
        </w:tc>
      </w:tr>
      <w:tr>
        <w:trPr>
          <w:cantSplit/>
        </w:trPr>
        <w:tc>
          <w:tcPr>
            <w:tcW w:type="dxa" w:w="2400"/>
            <w:tcMar>
              <w:top w:type="dxa" w:w="70"/>
              <w:left w:type="dxa" w:w="95"/>
              <w:bottom w:type="dxa" w:w="70"/>
              <w:right w:type="dxa" w:w="95"/>
            </w:tcMar>
            <w:vAlign w:val="center"/>
          </w:tcPr>
          <w:p>
            <w:pPr>
              <w:bidi/>
              <w:spacing w:after="20" w:line="280"/>
              <w:jc w:val="right"/>
            </w:pPr>
            <w:r>
              <w:rPr>
                <w:b/>
                <w:bCs/>
                <w:sz w:val="21"/>
                <w:szCs w:val="21"/>
                <w:rtl/>
              </w:rPr>
              <w:t xml:space="preserve">المحاسب المنتدب</w:t>
            </w:r>
          </w:p>
        </w:tc>
        <w:tc>
          <w:tcPr>
            <w:tcW w:type="dxa" w:w="5400"/>
            <w:tcMar>
              <w:top w:type="dxa" w:w="70"/>
              <w:left w:type="dxa" w:w="95"/>
              <w:bottom w:type="dxa" w:w="70"/>
              <w:right w:type="dxa" w:w="95"/>
            </w:tcMar>
            <w:vAlign w:val="center"/>
          </w:tcPr>
          <w:p>
            <w:pPr>
              <w:bidi/>
              <w:spacing w:after="20" w:line="280"/>
              <w:jc w:val="right"/>
            </w:pPr>
            <w:r>
              <w:rPr>
                <w:b w:val="false"/>
                <w:bCs w:val="false"/>
                <w:sz w:val="20"/>
                <w:szCs w:val="20"/>
                <w:rtl/>
              </w:rPr>
              <w:t xml:space="preserve">محاسب الإدارة المنتدب من المالية: يراجع الأثر ويهيّئ المستند المالي، ولا يعتمد ولا ينفّذ نقدًا ولا يُرحّل.</w:t>
            </w:r>
          </w:p>
        </w:tc>
        <w:tc>
          <w:tcPr>
            <w:tcW w:type="dxa" w:w="2000"/>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Embedded_Accountant</w:t>
            </w:r>
          </w:p>
        </w:tc>
      </w:tr>
      <w:tr>
        <w:trPr>
          <w:cantSplit/>
        </w:trPr>
        <w:tc>
          <w:tcPr>
            <w:tcW w:type="dxa" w:w="24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سلطة الاعتماد</w:t>
            </w:r>
          </w:p>
        </w:tc>
        <w:tc>
          <w:tcPr>
            <w:tcW w:type="dxa" w:w="54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لا تُكتب اسمًا هنا: يُكتب رمزٌ قانونيٌّ واحدٌ من ثلاثة — معرّفُ سلّمٍ، أو «لا سلّم مطلوب»، أو «يُحَلّ من سياسة» بمفتاحها — وتُحَلّ الجهةُ من المحرك وقت التنفيذ.</w:t>
            </w:r>
          </w:p>
        </w:tc>
        <w:tc>
          <w:tcPr>
            <w:tcW w:type="dxa" w:w="20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Ladder_ID</w:t>
            </w:r>
          </w:p>
        </w:tc>
      </w:tr>
      <w:tr>
        <w:trPr>
          <w:cantSplit/>
        </w:trPr>
        <w:tc>
          <w:tcPr>
            <w:tcW w:type="dxa" w:w="2400"/>
            <w:tcMar>
              <w:top w:type="dxa" w:w="70"/>
              <w:left w:type="dxa" w:w="95"/>
              <w:bottom w:type="dxa" w:w="70"/>
              <w:right w:type="dxa" w:w="95"/>
            </w:tcMar>
            <w:vAlign w:val="center"/>
          </w:tcPr>
          <w:p>
            <w:pPr>
              <w:bidi/>
              <w:spacing w:after="20" w:line="280"/>
              <w:jc w:val="right"/>
            </w:pPr>
            <w:r>
              <w:rPr>
                <w:b/>
                <w:bCs/>
                <w:sz w:val="21"/>
                <w:szCs w:val="21"/>
                <w:rtl/>
              </w:rPr>
              <w:t xml:space="preserve">الرقابة المحاسبية</w:t>
            </w:r>
          </w:p>
        </w:tc>
        <w:tc>
          <w:tcPr>
            <w:tcW w:type="dxa" w:w="5400"/>
            <w:tcMar>
              <w:top w:type="dxa" w:w="70"/>
              <w:left w:type="dxa" w:w="95"/>
              <w:bottom w:type="dxa" w:w="70"/>
              <w:right w:type="dxa" w:w="95"/>
            </w:tcMar>
            <w:vAlign w:val="center"/>
          </w:tcPr>
          <w:p>
            <w:pPr>
              <w:bidi/>
              <w:spacing w:after="20" w:line="280"/>
              <w:jc w:val="right"/>
            </w:pPr>
            <w:r>
              <w:rPr>
                <w:b w:val="false"/>
                <w:bCs w:val="false"/>
                <w:sz w:val="20"/>
                <w:szCs w:val="20"/>
                <w:rtl/>
              </w:rPr>
              <w:t xml:space="preserve">رئيس الحسابات أو الدور الرقابي المفوَّض: إجازةٌ مستقلة تسبق الترحيل ولا تُختصر.</w:t>
            </w:r>
          </w:p>
        </w:tc>
        <w:tc>
          <w:tcPr>
            <w:tcW w:type="dxa" w:w="2000"/>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Accounting_Control</w:t>
            </w:r>
          </w:p>
        </w:tc>
      </w:tr>
      <w:tr>
        <w:trPr>
          <w:cantSplit/>
        </w:trPr>
        <w:tc>
          <w:tcPr>
            <w:tcW w:type="dxa" w:w="24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تنفيذ النقد</w:t>
            </w:r>
          </w:p>
        </w:tc>
        <w:tc>
          <w:tcPr>
            <w:tcW w:type="dxa" w:w="54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الخزينة والبنوك: تنفّذ القبض أو الصرف وتنتج مرجع الحركة — ولا تملك قيدًا ولا اعتمادًا ماليًّا للوحدة.</w:t>
            </w:r>
          </w:p>
        </w:tc>
        <w:tc>
          <w:tcPr>
            <w:tcW w:type="dxa" w:w="20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Cash_Execution</w:t>
            </w:r>
          </w:p>
        </w:tc>
      </w:tr>
      <w:tr>
        <w:trPr>
          <w:cantSplit/>
        </w:trPr>
        <w:tc>
          <w:tcPr>
            <w:tcW w:type="dxa" w:w="2400"/>
            <w:tcMar>
              <w:top w:type="dxa" w:w="70"/>
              <w:left w:type="dxa" w:w="95"/>
              <w:bottom w:type="dxa" w:w="70"/>
              <w:right w:type="dxa" w:w="95"/>
            </w:tcMar>
            <w:vAlign w:val="center"/>
          </w:tcPr>
          <w:p>
            <w:pPr>
              <w:bidi/>
              <w:spacing w:after="20" w:line="280"/>
              <w:jc w:val="right"/>
            </w:pPr>
            <w:r>
              <w:rPr>
                <w:b/>
                <w:bCs/>
                <w:sz w:val="21"/>
                <w:szCs w:val="21"/>
                <w:rtl/>
              </w:rPr>
              <w:t xml:space="preserve">إجازة الترحيل</w:t>
            </w:r>
          </w:p>
        </w:tc>
        <w:tc>
          <w:tcPr>
            <w:tcW w:type="dxa" w:w="5400"/>
            <w:tcMar>
              <w:top w:type="dxa" w:w="70"/>
              <w:left w:type="dxa" w:w="95"/>
              <w:bottom w:type="dxa" w:w="70"/>
              <w:right w:type="dxa" w:w="95"/>
            </w:tcMar>
            <w:vAlign w:val="center"/>
          </w:tcPr>
          <w:p>
            <w:pPr>
              <w:bidi/>
              <w:spacing w:after="20" w:line="280"/>
              <w:jc w:val="right"/>
            </w:pPr>
            <w:r>
              <w:rPr>
                <w:b w:val="false"/>
                <w:bCs w:val="false"/>
                <w:sz w:val="20"/>
                <w:szCs w:val="20"/>
                <w:rtl/>
              </w:rPr>
              <w:t xml:space="preserve">السلطة البشرية التي تُجيز المعالجة والترحيل — رئيس الحسابات أو المفوَّض عنه.</w:t>
            </w:r>
          </w:p>
        </w:tc>
        <w:tc>
          <w:tcPr>
            <w:tcW w:type="dxa" w:w="2000"/>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GL_Posting_Approval</w:t>
            </w:r>
          </w:p>
        </w:tc>
      </w:tr>
      <w:tr>
        <w:trPr>
          <w:cantSplit/>
        </w:trPr>
        <w:tc>
          <w:tcPr>
            <w:tcW w:type="dxa" w:w="24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تنفيذ الترحيل</w:t>
            </w:r>
          </w:p>
        </w:tc>
        <w:tc>
          <w:tcPr>
            <w:tcW w:type="dxa" w:w="54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محرّك الترحيل وحده ينشئ القيد بعد الإجازة — ولا كاتبَ بشريًّا مباشرًا إلى دفتر الأستاذ.</w:t>
            </w:r>
          </w:p>
        </w:tc>
        <w:tc>
          <w:tcPr>
            <w:tcW w:type="dxa" w:w="20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GL_Posting_Executor</w:t>
            </w:r>
          </w:p>
        </w:tc>
      </w:tr>
    </w:tbl>
    <w:p>
      <w:pPr>
        <w:pStyle w:val="Heading2"/>
        <w:keepNext/>
        <w:bidi/>
        <w:spacing w:after="140" w:before="280"/>
        <w:jc w:val="right"/>
      </w:pPr>
      <w:r>
        <w:rPr>
          <w:b/>
          <w:bCs/>
          <w:rtl/>
        </w:rPr>
        <w:t xml:space="preserve">المحاسب المنتدب من المالية — دورٌ مثبَّت لا استثناء</w:t>
      </w:r>
    </w:p>
    <w:p>
      <w:pPr>
        <w:bidi/>
        <w:spacing w:after="130" w:line="330"/>
        <w:jc w:val="right"/>
      </w:pPr>
      <w:r>
        <w:rPr>
          <w:b w:val="false"/>
          <w:bCs w:val="false"/>
          <w:i w:val="false"/>
          <w:iCs w:val="false"/>
          <w:sz w:val="24"/>
          <w:szCs w:val="24"/>
          <w:rtl/>
        </w:rPr>
        <w:t xml:space="preserve">لكل إدارةٍ محاسبٌ مختصٌّ منتدبٌ من المالية يعمل داخل دورة الإدارة: محاسب المبيعات ومحاسب الموردين. وهو تابعٌ وظيفيًّا للمالية وإداريًّا لسير عمل الإدارة، على النسق نفسه الذي يعمل به محاسب الموقع. يراجع الأثر المالي للمستند التجاري، ويهيّئ أمر التحصيل في دورة المبيعات وأمر الدفع في دورة الموردين، ويتحقق من اكتمال المستندات والمرجع المالي، ويُعدّ بيانات القيد. ولا يملك وحده الاعتماد النهائي، ولا ينفّذ نقدًا، ولا يُرحّل قيدًا. وتبعيتُه الوظيفيةُ والمهنيةُ للإدارة المالية، وانتدابُه تشغيليٌّ للعمل داخل دورة الإدارة: مديرُ الإدارة يحدد أولويات العمل ومستنداته، ولا يوجّه الحكم المحاسبي ولا يغيّر السياسة المحاسبية. وانتدابُه يُقرّب المالية من الحدث التجاري ولا ينقل ملكيةً في أيِّ اتجاه.</w:t>
      </w:r>
    </w:p>
    <w:p>
      <w:pPr>
        <w:bidi/>
        <w:spacing w:after="140"/>
        <w:jc w:val="right"/>
      </w:pPr>
      <w:r>
        <w:rPr>
          <w:b w:val="false"/>
          <w:bCs w:val="false"/>
          <w:i w:val="false"/>
          <w:iCs w:val="false"/>
          <w:sz w:val="24"/>
          <w:szCs w:val="24"/>
          <w:rtl/>
        </w:rPr>
        <w:t xml:space="preserve">وموضعُ المحاسب المقيم بالموقع في السلّم الأول محسومٌ بمرجعٍ نافذ: جولةُ تصحيح السلاليم — البند الأول، المنفَّذ على ملف تعريف السلاليم، وفحصُ القبول الثامن الذي يشترط بقاءَه في السلّم الأول وغيابَ محاسب الموردين من الثالث ومحاسب الرواتب من الرابع. ودورُه هناك يدٌ ثانيةٌ للمراجعة المستندية لا اعتمادٌ ماليّ — فبوابةُ المالية تبدأ في السلّم الخامس ولا قبله. وإن خالف محرّكُ السلاليم الحيُّ هذا النص فالمحرّك هو الحاكم ويُصحَّح النص لا العكس.</w:t>
      </w:r>
    </w:p>
    <w:p>
      <w:pPr>
        <w:pStyle w:val="Heading2"/>
        <w:keepNext/>
        <w:bidi/>
        <w:spacing w:after="140" w:before="280"/>
        <w:jc w:val="right"/>
      </w:pPr>
      <w:r>
        <w:rPr>
          <w:b/>
          <w:bCs/>
          <w:rtl/>
        </w:rPr>
        <w:t xml:space="preserve">مصفوفة ملكية الاعتماد محطةً محطة</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600"/>
        <w:gridCol w:w="2100"/>
        <w:gridCol w:w="2600"/>
        <w:gridCol w:w="2500"/>
      </w:tblGrid>
      <w:tr>
        <w:trPr>
          <w:cantSplit/>
          <w:tblHeader/>
        </w:trPr>
        <w:tc>
          <w:tcPr>
            <w:tcW w:type="dxa" w:w="2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المحطة والسلّم</w:t>
            </w:r>
          </w:p>
        </w:tc>
        <w:tc>
          <w:tcPr>
            <w:tcW w:type="dxa" w:w="21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مالك العملية</w:t>
            </w:r>
          </w:p>
        </w:tc>
        <w:tc>
          <w:tcPr>
            <w:tcW w:type="dxa" w:w="2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دور المحاسب المنتدب</w:t>
            </w:r>
          </w:p>
        </w:tc>
        <w:tc>
          <w:tcPr>
            <w:tcW w:type="dxa" w:w="25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الرقابة والتنفيذ</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0"/>
                <w:szCs w:val="20"/>
                <w:rtl/>
              </w:rPr>
              <w:t xml:space="preserve">الواقعة اليومية واعتمادها</w:t>
            </w:r>
          </w:p>
          <w:p>
            <w:pPr>
              <w:bidi w:val="false"/>
              <w:spacing w:after="20" w:line="280"/>
              <w:jc w:val="left"/>
            </w:pPr>
            <w:r>
              <w:rPr>
                <w:b w:val="false"/>
                <w:bCs w:val="false"/>
                <w:color w:val="2E4A63"/>
                <w:sz w:val="18"/>
                <w:szCs w:val="18"/>
                <w:rtl w:val="false"/>
              </w:rPr>
              <w:t xml:space="preserve">LD-01</w:t>
            </w:r>
          </w:p>
        </w:tc>
        <w:tc>
          <w:tcPr>
            <w:tcW w:type="dxa" w:w="2100"/>
            <w:tcMar>
              <w:top w:type="dxa" w:w="70"/>
              <w:left w:type="dxa" w:w="95"/>
              <w:bottom w:type="dxa" w:w="70"/>
              <w:right w:type="dxa" w:w="95"/>
            </w:tcMar>
            <w:vAlign w:val="center"/>
          </w:tcPr>
          <w:p>
            <w:pPr>
              <w:bidi/>
              <w:spacing w:after="20" w:line="280"/>
              <w:jc w:val="right"/>
            </w:pPr>
            <w:r>
              <w:rPr>
                <w:b/>
                <w:bCs/>
                <w:color w:val="1F3B57"/>
                <w:sz w:val="19"/>
                <w:szCs w:val="19"/>
                <w:rtl/>
              </w:rPr>
              <w:t xml:space="preserve">إدارة الموقع والتشغيل</w:t>
            </w:r>
          </w:p>
        </w:tc>
        <w:tc>
          <w:tcPr>
            <w:tcW w:type="dxa" w:w="2600"/>
            <w:tcMar>
              <w:top w:type="dxa" w:w="70"/>
              <w:left w:type="dxa" w:w="95"/>
              <w:bottom w:type="dxa" w:w="70"/>
              <w:right w:type="dxa" w:w="95"/>
            </w:tcMar>
            <w:vAlign w:val="center"/>
          </w:tcPr>
          <w:p>
            <w:pPr>
              <w:bidi/>
              <w:spacing w:after="20" w:line="280"/>
              <w:jc w:val="right"/>
            </w:pPr>
            <w:r>
              <w:rPr>
                <w:b w:val="false"/>
                <w:bCs w:val="false"/>
                <w:sz w:val="19"/>
                <w:szCs w:val="19"/>
                <w:rtl/>
              </w:rPr>
              <w:t xml:space="preserve">المحاسب المقيم بالموقع يدٌ ثانيةٌ في هذا السلّم وحده — بنص قرار التثبيت</w:t>
            </w:r>
          </w:p>
        </w:tc>
        <w:tc>
          <w:tcPr>
            <w:tcW w:type="dxa" w:w="25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لا أثر محاسبي في هذه المرحلة</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مطابقة العميل والاعتماد التجاري</w:t>
            </w:r>
          </w:p>
          <w:p>
            <w:pPr>
              <w:bidi w:val="false"/>
              <w:spacing w:after="20" w:line="280"/>
              <w:jc w:val="left"/>
            </w:pPr>
            <w:r>
              <w:rPr>
                <w:b w:val="false"/>
                <w:bCs w:val="false"/>
                <w:color w:val="2E4A63"/>
                <w:sz w:val="18"/>
                <w:szCs w:val="18"/>
                <w:rtl w:val="false"/>
              </w:rPr>
              <w:t xml:space="preserve">LD-02</w:t>
            </w:r>
          </w:p>
        </w:tc>
        <w:tc>
          <w:tcPr>
            <w:tcW w:type="dxa" w:w="2100"/>
            <w:shd w:fill="F2F6FA" w:color="auto" w:val="clear"/>
            <w:tcMar>
              <w:top w:type="dxa" w:w="70"/>
              <w:left w:type="dxa" w:w="95"/>
              <w:bottom w:type="dxa" w:w="70"/>
              <w:right w:type="dxa" w:w="95"/>
            </w:tcMar>
            <w:vAlign w:val="center"/>
          </w:tcPr>
          <w:p>
            <w:pPr>
              <w:bidi/>
              <w:spacing w:after="20" w:line="280"/>
              <w:jc w:val="right"/>
            </w:pPr>
            <w:r>
              <w:rPr>
                <w:b/>
                <w:bCs/>
                <w:color w:val="1F3B57"/>
                <w:sz w:val="19"/>
                <w:szCs w:val="19"/>
                <w:rtl/>
              </w:rPr>
              <w:t xml:space="preserve">المبيعات والعقود</w:t>
            </w:r>
          </w:p>
        </w:tc>
        <w:tc>
          <w:tcPr>
            <w:tcW w:type="dxa" w:w="26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محاسب المبيعات يراجع الأثر المالي المترتب ولا يعتمد</w:t>
            </w:r>
          </w:p>
        </w:tc>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مشرف العميل خطوةٌ في السلّم، ويُتجاوَز بقرار موثَّق عند غيابه</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0"/>
                <w:szCs w:val="20"/>
                <w:rtl/>
              </w:rPr>
              <w:t xml:space="preserve">اعتماد وحدات المورد</w:t>
            </w:r>
          </w:p>
          <w:p>
            <w:pPr>
              <w:bidi w:val="false"/>
              <w:spacing w:after="20" w:line="280"/>
              <w:jc w:val="left"/>
            </w:pPr>
            <w:r>
              <w:rPr>
                <w:b w:val="false"/>
                <w:bCs w:val="false"/>
                <w:color w:val="2E4A63"/>
                <w:sz w:val="18"/>
                <w:szCs w:val="18"/>
                <w:rtl w:val="false"/>
              </w:rPr>
              <w:t xml:space="preserve">LD-03</w:t>
            </w:r>
          </w:p>
        </w:tc>
        <w:tc>
          <w:tcPr>
            <w:tcW w:type="dxa" w:w="2100"/>
            <w:tcMar>
              <w:top w:type="dxa" w:w="70"/>
              <w:left w:type="dxa" w:w="95"/>
              <w:bottom w:type="dxa" w:w="70"/>
              <w:right w:type="dxa" w:w="95"/>
            </w:tcMar>
            <w:vAlign w:val="center"/>
          </w:tcPr>
          <w:p>
            <w:pPr>
              <w:bidi/>
              <w:spacing w:after="20" w:line="280"/>
              <w:jc w:val="right"/>
            </w:pPr>
            <w:r>
              <w:rPr>
                <w:b/>
                <w:bCs/>
                <w:color w:val="1F3B57"/>
                <w:sz w:val="19"/>
                <w:szCs w:val="19"/>
                <w:rtl/>
              </w:rPr>
              <w:t xml:space="preserve">إدارة الموردين</w:t>
            </w:r>
          </w:p>
        </w:tc>
        <w:tc>
          <w:tcPr>
            <w:tcW w:type="dxa" w:w="2600"/>
            <w:tcMar>
              <w:top w:type="dxa" w:w="70"/>
              <w:left w:type="dxa" w:w="95"/>
              <w:bottom w:type="dxa" w:w="70"/>
              <w:right w:type="dxa" w:w="95"/>
            </w:tcMar>
            <w:vAlign w:val="center"/>
          </w:tcPr>
          <w:p>
            <w:pPr>
              <w:bidi/>
              <w:spacing w:after="20" w:line="280"/>
              <w:jc w:val="right"/>
            </w:pPr>
            <w:r>
              <w:rPr>
                <w:b w:val="false"/>
                <w:bCs w:val="false"/>
                <w:sz w:val="19"/>
                <w:szCs w:val="19"/>
                <w:rtl/>
              </w:rPr>
              <w:t xml:space="preserve">لا محاسب في هذه الخطوة — الفحص آليٌّ من المحرك المختص</w:t>
            </w:r>
          </w:p>
        </w:tc>
        <w:tc>
          <w:tcPr>
            <w:tcW w:type="dxa" w:w="25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لا ترحيل — المرحلة تشغيلية</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اعتماد وحدات المشغّلين</w:t>
            </w:r>
          </w:p>
          <w:p>
            <w:pPr>
              <w:bidi w:val="false"/>
              <w:spacing w:after="20" w:line="280"/>
              <w:jc w:val="left"/>
            </w:pPr>
            <w:r>
              <w:rPr>
                <w:b w:val="false"/>
                <w:bCs w:val="false"/>
                <w:color w:val="2E4A63"/>
                <w:sz w:val="18"/>
                <w:szCs w:val="18"/>
                <w:rtl w:val="false"/>
              </w:rPr>
              <w:t xml:space="preserve">LD-04</w:t>
            </w:r>
          </w:p>
        </w:tc>
        <w:tc>
          <w:tcPr>
            <w:tcW w:type="dxa" w:w="2100"/>
            <w:shd w:fill="F2F6FA" w:color="auto" w:val="clear"/>
            <w:tcMar>
              <w:top w:type="dxa" w:w="70"/>
              <w:left w:type="dxa" w:w="95"/>
              <w:bottom w:type="dxa" w:w="70"/>
              <w:right w:type="dxa" w:w="95"/>
            </w:tcMar>
            <w:vAlign w:val="center"/>
          </w:tcPr>
          <w:p>
            <w:pPr>
              <w:bidi/>
              <w:spacing w:after="20" w:line="280"/>
              <w:jc w:val="right"/>
            </w:pPr>
            <w:r>
              <w:rPr>
                <w:b/>
                <w:bCs/>
                <w:color w:val="1F3B57"/>
                <w:sz w:val="19"/>
                <w:szCs w:val="19"/>
                <w:rtl/>
              </w:rPr>
              <w:t xml:space="preserve">القوى التشغيلية</w:t>
            </w:r>
          </w:p>
        </w:tc>
        <w:tc>
          <w:tcPr>
            <w:tcW w:type="dxa" w:w="26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لا محاسب في هذه الخطوة — الفحص آليٌّ من المحرك المختص</w:t>
            </w:r>
          </w:p>
        </w:tc>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لا ترحيل — المرحلة تشغيلية</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0"/>
                <w:szCs w:val="20"/>
                <w:rtl/>
              </w:rPr>
              <w:t xml:space="preserve">الاعتماد المالي الأولي</w:t>
            </w:r>
          </w:p>
          <w:p>
            <w:pPr>
              <w:bidi w:val="false"/>
              <w:spacing w:after="20" w:line="280"/>
              <w:jc w:val="left"/>
            </w:pPr>
            <w:r>
              <w:rPr>
                <w:b w:val="false"/>
                <w:bCs w:val="false"/>
                <w:color w:val="2E4A63"/>
                <w:sz w:val="18"/>
                <w:szCs w:val="18"/>
                <w:rtl w:val="false"/>
              </w:rPr>
              <w:t xml:space="preserve">LD-05</w:t>
            </w:r>
          </w:p>
        </w:tc>
        <w:tc>
          <w:tcPr>
            <w:tcW w:type="dxa" w:w="2100"/>
            <w:tcMar>
              <w:top w:type="dxa" w:w="70"/>
              <w:left w:type="dxa" w:w="95"/>
              <w:bottom w:type="dxa" w:w="70"/>
              <w:right w:type="dxa" w:w="95"/>
            </w:tcMar>
            <w:vAlign w:val="center"/>
          </w:tcPr>
          <w:p>
            <w:pPr>
              <w:bidi/>
              <w:spacing w:after="20" w:line="280"/>
              <w:jc w:val="right"/>
            </w:pPr>
            <w:r>
              <w:rPr>
                <w:b/>
                <w:bCs/>
                <w:color w:val="1F3B57"/>
                <w:sz w:val="19"/>
                <w:szCs w:val="19"/>
                <w:rtl/>
              </w:rPr>
              <w:t xml:space="preserve">المالية والمحاسبة</w:t>
            </w:r>
          </w:p>
        </w:tc>
        <w:tc>
          <w:tcPr>
            <w:tcW w:type="dxa" w:w="2600"/>
            <w:tcMar>
              <w:top w:type="dxa" w:w="70"/>
              <w:left w:type="dxa" w:w="95"/>
              <w:bottom w:type="dxa" w:w="70"/>
              <w:right w:type="dxa" w:w="95"/>
            </w:tcMar>
            <w:vAlign w:val="center"/>
          </w:tcPr>
          <w:p>
            <w:pPr>
              <w:bidi/>
              <w:spacing w:after="20" w:line="280"/>
              <w:jc w:val="right"/>
            </w:pPr>
            <w:r>
              <w:rPr>
                <w:b w:val="false"/>
                <w:bCs w:val="false"/>
                <w:sz w:val="19"/>
                <w:szCs w:val="19"/>
                <w:rtl/>
              </w:rPr>
              <w:t xml:space="preserve">محاسب المبيعات يُعدّ بيانات الأثر</w:t>
            </w:r>
          </w:p>
        </w:tc>
        <w:tc>
          <w:tcPr>
            <w:tcW w:type="dxa" w:w="25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بوابة المالية تبدأ هنا ولا قبلها</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الفاتورة وقبول العميل</w:t>
            </w:r>
          </w:p>
          <w:p>
            <w:pPr>
              <w:bidi w:val="false"/>
              <w:spacing w:after="20" w:line="280"/>
              <w:jc w:val="left"/>
            </w:pPr>
            <w:r>
              <w:rPr>
                <w:b w:val="false"/>
                <w:bCs w:val="false"/>
                <w:color w:val="2E4A63"/>
                <w:sz w:val="18"/>
                <w:szCs w:val="18"/>
                <w:rtl w:val="false"/>
              </w:rPr>
              <w:t xml:space="preserve">LD-06</w:t>
            </w:r>
          </w:p>
        </w:tc>
        <w:tc>
          <w:tcPr>
            <w:tcW w:type="dxa" w:w="2100"/>
            <w:shd w:fill="F2F6FA" w:color="auto" w:val="clear"/>
            <w:tcMar>
              <w:top w:type="dxa" w:w="70"/>
              <w:left w:type="dxa" w:w="95"/>
              <w:bottom w:type="dxa" w:w="70"/>
              <w:right w:type="dxa" w:w="95"/>
            </w:tcMar>
            <w:vAlign w:val="center"/>
          </w:tcPr>
          <w:p>
            <w:pPr>
              <w:bidi/>
              <w:spacing w:after="20" w:line="280"/>
              <w:jc w:val="right"/>
            </w:pPr>
            <w:r>
              <w:rPr>
                <w:b/>
                <w:bCs/>
                <w:color w:val="1F3B57"/>
                <w:sz w:val="19"/>
                <w:szCs w:val="19"/>
                <w:rtl/>
              </w:rPr>
              <w:t xml:space="preserve">المالية والمحاسبة</w:t>
            </w:r>
          </w:p>
        </w:tc>
        <w:tc>
          <w:tcPr>
            <w:tcW w:type="dxa" w:w="26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محاسب المبيعات يهيّئ الفاتورة وأمر التحصيل ولا يعتمدهما</w:t>
            </w:r>
          </w:p>
        </w:tc>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0"/>
                <w:szCs w:val="20"/>
                <w:rtl/>
              </w:rPr>
              <w:t xml:space="preserve">الاعتماد المالي النهائي</w:t>
            </w:r>
          </w:p>
          <w:p>
            <w:pPr>
              <w:bidi w:val="false"/>
              <w:spacing w:after="20" w:line="280"/>
              <w:jc w:val="left"/>
            </w:pPr>
            <w:r>
              <w:rPr>
                <w:b w:val="false"/>
                <w:bCs w:val="false"/>
                <w:color w:val="2E4A63"/>
                <w:sz w:val="18"/>
                <w:szCs w:val="18"/>
                <w:rtl w:val="false"/>
              </w:rPr>
              <w:t xml:space="preserve">LD-07</w:t>
            </w:r>
          </w:p>
        </w:tc>
        <w:tc>
          <w:tcPr>
            <w:tcW w:type="dxa" w:w="2100"/>
            <w:tcMar>
              <w:top w:type="dxa" w:w="70"/>
              <w:left w:type="dxa" w:w="95"/>
              <w:bottom w:type="dxa" w:w="70"/>
              <w:right w:type="dxa" w:w="95"/>
            </w:tcMar>
            <w:vAlign w:val="center"/>
          </w:tcPr>
          <w:p>
            <w:pPr>
              <w:bidi/>
              <w:spacing w:after="20" w:line="280"/>
              <w:jc w:val="right"/>
            </w:pPr>
            <w:r>
              <w:rPr>
                <w:b/>
                <w:bCs/>
                <w:color w:val="1F3B57"/>
                <w:sz w:val="19"/>
                <w:szCs w:val="19"/>
                <w:rtl/>
              </w:rPr>
              <w:t xml:space="preserve">المالية والمحاسبة</w:t>
            </w:r>
          </w:p>
        </w:tc>
        <w:tc>
          <w:tcPr>
            <w:tcW w:type="dxa" w:w="2600"/>
            <w:tcMar>
              <w:top w:type="dxa" w:w="70"/>
              <w:left w:type="dxa" w:w="95"/>
              <w:bottom w:type="dxa" w:w="70"/>
              <w:right w:type="dxa" w:w="95"/>
            </w:tcMar>
            <w:vAlign w:val="center"/>
          </w:tcPr>
          <w:p>
            <w:pPr>
              <w:bidi/>
              <w:spacing w:after="20" w:line="280"/>
              <w:jc w:val="right"/>
            </w:pPr>
            <w:r>
              <w:rPr>
                <w:b w:val="false"/>
                <w:bCs w:val="false"/>
                <w:sz w:val="19"/>
                <w:szCs w:val="19"/>
                <w:rtl/>
              </w:rPr>
              <w:t xml:space="preserve">إعداد بيانات القيد فقط</w:t>
            </w:r>
          </w:p>
        </w:tc>
        <w:tc>
          <w:tcPr>
            <w:tcW w:type="dxa" w:w="25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رئيس الحسابات يجيز قبل الترحيل</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المطالبة التجارية</w:t>
            </w:r>
          </w:p>
          <w:p>
            <w:pPr>
              <w:bidi w:val="false"/>
              <w:spacing w:after="20" w:line="280"/>
              <w:jc w:val="left"/>
            </w:pPr>
            <w:r>
              <w:rPr>
                <w:b w:val="false"/>
                <w:bCs w:val="false"/>
                <w:color w:val="2E4A63"/>
                <w:sz w:val="18"/>
                <w:szCs w:val="18"/>
                <w:rtl w:val="false"/>
              </w:rPr>
              <w:t xml:space="preserve">RESOLVE_FROM_POLICY:sales_claim</w:t>
            </w:r>
          </w:p>
        </w:tc>
        <w:tc>
          <w:tcPr>
            <w:tcW w:type="dxa" w:w="2100"/>
            <w:shd w:fill="F2F6FA" w:color="auto" w:val="clear"/>
            <w:tcMar>
              <w:top w:type="dxa" w:w="70"/>
              <w:left w:type="dxa" w:w="95"/>
              <w:bottom w:type="dxa" w:w="70"/>
              <w:right w:type="dxa" w:w="95"/>
            </w:tcMar>
            <w:vAlign w:val="center"/>
          </w:tcPr>
          <w:p>
            <w:pPr>
              <w:bidi/>
              <w:spacing w:after="20" w:line="280"/>
              <w:jc w:val="right"/>
            </w:pPr>
            <w:r>
              <w:rPr>
                <w:b/>
                <w:bCs/>
                <w:color w:val="1F3B57"/>
                <w:sz w:val="19"/>
                <w:szCs w:val="19"/>
                <w:rtl/>
              </w:rPr>
              <w:t xml:space="preserve">المبيعات والعقود</w:t>
            </w:r>
          </w:p>
        </w:tc>
        <w:tc>
          <w:tcPr>
            <w:tcW w:type="dxa" w:w="26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محاسب المبيعات يراجع ويهيّئ أمر التحصيل</w:t>
            </w:r>
          </w:p>
        </w:tc>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لا نقد ولا ترحيل من المبيعات</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0"/>
                <w:szCs w:val="20"/>
                <w:rtl/>
              </w:rPr>
              <w:t xml:space="preserve">القبض من العميل</w:t>
            </w:r>
          </w:p>
          <w:p>
            <w:pPr>
              <w:bidi w:val="false"/>
              <w:spacing w:after="20" w:line="280"/>
              <w:jc w:val="left"/>
            </w:pPr>
            <w:r>
              <w:rPr>
                <w:b w:val="false"/>
                <w:bCs w:val="false"/>
                <w:color w:val="2E4A63"/>
                <w:sz w:val="18"/>
                <w:szCs w:val="18"/>
                <w:rtl w:val="false"/>
              </w:rPr>
              <w:t xml:space="preserve">RESOLVE_FROM_POLICY:treasury_receipt</w:t>
            </w:r>
          </w:p>
        </w:tc>
        <w:tc>
          <w:tcPr>
            <w:tcW w:type="dxa" w:w="2100"/>
            <w:tcMar>
              <w:top w:type="dxa" w:w="70"/>
              <w:left w:type="dxa" w:w="95"/>
              <w:bottom w:type="dxa" w:w="70"/>
              <w:right w:type="dxa" w:w="95"/>
            </w:tcMar>
            <w:vAlign w:val="center"/>
          </w:tcPr>
          <w:p>
            <w:pPr>
              <w:bidi/>
              <w:spacing w:after="20" w:line="280"/>
              <w:jc w:val="right"/>
            </w:pPr>
            <w:r>
              <w:rPr>
                <w:b/>
                <w:bCs/>
                <w:color w:val="1F3B57"/>
                <w:sz w:val="19"/>
                <w:szCs w:val="19"/>
                <w:rtl/>
              </w:rPr>
              <w:t xml:space="preserve">الخزينة والبنوك</w:t>
            </w:r>
          </w:p>
        </w:tc>
        <w:tc>
          <w:tcPr>
            <w:tcW w:type="dxa" w:w="2600"/>
            <w:tcMar>
              <w:top w:type="dxa" w:w="70"/>
              <w:left w:type="dxa" w:w="95"/>
              <w:bottom w:type="dxa" w:w="70"/>
              <w:right w:type="dxa" w:w="95"/>
            </w:tcMar>
            <w:vAlign w:val="center"/>
          </w:tcPr>
          <w:p>
            <w:pPr>
              <w:bidi/>
              <w:spacing w:after="20" w:line="280"/>
              <w:jc w:val="right"/>
            </w:pPr>
            <w:r>
              <w:rPr>
                <w:b w:val="false"/>
                <w:bCs w:val="false"/>
                <w:sz w:val="19"/>
                <w:szCs w:val="19"/>
                <w:rtl/>
              </w:rPr>
              <w:t xml:space="preserve">لا ينفّذه محاسب الإدارة ولو أعدّ الأمر</w:t>
            </w:r>
          </w:p>
        </w:tc>
        <w:tc>
          <w:tcPr>
            <w:tcW w:type="dxa" w:w="25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تنفيذ نقديٌّ ينتج مرجع الحركة — ولا قيد</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الترحيل إلى دفتر الأستاذ</w:t>
            </w:r>
          </w:p>
          <w:p>
            <w:pPr>
              <w:bidi w:val="false"/>
              <w:spacing w:after="20" w:line="280"/>
              <w:jc w:val="left"/>
            </w:pPr>
            <w:r>
              <w:rPr>
                <w:b w:val="false"/>
                <w:bCs w:val="false"/>
                <w:color w:val="2E4A63"/>
                <w:sz w:val="18"/>
                <w:szCs w:val="18"/>
                <w:rtl w:val="false"/>
              </w:rPr>
              <w:t xml:space="preserve">RESOLVE_FROM_POLICY:gl_posting</w:t>
            </w:r>
          </w:p>
        </w:tc>
        <w:tc>
          <w:tcPr>
            <w:tcW w:type="dxa" w:w="2100"/>
            <w:shd w:fill="F2F6FA" w:color="auto" w:val="clear"/>
            <w:tcMar>
              <w:top w:type="dxa" w:w="70"/>
              <w:left w:type="dxa" w:w="95"/>
              <w:bottom w:type="dxa" w:w="70"/>
              <w:right w:type="dxa" w:w="95"/>
            </w:tcMar>
            <w:vAlign w:val="center"/>
          </w:tcPr>
          <w:p>
            <w:pPr>
              <w:bidi/>
              <w:spacing w:after="20" w:line="280"/>
              <w:jc w:val="right"/>
            </w:pPr>
            <w:r>
              <w:rPr>
                <w:b/>
                <w:bCs/>
                <w:color w:val="1F3B57"/>
                <w:sz w:val="19"/>
                <w:szCs w:val="19"/>
                <w:rtl/>
              </w:rPr>
              <w:t xml:space="preserve">المحاسبة العامة</w:t>
            </w:r>
          </w:p>
        </w:tc>
        <w:tc>
          <w:tcPr>
            <w:tcW w:type="dxa" w:w="26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إعداد بيانات القيد فقط</w:t>
            </w:r>
          </w:p>
        </w:tc>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إجازة رئيس الحسابات ثم ينشئ القيدَ محرّكُ الترحيل</w:t>
            </w:r>
          </w:p>
        </w:tc>
      </w:tr>
    </w:tbl>
    <w:p>
      <w:pPr>
        <w:pStyle w:val="Heading2"/>
        <w:keepNext/>
        <w:bidi/>
        <w:spacing w:after="140" w:before="280"/>
        <w:jc w:val="right"/>
      </w:pPr>
      <w:r>
        <w:rPr>
          <w:b/>
          <w:bCs/>
          <w:rtl/>
        </w:rPr>
        <w:t xml:space="preserve">قواعد فصل الواجبات في السلسلة</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900"/>
        <w:gridCol w:w="6900"/>
      </w:tblGrid>
      <w:tr>
        <w:trPr>
          <w:cantSplit/>
          <w:tblHeader/>
        </w:trPr>
        <w:tc>
          <w:tcPr>
            <w:tcW w:type="dxa" w:w="2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القاعدة</w:t>
            </w:r>
          </w:p>
        </w:tc>
        <w:tc>
          <w:tcPr>
            <w:tcW w:type="dxa" w:w="6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مضمونها</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لا اسمَ معتمِدٍ يُكتب هنا</w:t>
            </w:r>
          </w:p>
        </w:tc>
        <w:tc>
          <w:tcPr>
            <w:tcW w:type="dxa" w:w="6900"/>
            <w:tcMar>
              <w:top w:type="dxa" w:w="70"/>
              <w:left w:type="dxa" w:w="95"/>
              <w:bottom w:type="dxa" w:w="70"/>
              <w:right w:type="dxa" w:w="95"/>
            </w:tcMar>
            <w:vAlign w:val="center"/>
          </w:tcPr>
          <w:p>
            <w:pPr>
              <w:bidi/>
              <w:spacing w:after="20" w:line="280"/>
              <w:jc w:val="right"/>
            </w:pPr>
            <w:r>
              <w:rPr>
                <w:b w:val="false"/>
                <w:bCs w:val="false"/>
                <w:sz w:val="20"/>
                <w:szCs w:val="20"/>
                <w:rtl/>
              </w:rPr>
              <w:t xml:space="preserve">هذه الوثيقة لا تسمّي جهة اعتمادٍ ولا تنشئ خطوةَ سلّمٍ جديدة. تكتب معرّف السلّم فقط، وتُحَلّ الجهةُ من محرك السلاليم الحاكم عرضًا وقت التنفيذ. وأيُّ تعديلٍ في السلّم يقع في المحرك نفسه لا في وثيقة إدارة.</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لا يدَ واحدة تجمع أربعًا</w:t>
            </w:r>
          </w:p>
        </w:tc>
        <w:tc>
          <w:tcPr>
            <w:tcW w:type="dxa" w:w="69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لا يجمع شخصٌ واحد بين إنشاء الطلب واعتماده وتنفيذ النقد وتسجيل القيد — ولو ملك الصلاحيات الأربع تقنيًّا.</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المحاسبة ليست الخزينة</w:t>
            </w:r>
          </w:p>
        </w:tc>
        <w:tc>
          <w:tcPr>
            <w:tcW w:type="dxa" w:w="6900"/>
            <w:tcMar>
              <w:top w:type="dxa" w:w="70"/>
              <w:left w:type="dxa" w:w="95"/>
              <w:bottom w:type="dxa" w:w="70"/>
              <w:right w:type="dxa" w:w="95"/>
            </w:tcMar>
            <w:vAlign w:val="center"/>
          </w:tcPr>
          <w:p>
            <w:pPr>
              <w:bidi/>
              <w:spacing w:after="20" w:line="280"/>
              <w:jc w:val="right"/>
            </w:pPr>
            <w:r>
              <w:rPr>
                <w:b w:val="false"/>
                <w:bCs w:val="false"/>
                <w:sz w:val="20"/>
                <w:szCs w:val="20"/>
                <w:rtl/>
              </w:rPr>
              <w:t xml:space="preserve">المحاسبة تملك الاعتراف والمعالجة ودفتر الأستاذ والرقابة والقيد؛ والخزينة تملك تنفيذ القبض والدفع والتعامل البنكي ومرجع الحركة. ولا تملك الخزينة قيدًا ولا اعتمادًا ماليًّا للوحدة.</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الإعداد لا يُنشئ اعتمادًا</w:t>
            </w:r>
          </w:p>
        </w:tc>
        <w:tc>
          <w:tcPr>
            <w:tcW w:type="dxa" w:w="69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إعدادُ أمر التحصيل أو الدفع أو بيانات القيد لا يُرحّل شيئًا — والترحيل لا يقع إلا بعد إجازة الرقابة المحاسبية.</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الموضع التقني لا يُنشئ ملكية</w:t>
            </w:r>
          </w:p>
        </w:tc>
        <w:tc>
          <w:tcPr>
            <w:tcW w:type="dxa" w:w="6900"/>
            <w:tcMar>
              <w:top w:type="dxa" w:w="70"/>
              <w:left w:type="dxa" w:w="95"/>
              <w:bottom w:type="dxa" w:w="70"/>
              <w:right w:type="dxa" w:w="95"/>
            </w:tcMar>
            <w:vAlign w:val="center"/>
          </w:tcPr>
          <w:p>
            <w:pPr>
              <w:bidi/>
              <w:spacing w:after="20" w:line="280"/>
              <w:jc w:val="right"/>
            </w:pPr>
            <w:r>
              <w:rPr>
                <w:b w:val="false"/>
                <w:bCs w:val="false"/>
                <w:sz w:val="20"/>
                <w:szCs w:val="20"/>
                <w:rtl/>
              </w:rPr>
              <w:t xml:space="preserve">وجودُ محرك الوحدات في نطاق التشغيل لا يجعل الاعتماد التجاري أو المالي مملوكًا للتشغيل — الموضع هندسةٌ والملكية حوكمة.</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ترتيب النقد والقيد ليس ثابتًا</w:t>
            </w:r>
          </w:p>
        </w:tc>
        <w:tc>
          <w:tcPr>
            <w:tcW w:type="dxa" w:w="69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تسلسلُ التنفيذ النقدي والقيد يحكمه نوع الحدث المحاسبي والسياسة، فلا يُفترض أن أحدهما يسبق الآخر دائمًا.</w:t>
            </w:r>
          </w:p>
        </w:tc>
      </w:tr>
    </w:tbl>
    <w:p>
      <w:pPr>
        <w:bidi/>
        <w:spacing w:before="130"/>
        <w:jc w:val="right"/>
      </w:pPr>
      <w:r>
        <w:rPr>
          <w:b/>
          <w:bCs/>
          <w:i w:val="false"/>
          <w:iCs w:val="false"/>
          <w:sz w:val="24"/>
          <w:szCs w:val="24"/>
          <w:rtl/>
        </w:rPr>
        <w:t xml:space="preserve">وتتابعُ الفصل الملزم: إعدادُ العملية ← اعتمادُ الاستحقاق أو الطلب ← الرقابةُ المحاسبية ← التنفيذُ النقدي ← الترحيلُ إلى دفتر الأستاذ. خمسُ محطاتٍ لا تجتمع في يدٍ واحدة بحال.</w:t>
      </w:r>
    </w:p>
    <w:p>
      <w:pPr>
        <w:pStyle w:val="Heading2"/>
        <w:keepNext/>
        <w:bidi/>
        <w:spacing w:after="140" w:before="280"/>
        <w:jc w:val="right"/>
      </w:pPr>
      <w:r>
        <w:rPr>
          <w:b/>
          <w:bCs/>
          <w:rtl/>
        </w:rPr>
        <w:t xml:space="preserve">الاعتماديات الخارجية — ما لا تملكه هذه الإدارة ولا تكتمل بدونه</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700"/>
        <w:gridCol w:w="2600"/>
        <w:gridCol w:w="2500"/>
        <w:gridCol w:w="2000"/>
      </w:tblGrid>
      <w:tr>
        <w:trPr>
          <w:cantSplit/>
          <w:tblHeader/>
        </w:trPr>
        <w:tc>
          <w:tcPr>
            <w:tcW w:type="dxa" w:w="27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الاعتمادية</w:t>
            </w:r>
          </w:p>
        </w:tc>
        <w:tc>
          <w:tcPr>
            <w:tcW w:type="dxa" w:w="2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الموضع التقني</w:t>
            </w:r>
          </w:p>
        </w:tc>
        <w:tc>
          <w:tcPr>
            <w:tcW w:type="dxa" w:w="25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مالك العملية</w:t>
            </w:r>
          </w:p>
        </w:tc>
        <w:tc>
          <w:tcPr>
            <w:tcW w:type="dxa" w:w="20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سلطة الاعتماد</w:t>
            </w:r>
          </w:p>
        </w:tc>
      </w:tr>
      <w:tr>
        <w:trPr>
          <w:cantSplit/>
        </w:trPr>
        <w:tc>
          <w:tcPr>
            <w:tcW w:type="dxa" w:w="2700"/>
            <w:tcMar>
              <w:top w:type="dxa" w:w="70"/>
              <w:left w:type="dxa" w:w="95"/>
              <w:bottom w:type="dxa" w:w="70"/>
              <w:right w:type="dxa" w:w="95"/>
            </w:tcMar>
            <w:vAlign w:val="center"/>
          </w:tcPr>
          <w:p>
            <w:pPr>
              <w:bidi/>
              <w:spacing w:after="20" w:line="280"/>
              <w:jc w:val="right"/>
            </w:pPr>
            <w:r>
              <w:rPr>
                <w:b/>
                <w:bCs/>
                <w:sz w:val="20"/>
                <w:szCs w:val="20"/>
                <w:rtl/>
              </w:rPr>
              <w:t xml:space="preserve">الاعتماد التجاري للوحدة</w:t>
            </w:r>
          </w:p>
          <w:p>
            <w:pPr>
              <w:bidi w:val="false"/>
              <w:spacing w:after="20" w:line="280"/>
              <w:jc w:val="left"/>
            </w:pPr>
            <w:r>
              <w:rPr>
                <w:b w:val="false"/>
                <w:bCs w:val="false"/>
                <w:color w:val="5A6B7B"/>
                <w:sz w:val="17"/>
                <w:szCs w:val="17"/>
                <w:rtl w:val="false"/>
              </w:rPr>
              <w:t xml:space="preserve">unit_sales_gate.php</w:t>
            </w:r>
          </w:p>
        </w:tc>
        <w:tc>
          <w:tcPr>
            <w:tcW w:type="dxa" w:w="2600"/>
            <w:tcMar>
              <w:top w:type="dxa" w:w="70"/>
              <w:left w:type="dxa" w:w="95"/>
              <w:bottom w:type="dxa" w:w="70"/>
              <w:right w:type="dxa" w:w="95"/>
            </w:tcMar>
            <w:vAlign w:val="center"/>
          </w:tcPr>
          <w:p>
            <w:pPr>
              <w:bidi/>
              <w:spacing w:after="20" w:line="280"/>
              <w:jc w:val="right"/>
            </w:pPr>
            <w:r>
              <w:rPr>
                <w:b w:val="false"/>
                <w:bCs w:val="false"/>
                <w:sz w:val="19"/>
                <w:szCs w:val="19"/>
                <w:rtl/>
              </w:rPr>
              <w:t xml:space="preserve">محرك الوحدات في نطاق التشغيل</w:t>
            </w:r>
          </w:p>
        </w:tc>
        <w:tc>
          <w:tcPr>
            <w:tcW w:type="dxa" w:w="2500"/>
            <w:tcMar>
              <w:top w:type="dxa" w:w="70"/>
              <w:left w:type="dxa" w:w="95"/>
              <w:bottom w:type="dxa" w:w="70"/>
              <w:right w:type="dxa" w:w="95"/>
            </w:tcMar>
            <w:vAlign w:val="center"/>
          </w:tcPr>
          <w:p>
            <w:pPr>
              <w:bidi/>
              <w:spacing w:after="20" w:line="280"/>
              <w:jc w:val="right"/>
            </w:pPr>
            <w:r>
              <w:rPr>
                <w:b/>
                <w:bCs/>
                <w:color w:val="1F3B57"/>
                <w:sz w:val="19"/>
                <w:szCs w:val="19"/>
                <w:rtl/>
              </w:rPr>
              <w:t xml:space="preserve">المبيعات والعقود</w:t>
            </w:r>
          </w:p>
        </w:tc>
        <w:tc>
          <w:tcPr>
            <w:tcW w:type="dxa" w:w="2000"/>
            <w:tcMar>
              <w:top w:type="dxa" w:w="70"/>
              <w:left w:type="dxa" w:w="95"/>
              <w:bottom w:type="dxa" w:w="70"/>
              <w:right w:type="dxa" w:w="95"/>
            </w:tcMar>
            <w:vAlign w:val="center"/>
          </w:tcPr>
          <w:p>
            <w:pPr>
              <w:bidi w:val="false"/>
              <w:spacing w:after="20" w:line="280"/>
              <w:jc w:val="center"/>
            </w:pPr>
            <w:r>
              <w:rPr>
                <w:b w:val="false"/>
                <w:bCs w:val="false"/>
                <w:sz w:val="19"/>
                <w:szCs w:val="19"/>
                <w:rtl w:val="false"/>
              </w:rPr>
              <w:t xml:space="preserve">LD-02</w:t>
            </w:r>
          </w:p>
        </w:tc>
      </w:tr>
      <w:tr>
        <w:trPr>
          <w:cantSplit/>
        </w:trPr>
        <w:tc>
          <w:tcPr>
            <w:tcW w:type="dxa" w:w="27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الاعتماد المالي الأولي</w:t>
            </w:r>
          </w:p>
          <w:p>
            <w:pPr>
              <w:bidi w:val="false"/>
              <w:spacing w:after="20" w:line="280"/>
              <w:jc w:val="left"/>
            </w:pPr>
            <w:r>
              <w:rPr>
                <w:b w:val="false"/>
                <w:bCs w:val="false"/>
                <w:color w:val="5A6B7B"/>
                <w:sz w:val="17"/>
                <w:szCs w:val="17"/>
                <w:rtl w:val="false"/>
              </w:rPr>
              <w:t xml:space="preserve">unit_fin_prelim.php</w:t>
            </w:r>
          </w:p>
        </w:tc>
        <w:tc>
          <w:tcPr>
            <w:tcW w:type="dxa" w:w="26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محرك الوحدات المشترك</w:t>
            </w:r>
          </w:p>
        </w:tc>
        <w:tc>
          <w:tcPr>
            <w:tcW w:type="dxa" w:w="2500"/>
            <w:shd w:fill="F2F6FA" w:color="auto" w:val="clear"/>
            <w:tcMar>
              <w:top w:type="dxa" w:w="70"/>
              <w:left w:type="dxa" w:w="95"/>
              <w:bottom w:type="dxa" w:w="70"/>
              <w:right w:type="dxa" w:w="95"/>
            </w:tcMar>
            <w:vAlign w:val="center"/>
          </w:tcPr>
          <w:p>
            <w:pPr>
              <w:bidi/>
              <w:spacing w:after="20" w:line="280"/>
              <w:jc w:val="right"/>
            </w:pPr>
            <w:r>
              <w:rPr>
                <w:b/>
                <w:bCs/>
                <w:color w:val="1F3B57"/>
                <w:sz w:val="19"/>
                <w:szCs w:val="19"/>
                <w:rtl/>
              </w:rPr>
              <w:t xml:space="preserve">المالية والمحاسبة</w:t>
            </w:r>
          </w:p>
        </w:tc>
        <w:tc>
          <w:tcPr>
            <w:tcW w:type="dxa" w:w="2000"/>
            <w:shd w:fill="F2F6FA" w:color="auto" w:val="clear"/>
            <w:tcMar>
              <w:top w:type="dxa" w:w="70"/>
              <w:left w:type="dxa" w:w="95"/>
              <w:bottom w:type="dxa" w:w="70"/>
              <w:right w:type="dxa" w:w="95"/>
            </w:tcMar>
            <w:vAlign w:val="center"/>
          </w:tcPr>
          <w:p>
            <w:pPr>
              <w:bidi w:val="false"/>
              <w:spacing w:after="20" w:line="280"/>
              <w:jc w:val="center"/>
            </w:pPr>
            <w:r>
              <w:rPr>
                <w:b w:val="false"/>
                <w:bCs w:val="false"/>
                <w:sz w:val="19"/>
                <w:szCs w:val="19"/>
                <w:rtl w:val="false"/>
              </w:rPr>
              <w:t xml:space="preserve">LD-05</w:t>
            </w:r>
          </w:p>
        </w:tc>
      </w:tr>
      <w:tr>
        <w:trPr>
          <w:cantSplit/>
        </w:trPr>
        <w:tc>
          <w:tcPr>
            <w:tcW w:type="dxa" w:w="2700"/>
            <w:tcMar>
              <w:top w:type="dxa" w:w="70"/>
              <w:left w:type="dxa" w:w="95"/>
              <w:bottom w:type="dxa" w:w="70"/>
              <w:right w:type="dxa" w:w="95"/>
            </w:tcMar>
            <w:vAlign w:val="center"/>
          </w:tcPr>
          <w:p>
            <w:pPr>
              <w:bidi/>
              <w:spacing w:after="20" w:line="280"/>
              <w:jc w:val="right"/>
            </w:pPr>
            <w:r>
              <w:rPr>
                <w:b/>
                <w:bCs/>
                <w:sz w:val="20"/>
                <w:szCs w:val="20"/>
                <w:rtl/>
              </w:rPr>
              <w:t xml:space="preserve">الاعتماد المالي النهائي</w:t>
            </w:r>
          </w:p>
          <w:p>
            <w:pPr>
              <w:bidi w:val="false"/>
              <w:spacing w:after="20" w:line="280"/>
              <w:jc w:val="left"/>
            </w:pPr>
            <w:r>
              <w:rPr>
                <w:b w:val="false"/>
                <w:bCs w:val="false"/>
                <w:color w:val="5A6B7B"/>
                <w:sz w:val="17"/>
                <w:szCs w:val="17"/>
                <w:rtl w:val="false"/>
              </w:rPr>
              <w:t xml:space="preserve">unit_fin_final.php</w:t>
            </w:r>
          </w:p>
        </w:tc>
        <w:tc>
          <w:tcPr>
            <w:tcW w:type="dxa" w:w="2600"/>
            <w:tcMar>
              <w:top w:type="dxa" w:w="70"/>
              <w:left w:type="dxa" w:w="95"/>
              <w:bottom w:type="dxa" w:w="70"/>
              <w:right w:type="dxa" w:w="95"/>
            </w:tcMar>
            <w:vAlign w:val="center"/>
          </w:tcPr>
          <w:p>
            <w:pPr>
              <w:bidi/>
              <w:spacing w:after="20" w:line="280"/>
              <w:jc w:val="right"/>
            </w:pPr>
            <w:r>
              <w:rPr>
                <w:b w:val="false"/>
                <w:bCs w:val="false"/>
                <w:sz w:val="19"/>
                <w:szCs w:val="19"/>
                <w:rtl/>
              </w:rPr>
              <w:t xml:space="preserve">محرك الوحدات المشترك</w:t>
            </w:r>
          </w:p>
        </w:tc>
        <w:tc>
          <w:tcPr>
            <w:tcW w:type="dxa" w:w="2500"/>
            <w:tcMar>
              <w:top w:type="dxa" w:w="70"/>
              <w:left w:type="dxa" w:w="95"/>
              <w:bottom w:type="dxa" w:w="70"/>
              <w:right w:type="dxa" w:w="95"/>
            </w:tcMar>
            <w:vAlign w:val="center"/>
          </w:tcPr>
          <w:p>
            <w:pPr>
              <w:bidi/>
              <w:spacing w:after="20" w:line="280"/>
              <w:jc w:val="right"/>
            </w:pPr>
            <w:r>
              <w:rPr>
                <w:b/>
                <w:bCs/>
                <w:color w:val="1F3B57"/>
                <w:sz w:val="19"/>
                <w:szCs w:val="19"/>
                <w:rtl/>
              </w:rPr>
              <w:t xml:space="preserve">المالية والمحاسبة</w:t>
            </w:r>
          </w:p>
        </w:tc>
        <w:tc>
          <w:tcPr>
            <w:tcW w:type="dxa" w:w="2000"/>
            <w:tcMar>
              <w:top w:type="dxa" w:w="70"/>
              <w:left w:type="dxa" w:w="95"/>
              <w:bottom w:type="dxa" w:w="70"/>
              <w:right w:type="dxa" w:w="95"/>
            </w:tcMar>
            <w:vAlign w:val="center"/>
          </w:tcPr>
          <w:p>
            <w:pPr>
              <w:bidi w:val="false"/>
              <w:spacing w:after="20" w:line="280"/>
              <w:jc w:val="center"/>
            </w:pPr>
            <w:r>
              <w:rPr>
                <w:b w:val="false"/>
                <w:bCs w:val="false"/>
                <w:sz w:val="19"/>
                <w:szCs w:val="19"/>
                <w:rtl w:val="false"/>
              </w:rPr>
              <w:t xml:space="preserve">LD-07</w:t>
            </w:r>
          </w:p>
        </w:tc>
      </w:tr>
      <w:tr>
        <w:trPr>
          <w:cantSplit/>
        </w:trPr>
        <w:tc>
          <w:tcPr>
            <w:tcW w:type="dxa" w:w="27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استحقاق عقد العميل</w:t>
            </w:r>
          </w:p>
          <w:p>
            <w:pPr>
              <w:bidi w:val="false"/>
              <w:spacing w:after="20" w:line="280"/>
              <w:jc w:val="left"/>
            </w:pPr>
            <w:r>
              <w:rPr>
                <w:b w:val="false"/>
                <w:bCs w:val="false"/>
                <w:color w:val="5A6B7B"/>
                <w:sz w:val="17"/>
                <w:szCs w:val="17"/>
                <w:rtl w:val="false"/>
              </w:rPr>
              <w:t xml:space="preserve">ar_accrual_gen.php</w:t>
            </w:r>
          </w:p>
        </w:tc>
        <w:tc>
          <w:tcPr>
            <w:tcW w:type="dxa" w:w="26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نطاق المالية</w:t>
            </w:r>
          </w:p>
        </w:tc>
        <w:tc>
          <w:tcPr>
            <w:tcW w:type="dxa" w:w="2500"/>
            <w:shd w:fill="F2F6FA" w:color="auto" w:val="clear"/>
            <w:tcMar>
              <w:top w:type="dxa" w:w="70"/>
              <w:left w:type="dxa" w:w="95"/>
              <w:bottom w:type="dxa" w:w="70"/>
              <w:right w:type="dxa" w:w="95"/>
            </w:tcMar>
            <w:vAlign w:val="center"/>
          </w:tcPr>
          <w:p>
            <w:pPr>
              <w:bidi/>
              <w:spacing w:after="20" w:line="280"/>
              <w:jc w:val="right"/>
            </w:pPr>
            <w:r>
              <w:rPr>
                <w:b/>
                <w:bCs/>
                <w:color w:val="1F3B57"/>
                <w:sz w:val="19"/>
                <w:szCs w:val="19"/>
                <w:rtl/>
              </w:rPr>
              <w:t xml:space="preserve">المالية والمحاسبة</w:t>
            </w:r>
          </w:p>
        </w:tc>
        <w:tc>
          <w:tcPr>
            <w:tcW w:type="dxa" w:w="2000"/>
            <w:shd w:fill="F2F6FA" w:color="auto" w:val="clear"/>
            <w:tcMar>
              <w:top w:type="dxa" w:w="70"/>
              <w:left w:type="dxa" w:w="95"/>
              <w:bottom w:type="dxa" w:w="70"/>
              <w:right w:type="dxa" w:w="95"/>
            </w:tcMar>
            <w:vAlign w:val="center"/>
          </w:tcPr>
          <w:p>
            <w:pPr>
              <w:bidi w:val="false"/>
              <w:spacing w:after="20" w:line="280"/>
              <w:jc w:val="center"/>
            </w:pPr>
            <w:r>
              <w:rPr>
                <w:b w:val="false"/>
                <w:bCs w:val="false"/>
                <w:sz w:val="19"/>
                <w:szCs w:val="19"/>
                <w:rtl w:val="false"/>
              </w:rPr>
              <w:t xml:space="preserve">RESOLVE_FROM_POLICY:ar_accrual</w:t>
            </w:r>
          </w:p>
        </w:tc>
      </w:tr>
      <w:tr>
        <w:trPr>
          <w:cantSplit/>
        </w:trPr>
        <w:tc>
          <w:tcPr>
            <w:tcW w:type="dxa" w:w="2700"/>
            <w:tcMar>
              <w:top w:type="dxa" w:w="70"/>
              <w:left w:type="dxa" w:w="95"/>
              <w:bottom w:type="dxa" w:w="70"/>
              <w:right w:type="dxa" w:w="95"/>
            </w:tcMar>
            <w:vAlign w:val="center"/>
          </w:tcPr>
          <w:p>
            <w:pPr>
              <w:bidi/>
              <w:spacing w:after="20" w:line="280"/>
              <w:jc w:val="right"/>
            </w:pPr>
            <w:r>
              <w:rPr>
                <w:b/>
                <w:bCs/>
                <w:sz w:val="20"/>
                <w:szCs w:val="20"/>
                <w:rtl/>
              </w:rPr>
              <w:t xml:space="preserve">شهادة الإنجاز والفاتورة</w:t>
            </w:r>
          </w:p>
          <w:p>
            <w:pPr>
              <w:bidi w:val="false"/>
              <w:spacing w:after="20" w:line="280"/>
              <w:jc w:val="left"/>
            </w:pPr>
            <w:r>
              <w:rPr>
                <w:b w:val="false"/>
                <w:bCs w:val="false"/>
                <w:color w:val="5A6B7B"/>
                <w:sz w:val="17"/>
                <w:szCs w:val="17"/>
                <w:rtl w:val="false"/>
              </w:rPr>
              <w:t xml:space="preserve">ar_completion_cert</w:t>
            </w:r>
            <w:r>
              <w:rPr>
                <w:b w:val="false"/>
                <w:bCs w:val="false"/>
                <w:color w:val="5A6B7B"/>
                <w:sz w:val="17"/>
                <w:szCs w:val="17"/>
                <w:rtl/>
              </w:rPr>
              <w:t xml:space="preserve"> · </w:t>
            </w:r>
            <w:r>
              <w:rPr>
                <w:b w:val="false"/>
                <w:bCs w:val="false"/>
                <w:color w:val="5A6B7B"/>
                <w:sz w:val="17"/>
                <w:szCs w:val="17"/>
                <w:rtl w:val="false"/>
              </w:rPr>
              <w:t xml:space="preserve">ar_claim_invoice</w:t>
            </w:r>
          </w:p>
        </w:tc>
        <w:tc>
          <w:tcPr>
            <w:tcW w:type="dxa" w:w="2600"/>
            <w:tcMar>
              <w:top w:type="dxa" w:w="70"/>
              <w:left w:type="dxa" w:w="95"/>
              <w:bottom w:type="dxa" w:w="70"/>
              <w:right w:type="dxa" w:w="95"/>
            </w:tcMar>
            <w:vAlign w:val="center"/>
          </w:tcPr>
          <w:p>
            <w:pPr>
              <w:bidi/>
              <w:spacing w:after="20" w:line="280"/>
              <w:jc w:val="right"/>
            </w:pPr>
            <w:r>
              <w:rPr>
                <w:b w:val="false"/>
                <w:bCs w:val="false"/>
                <w:sz w:val="19"/>
                <w:szCs w:val="19"/>
                <w:rtl/>
              </w:rPr>
              <w:t xml:space="preserve">نطاق المالية</w:t>
            </w:r>
          </w:p>
        </w:tc>
        <w:tc>
          <w:tcPr>
            <w:tcW w:type="dxa" w:w="2500"/>
            <w:tcMar>
              <w:top w:type="dxa" w:w="70"/>
              <w:left w:type="dxa" w:w="95"/>
              <w:bottom w:type="dxa" w:w="70"/>
              <w:right w:type="dxa" w:w="95"/>
            </w:tcMar>
            <w:vAlign w:val="center"/>
          </w:tcPr>
          <w:p>
            <w:pPr>
              <w:bidi/>
              <w:spacing w:after="20" w:line="280"/>
              <w:jc w:val="right"/>
            </w:pPr>
            <w:r>
              <w:rPr>
                <w:b/>
                <w:bCs/>
                <w:color w:val="1F3B57"/>
                <w:sz w:val="19"/>
                <w:szCs w:val="19"/>
                <w:rtl/>
              </w:rPr>
              <w:t xml:space="preserve">المالية والمحاسبة</w:t>
            </w:r>
          </w:p>
        </w:tc>
        <w:tc>
          <w:tcPr>
            <w:tcW w:type="dxa" w:w="2000"/>
            <w:tcMar>
              <w:top w:type="dxa" w:w="70"/>
              <w:left w:type="dxa" w:w="95"/>
              <w:bottom w:type="dxa" w:w="70"/>
              <w:right w:type="dxa" w:w="95"/>
            </w:tcMar>
            <w:vAlign w:val="center"/>
          </w:tcPr>
          <w:p>
            <w:pPr>
              <w:bidi w:val="false"/>
              <w:spacing w:after="20" w:line="280"/>
              <w:jc w:val="center"/>
            </w:pPr>
            <w:r>
              <w:rPr>
                <w:b w:val="false"/>
                <w:bCs w:val="false"/>
                <w:sz w:val="19"/>
                <w:szCs w:val="19"/>
                <w:rtl w:val="false"/>
              </w:rPr>
              <w:t xml:space="preserve">LD-06</w:t>
            </w:r>
          </w:p>
        </w:tc>
      </w:tr>
      <w:tr>
        <w:trPr>
          <w:cantSplit/>
        </w:trPr>
        <w:tc>
          <w:tcPr>
            <w:tcW w:type="dxa" w:w="27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سند القبض</w:t>
            </w:r>
          </w:p>
          <w:p>
            <w:pPr>
              <w:bidi w:val="false"/>
              <w:spacing w:after="20" w:line="280"/>
              <w:jc w:val="left"/>
            </w:pPr>
            <w:r>
              <w:rPr>
                <w:b w:val="false"/>
                <w:bCs w:val="false"/>
                <w:color w:val="5A6B7B"/>
                <w:sz w:val="17"/>
                <w:szCs w:val="17"/>
                <w:rtl w:val="false"/>
              </w:rPr>
              <w:t xml:space="preserve">tre_receipts.php</w:t>
            </w:r>
          </w:p>
        </w:tc>
        <w:tc>
          <w:tcPr>
            <w:tcW w:type="dxa" w:w="26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نطاق الخزينة</w:t>
            </w:r>
          </w:p>
        </w:tc>
        <w:tc>
          <w:tcPr>
            <w:tcW w:type="dxa" w:w="2500"/>
            <w:shd w:fill="F2F6FA" w:color="auto" w:val="clear"/>
            <w:tcMar>
              <w:top w:type="dxa" w:w="70"/>
              <w:left w:type="dxa" w:w="95"/>
              <w:bottom w:type="dxa" w:w="70"/>
              <w:right w:type="dxa" w:w="95"/>
            </w:tcMar>
            <w:vAlign w:val="center"/>
          </w:tcPr>
          <w:p>
            <w:pPr>
              <w:bidi/>
              <w:spacing w:after="20" w:line="280"/>
              <w:jc w:val="right"/>
            </w:pPr>
            <w:r>
              <w:rPr>
                <w:b/>
                <w:bCs/>
                <w:color w:val="1F3B57"/>
                <w:sz w:val="19"/>
                <w:szCs w:val="19"/>
                <w:rtl/>
              </w:rPr>
              <w:t xml:space="preserve">الخزينة والبنوك</w:t>
            </w:r>
          </w:p>
        </w:tc>
        <w:tc>
          <w:tcPr>
            <w:tcW w:type="dxa" w:w="2000"/>
            <w:shd w:fill="F2F6FA" w:color="auto" w:val="clear"/>
            <w:tcMar>
              <w:top w:type="dxa" w:w="70"/>
              <w:left w:type="dxa" w:w="95"/>
              <w:bottom w:type="dxa" w:w="70"/>
              <w:right w:type="dxa" w:w="95"/>
            </w:tcMar>
            <w:vAlign w:val="center"/>
          </w:tcPr>
          <w:p>
            <w:pPr>
              <w:bidi w:val="false"/>
              <w:spacing w:after="20" w:line="280"/>
              <w:jc w:val="center"/>
            </w:pPr>
            <w:r>
              <w:rPr>
                <w:b w:val="false"/>
                <w:bCs w:val="false"/>
                <w:sz w:val="19"/>
                <w:szCs w:val="19"/>
                <w:rtl w:val="false"/>
              </w:rPr>
              <w:t xml:space="preserve">RESOLVE_FROM_POLICY:treasury_receipt</w:t>
            </w:r>
          </w:p>
        </w:tc>
      </w:tr>
    </w:tbl>
    <w:p>
      <w:pPr>
        <w:bidi/>
        <w:spacing w:before="120"/>
        <w:jc w:val="right"/>
      </w:pPr>
      <w:r>
        <w:rPr>
          <w:b/>
          <w:bCs/>
          <w:i w:val="false"/>
          <w:iCs w:val="false"/>
          <w:sz w:val="24"/>
          <w:szCs w:val="24"/>
          <w:rtl/>
        </w:rPr>
        <w:t xml:space="preserve">ولا يُكتب في عمود سلطة الاعتماد اسمُ جهةٍ: يُكتب معرّف السلّم، وتُحَلّ الجهةُ عرضًا من محرك السلاليم الحاكم وقت التنفيذ. فإن تغيّر السلّم تغيّر العرض تلقائيًّا، ولا تستطيع هذه الوثيقة مخالفة المحرك.</w:t>
      </w:r>
    </w:p>
    <w:p>
      <w:pPr>
        <w:pStyle w:val="Heading2"/>
        <w:keepNext/>
        <w:bidi/>
        <w:spacing w:after="140" w:before="280"/>
        <w:jc w:val="right"/>
      </w:pPr>
      <w:r>
        <w:rPr>
          <w:b/>
          <w:bCs/>
          <w:rtl/>
        </w:rPr>
        <w:t xml:space="preserve">مسارات ظُنّت مفقودة وهي قائمة باسم آخر</w:t>
      </w:r>
    </w:p>
    <w:p>
      <w:pPr>
        <w:bidi/>
        <w:spacing w:after="130" w:line="330"/>
        <w:jc w:val="right"/>
      </w:pPr>
      <w:r>
        <w:rPr>
          <w:b w:val="false"/>
          <w:bCs w:val="false"/>
          <w:i w:val="false"/>
          <w:iCs w:val="false"/>
          <w:sz w:val="24"/>
          <w:szCs w:val="24"/>
          <w:rtl/>
        </w:rPr>
        <w:t xml:space="preserve">كشف الفحص العكسي نمطًا عامًّا: دفتر الدورة يسجّل أسماء ملفاتٍ مقترحة لا أسماءها الفعلية على القرص، فيُحسب السطح القائم مفقودًا. وهذه أحد عشر مسارًا ثبت وجودها — وأيُّ إعادة تسمية قبل تصحيح هذا الجدول تكسر مسارًا حيًّا.</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900"/>
        <w:gridCol w:w="3300"/>
        <w:gridCol w:w="3600"/>
      </w:tblGrid>
      <w:tr>
        <w:trPr>
          <w:cantSplit/>
          <w:tblHeader/>
        </w:trPr>
        <w:tc>
          <w:tcPr>
            <w:tcW w:type="dxa" w:w="2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الشاشة</w:t>
            </w:r>
          </w:p>
        </w:tc>
        <w:tc>
          <w:tcPr>
            <w:tcW w:type="dxa" w:w="33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اسمها في الدفتر ← مسارها الحقيقي</w:t>
            </w:r>
          </w:p>
        </w:tc>
        <w:tc>
          <w:tcPr>
            <w:tcW w:type="dxa" w:w="3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الحكم</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آليات تعديل السعر</w:t>
            </w:r>
          </w:p>
        </w:tc>
        <w:tc>
          <w:tcPr>
            <w:tcW w:type="dxa" w:w="3300"/>
            <w:tcMar>
              <w:top w:type="dxa" w:w="70"/>
              <w:left w:type="dxa" w:w="95"/>
              <w:bottom w:type="dxa" w:w="70"/>
              <w:right w:type="dxa" w:w="95"/>
            </w:tcMar>
            <w:vAlign w:val="center"/>
          </w:tcPr>
          <w:p>
            <w:pPr>
              <w:bidi w:val="false"/>
              <w:spacing w:after="20" w:line="280"/>
              <w:jc w:val="left"/>
            </w:pPr>
            <w:r>
              <w:rPr>
                <w:b w:val="false"/>
                <w:bCs w:val="false"/>
                <w:color w:val="A3151F"/>
                <w:sz w:val="18"/>
                <w:szCs w:val="18"/>
                <w:rtl w:val="false"/>
              </w:rPr>
              <w:t xml:space="preserve">price_adjust.php</w:t>
            </w:r>
          </w:p>
          <w:p>
            <w:pPr>
              <w:bidi w:val="false"/>
              <w:spacing w:after="20" w:line="280"/>
              <w:jc w:val="left"/>
            </w:pPr>
            <w:r>
              <w:rPr>
                <w:b w:val="false"/>
                <w:bCs w:val="false"/>
                <w:color w:val="1F6B3A"/>
                <w:sz w:val="18"/>
                <w:szCs w:val="18"/>
                <w:rtl w:val="false"/>
              </w:rPr>
              <w:t xml:space="preserve">Contracts/price_terms.php</w:t>
            </w:r>
          </w:p>
        </w:tc>
        <w:tc>
          <w:tcPr>
            <w:tcW w:type="dxa" w:w="3600"/>
            <w:tcMar>
              <w:top w:type="dxa" w:w="70"/>
              <w:left w:type="dxa" w:w="95"/>
              <w:bottom w:type="dxa" w:w="70"/>
              <w:right w:type="dxa" w:w="95"/>
            </w:tcMar>
            <w:vAlign w:val="center"/>
          </w:tcPr>
          <w:p>
            <w:pPr>
              <w:bidi/>
              <w:spacing w:after="20" w:line="280"/>
              <w:jc w:val="right"/>
            </w:pPr>
            <w:r>
              <w:rPr>
                <w:b w:val="false"/>
                <w:bCs w:val="false"/>
                <w:sz w:val="20"/>
                <w:szCs w:val="20"/>
                <w:rtl/>
              </w:rPr>
              <w:t xml:space="preserve">قائمة — الخلل في اسم الملف بالدفتر لا في الوجود</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فواتير العملاء</w:t>
            </w:r>
          </w:p>
        </w:tc>
        <w:tc>
          <w:tcPr>
            <w:tcW w:type="dxa" w:w="3300"/>
            <w:shd w:fill="F2F6FA" w:color="auto" w:val="clear"/>
            <w:tcMar>
              <w:top w:type="dxa" w:w="70"/>
              <w:left w:type="dxa" w:w="95"/>
              <w:bottom w:type="dxa" w:w="70"/>
              <w:right w:type="dxa" w:w="95"/>
            </w:tcMar>
            <w:vAlign w:val="center"/>
          </w:tcPr>
          <w:p>
            <w:pPr>
              <w:bidi w:val="false"/>
              <w:spacing w:after="20" w:line="280"/>
              <w:jc w:val="left"/>
            </w:pPr>
            <w:r>
              <w:rPr>
                <w:b w:val="false"/>
                <w:bCs w:val="false"/>
                <w:color w:val="A3151F"/>
                <w:sz w:val="18"/>
                <w:szCs w:val="18"/>
                <w:rtl w:val="false"/>
              </w:rPr>
              <w:t xml:space="preserve">invoices.php</w:t>
            </w:r>
          </w:p>
          <w:p>
            <w:pPr>
              <w:bidi w:val="false"/>
              <w:spacing w:after="20" w:line="280"/>
              <w:jc w:val="left"/>
            </w:pPr>
            <w:r>
              <w:rPr>
                <w:b w:val="false"/>
                <w:bCs w:val="false"/>
                <w:color w:val="1F6B3A"/>
                <w:sz w:val="18"/>
                <w:szCs w:val="18"/>
                <w:rtl w:val="false"/>
              </w:rPr>
              <w:t xml:space="preserve">Contracts/tax_invoices.php</w:t>
            </w:r>
          </w:p>
        </w:tc>
        <w:tc>
          <w:tcPr>
            <w:tcW w:type="dxa" w:w="36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قائمة وبيتها المالية</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معدات المورد ومالكوها</w:t>
            </w:r>
          </w:p>
        </w:tc>
        <w:tc>
          <w:tcPr>
            <w:tcW w:type="dxa" w:w="3300"/>
            <w:tcMar>
              <w:top w:type="dxa" w:w="70"/>
              <w:left w:type="dxa" w:w="95"/>
              <w:bottom w:type="dxa" w:w="70"/>
              <w:right w:type="dxa" w:w="95"/>
            </w:tcMar>
            <w:vAlign w:val="center"/>
          </w:tcPr>
          <w:p>
            <w:pPr>
              <w:bidi w:val="false"/>
              <w:spacing w:after="20" w:line="280"/>
              <w:jc w:val="left"/>
            </w:pPr>
            <w:r>
              <w:rPr>
                <w:b w:val="false"/>
                <w:bCs w:val="false"/>
                <w:color w:val="A3151F"/>
                <w:sz w:val="18"/>
                <w:szCs w:val="18"/>
                <w:rtl w:val="false"/>
              </w:rPr>
              <w:t xml:space="preserve">supplier_equip.php</w:t>
            </w:r>
          </w:p>
          <w:p>
            <w:pPr>
              <w:bidi w:val="false"/>
              <w:spacing w:after="20" w:line="280"/>
              <w:jc w:val="left"/>
            </w:pPr>
            <w:r>
              <w:rPr>
                <w:b w:val="false"/>
                <w:bCs w:val="false"/>
                <w:color w:val="1F6B3A"/>
                <w:sz w:val="18"/>
                <w:szCs w:val="18"/>
                <w:rtl w:val="false"/>
              </w:rPr>
              <w:t xml:space="preserve">Suppliers/equipment_plan.php</w:t>
            </w:r>
            <w:r>
              <w:rPr>
                <w:b w:val="false"/>
                <w:bCs w:val="false"/>
                <w:color w:val="1F6B3A"/>
                <w:sz w:val="18"/>
                <w:szCs w:val="18"/>
                <w:rtl/>
              </w:rPr>
              <w:t xml:space="preserve">#2</w:t>
            </w:r>
          </w:p>
        </w:tc>
        <w:tc>
          <w:tcPr>
            <w:tcW w:type="dxa" w:w="3600"/>
            <w:tcMar>
              <w:top w:type="dxa" w:w="70"/>
              <w:left w:type="dxa" w:w="95"/>
              <w:bottom w:type="dxa" w:w="70"/>
              <w:right w:type="dxa" w:w="95"/>
            </w:tcMar>
            <w:vAlign w:val="center"/>
          </w:tcPr>
          <w:p>
            <w:pPr>
              <w:bidi/>
              <w:spacing w:after="20" w:line="280"/>
              <w:jc w:val="right"/>
            </w:pPr>
            <w:r>
              <w:rPr>
                <w:b w:val="false"/>
                <w:bCs w:val="false"/>
                <w:sz w:val="20"/>
                <w:szCs w:val="20"/>
                <w:rtl/>
              </w:rPr>
              <w:t xml:space="preserve">قائمة منظورًا فرعيًّا</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أداء الموردين وجاهزيتهم</w:t>
            </w:r>
          </w:p>
        </w:tc>
        <w:tc>
          <w:tcPr>
            <w:tcW w:type="dxa" w:w="3300"/>
            <w:shd w:fill="F2F6FA" w:color="auto" w:val="clear"/>
            <w:tcMar>
              <w:top w:type="dxa" w:w="70"/>
              <w:left w:type="dxa" w:w="95"/>
              <w:bottom w:type="dxa" w:w="70"/>
              <w:right w:type="dxa" w:w="95"/>
            </w:tcMar>
            <w:vAlign w:val="center"/>
          </w:tcPr>
          <w:p>
            <w:pPr>
              <w:bidi w:val="false"/>
              <w:spacing w:after="20" w:line="280"/>
              <w:jc w:val="left"/>
            </w:pPr>
            <w:r>
              <w:rPr>
                <w:b w:val="false"/>
                <w:bCs w:val="false"/>
                <w:color w:val="A3151F"/>
                <w:sz w:val="18"/>
                <w:szCs w:val="18"/>
                <w:rtl w:val="false"/>
              </w:rPr>
              <w:t xml:space="preserve">supplier_perf.php</w:t>
            </w:r>
          </w:p>
          <w:p>
            <w:pPr>
              <w:bidi w:val="false"/>
              <w:spacing w:after="20" w:line="280"/>
              <w:jc w:val="left"/>
            </w:pPr>
            <w:r>
              <w:rPr>
                <w:b w:val="false"/>
                <w:bCs w:val="false"/>
                <w:color w:val="1F6B3A"/>
                <w:sz w:val="18"/>
                <w:szCs w:val="18"/>
                <w:rtl w:val="false"/>
              </w:rPr>
              <w:t xml:space="preserve">Suppliers/supplier_capacity.php</w:t>
            </w:r>
            <w:r>
              <w:rPr>
                <w:b w:val="false"/>
                <w:bCs w:val="false"/>
                <w:color w:val="1F6B3A"/>
                <w:sz w:val="18"/>
                <w:szCs w:val="18"/>
                <w:rtl/>
              </w:rPr>
              <w:t xml:space="preserve">#2</w:t>
            </w:r>
          </w:p>
        </w:tc>
        <w:tc>
          <w:tcPr>
            <w:tcW w:type="dxa" w:w="36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قائمة منظورًا فرعيًّا</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دفتر استهلاك حصص الموردين</w:t>
            </w:r>
          </w:p>
        </w:tc>
        <w:tc>
          <w:tcPr>
            <w:tcW w:type="dxa" w:w="3300"/>
            <w:tcMar>
              <w:top w:type="dxa" w:w="70"/>
              <w:left w:type="dxa" w:w="95"/>
              <w:bottom w:type="dxa" w:w="70"/>
              <w:right w:type="dxa" w:w="95"/>
            </w:tcMar>
            <w:vAlign w:val="center"/>
          </w:tcPr>
          <w:p>
            <w:pPr>
              <w:bidi w:val="false"/>
              <w:spacing w:after="20" w:line="280"/>
              <w:jc w:val="left"/>
            </w:pPr>
            <w:r>
              <w:rPr>
                <w:b w:val="false"/>
                <w:bCs w:val="false"/>
                <w:color w:val="A3151F"/>
                <w:sz w:val="18"/>
                <w:szCs w:val="18"/>
                <w:rtl w:val="false"/>
              </w:rPr>
              <w:t xml:space="preserve">quota_ledger.php</w:t>
            </w:r>
          </w:p>
          <w:p>
            <w:pPr>
              <w:bidi w:val="false"/>
              <w:spacing w:after="20" w:line="280"/>
              <w:jc w:val="left"/>
            </w:pPr>
            <w:r>
              <w:rPr>
                <w:b w:val="false"/>
                <w:bCs w:val="false"/>
                <w:color w:val="1F6B3A"/>
                <w:sz w:val="18"/>
                <w:szCs w:val="18"/>
                <w:rtl w:val="false"/>
              </w:rPr>
              <w:t xml:space="preserve">Suppliers/shares_coverage.php</w:t>
            </w:r>
            <w:r>
              <w:rPr>
                <w:b w:val="false"/>
                <w:bCs w:val="false"/>
                <w:color w:val="1F6B3A"/>
                <w:sz w:val="18"/>
                <w:szCs w:val="18"/>
                <w:rtl/>
              </w:rPr>
              <w:t xml:space="preserve">#2</w:t>
            </w:r>
          </w:p>
        </w:tc>
        <w:tc>
          <w:tcPr>
            <w:tcW w:type="dxa" w:w="3600"/>
            <w:tcMar>
              <w:top w:type="dxa" w:w="70"/>
              <w:left w:type="dxa" w:w="95"/>
              <w:bottom w:type="dxa" w:w="70"/>
              <w:right w:type="dxa" w:w="95"/>
            </w:tcMar>
            <w:vAlign w:val="center"/>
          </w:tcPr>
          <w:p>
            <w:pPr>
              <w:bidi/>
              <w:spacing w:after="20" w:line="280"/>
              <w:jc w:val="right"/>
            </w:pPr>
            <w:r>
              <w:rPr>
                <w:b w:val="false"/>
                <w:bCs w:val="false"/>
                <w:sz w:val="20"/>
                <w:szCs w:val="20"/>
                <w:rtl/>
              </w:rPr>
              <w:t xml:space="preserve">قائمة منظورًا فرعيًّا</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تسويات ومستحقات الموردين</w:t>
            </w:r>
          </w:p>
        </w:tc>
        <w:tc>
          <w:tcPr>
            <w:tcW w:type="dxa" w:w="3300"/>
            <w:shd w:fill="F2F6FA" w:color="auto" w:val="clear"/>
            <w:tcMar>
              <w:top w:type="dxa" w:w="70"/>
              <w:left w:type="dxa" w:w="95"/>
              <w:bottom w:type="dxa" w:w="70"/>
              <w:right w:type="dxa" w:w="95"/>
            </w:tcMar>
            <w:vAlign w:val="center"/>
          </w:tcPr>
          <w:p>
            <w:pPr>
              <w:bidi w:val="false"/>
              <w:spacing w:after="20" w:line="280"/>
              <w:jc w:val="left"/>
            </w:pPr>
            <w:r>
              <w:rPr>
                <w:b w:val="false"/>
                <w:bCs w:val="false"/>
                <w:color w:val="A3151F"/>
                <w:sz w:val="18"/>
                <w:szCs w:val="18"/>
                <w:rtl w:val="false"/>
              </w:rPr>
              <w:t xml:space="preserve">supplier_settle.php</w:t>
            </w:r>
          </w:p>
          <w:p>
            <w:pPr>
              <w:bidi w:val="false"/>
              <w:spacing w:after="20" w:line="280"/>
              <w:jc w:val="left"/>
            </w:pPr>
            <w:r>
              <w:rPr>
                <w:b w:val="false"/>
                <w:bCs w:val="false"/>
                <w:color w:val="1F6B3A"/>
                <w:sz w:val="18"/>
                <w:szCs w:val="18"/>
                <w:rtl w:val="false"/>
              </w:rPr>
              <w:t xml:space="preserve">Suppliers/settlements.php</w:t>
            </w:r>
          </w:p>
        </w:tc>
        <w:tc>
          <w:tcPr>
            <w:tcW w:type="dxa" w:w="36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قائمة باسم مسار مختلف</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عقود الموردين</w:t>
            </w:r>
          </w:p>
        </w:tc>
        <w:tc>
          <w:tcPr>
            <w:tcW w:type="dxa" w:w="3300"/>
            <w:tcMar>
              <w:top w:type="dxa" w:w="70"/>
              <w:left w:type="dxa" w:w="95"/>
              <w:bottom w:type="dxa" w:w="70"/>
              <w:right w:type="dxa" w:w="95"/>
            </w:tcMar>
            <w:vAlign w:val="center"/>
          </w:tcPr>
          <w:p>
            <w:pPr>
              <w:bidi w:val="false"/>
              <w:spacing w:after="20" w:line="280"/>
              <w:jc w:val="left"/>
            </w:pPr>
            <w:r>
              <w:rPr>
                <w:b w:val="false"/>
                <w:bCs w:val="false"/>
                <w:color w:val="A3151F"/>
                <w:sz w:val="18"/>
                <w:szCs w:val="18"/>
                <w:rtl w:val="false"/>
              </w:rPr>
              <w:t xml:space="preserve">supplier_contracts.php</w:t>
            </w:r>
          </w:p>
          <w:p>
            <w:pPr>
              <w:bidi w:val="false"/>
              <w:spacing w:after="20" w:line="280"/>
              <w:jc w:val="left"/>
            </w:pPr>
            <w:r>
              <w:rPr>
                <w:b w:val="false"/>
                <w:bCs w:val="false"/>
                <w:color w:val="1F6B3A"/>
                <w:sz w:val="18"/>
                <w:szCs w:val="18"/>
                <w:rtl w:val="false"/>
              </w:rPr>
              <w:t xml:space="preserve">Suppliers/supplierscontracts.php</w:t>
            </w:r>
          </w:p>
        </w:tc>
        <w:tc>
          <w:tcPr>
            <w:tcW w:type="dxa" w:w="3600"/>
            <w:tcMar>
              <w:top w:type="dxa" w:w="70"/>
              <w:left w:type="dxa" w:w="95"/>
              <w:bottom w:type="dxa" w:w="70"/>
              <w:right w:type="dxa" w:w="95"/>
            </w:tcMar>
            <w:vAlign w:val="center"/>
          </w:tcPr>
          <w:p>
            <w:pPr>
              <w:bidi/>
              <w:spacing w:after="20" w:line="280"/>
              <w:jc w:val="right"/>
            </w:pPr>
            <w:r>
              <w:rPr>
                <w:b w:val="false"/>
                <w:bCs w:val="false"/>
                <w:sz w:val="20"/>
                <w:szCs w:val="20"/>
                <w:rtl/>
              </w:rPr>
              <w:t xml:space="preserve">قائمة باسم مسار مختلف</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حصص الموردين من العقود</w:t>
            </w:r>
          </w:p>
        </w:tc>
        <w:tc>
          <w:tcPr>
            <w:tcW w:type="dxa" w:w="3300"/>
            <w:shd w:fill="F2F6FA" w:color="auto" w:val="clear"/>
            <w:tcMar>
              <w:top w:type="dxa" w:w="70"/>
              <w:left w:type="dxa" w:w="95"/>
              <w:bottom w:type="dxa" w:w="70"/>
              <w:right w:type="dxa" w:w="95"/>
            </w:tcMar>
            <w:vAlign w:val="center"/>
          </w:tcPr>
          <w:p>
            <w:pPr>
              <w:bidi w:val="false"/>
              <w:spacing w:after="20" w:line="280"/>
              <w:jc w:val="left"/>
            </w:pPr>
            <w:r>
              <w:rPr>
                <w:b w:val="false"/>
                <w:bCs w:val="false"/>
                <w:color w:val="A3151F"/>
                <w:sz w:val="18"/>
                <w:szCs w:val="18"/>
                <w:rtl w:val="false"/>
              </w:rPr>
              <w:t xml:space="preserve">supplier_quota.php</w:t>
            </w:r>
          </w:p>
          <w:p>
            <w:pPr>
              <w:bidi w:val="false"/>
              <w:spacing w:after="20" w:line="280"/>
              <w:jc w:val="left"/>
            </w:pPr>
            <w:r>
              <w:rPr>
                <w:b w:val="false"/>
                <w:bCs w:val="false"/>
                <w:color w:val="1F6B3A"/>
                <w:sz w:val="18"/>
                <w:szCs w:val="18"/>
                <w:rtl w:val="false"/>
              </w:rPr>
              <w:t xml:space="preserve">Suppliers/shares_coverage.php</w:t>
            </w:r>
          </w:p>
        </w:tc>
        <w:tc>
          <w:tcPr>
            <w:tcW w:type="dxa" w:w="36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قائمة باسم مسار مختلف</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كشف حساب المورد الشهري</w:t>
            </w:r>
          </w:p>
        </w:tc>
        <w:tc>
          <w:tcPr>
            <w:tcW w:type="dxa" w:w="3300"/>
            <w:tcMar>
              <w:top w:type="dxa" w:w="70"/>
              <w:left w:type="dxa" w:w="95"/>
              <w:bottom w:type="dxa" w:w="70"/>
              <w:right w:type="dxa" w:w="95"/>
            </w:tcMar>
            <w:vAlign w:val="center"/>
          </w:tcPr>
          <w:p>
            <w:pPr>
              <w:bidi w:val="false"/>
              <w:spacing w:after="20" w:line="280"/>
              <w:jc w:val="left"/>
            </w:pPr>
            <w:r>
              <w:rPr>
                <w:b w:val="false"/>
                <w:bCs w:val="false"/>
                <w:color w:val="A3151F"/>
                <w:sz w:val="18"/>
                <w:szCs w:val="18"/>
                <w:rtl w:val="false"/>
              </w:rPr>
              <w:t xml:space="preserve">supplier_stmt.php</w:t>
            </w:r>
          </w:p>
          <w:p>
            <w:pPr>
              <w:bidi w:val="false"/>
              <w:spacing w:after="20" w:line="280"/>
              <w:jc w:val="left"/>
            </w:pPr>
            <w:r>
              <w:rPr>
                <w:b w:val="false"/>
                <w:bCs w:val="false"/>
                <w:color w:val="1F6B3A"/>
                <w:sz w:val="18"/>
                <w:szCs w:val="18"/>
                <w:rtl w:val="false"/>
              </w:rPr>
              <w:t xml:space="preserve">Finance/supplier_statement_fin.php</w:t>
            </w:r>
          </w:p>
        </w:tc>
        <w:tc>
          <w:tcPr>
            <w:tcW w:type="dxa" w:w="3600"/>
            <w:tcMar>
              <w:top w:type="dxa" w:w="70"/>
              <w:left w:type="dxa" w:w="95"/>
              <w:bottom w:type="dxa" w:w="70"/>
              <w:right w:type="dxa" w:w="95"/>
            </w:tcMar>
            <w:vAlign w:val="center"/>
          </w:tcPr>
          <w:p>
            <w:pPr>
              <w:bidi/>
              <w:spacing w:after="20" w:line="280"/>
              <w:jc w:val="right"/>
            </w:pPr>
            <w:r>
              <w:rPr>
                <w:b w:val="false"/>
                <w:bCs w:val="false"/>
                <w:sz w:val="20"/>
                <w:szCs w:val="20"/>
                <w:rtl/>
              </w:rPr>
              <w:t xml:space="preserve">قائمة وبيتها المالية</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مصفوفة توجيه الطلبات المالية</w:t>
            </w:r>
          </w:p>
        </w:tc>
        <w:tc>
          <w:tcPr>
            <w:tcW w:type="dxa" w:w="3300"/>
            <w:shd w:fill="F2F6FA" w:color="auto" w:val="clear"/>
            <w:tcMar>
              <w:top w:type="dxa" w:w="70"/>
              <w:left w:type="dxa" w:w="95"/>
              <w:bottom w:type="dxa" w:w="70"/>
              <w:right w:type="dxa" w:w="95"/>
            </w:tcMar>
            <w:vAlign w:val="center"/>
          </w:tcPr>
          <w:p>
            <w:pPr>
              <w:bidi w:val="false"/>
              <w:spacing w:after="20" w:line="280"/>
              <w:jc w:val="left"/>
            </w:pPr>
            <w:r>
              <w:rPr>
                <w:b w:val="false"/>
                <w:bCs w:val="false"/>
                <w:color w:val="A3151F"/>
                <w:sz w:val="18"/>
                <w:szCs w:val="18"/>
                <w:rtl w:val="false"/>
              </w:rPr>
              <w:t xml:space="preserve">fin_routing.php</w:t>
            </w:r>
          </w:p>
          <w:p>
            <w:pPr>
              <w:bidi w:val="false"/>
              <w:spacing w:after="20" w:line="280"/>
              <w:jc w:val="left"/>
            </w:pPr>
            <w:r>
              <w:rPr>
                <w:b w:val="false"/>
                <w:bCs w:val="false"/>
                <w:color w:val="1F6B3A"/>
                <w:sz w:val="18"/>
                <w:szCs w:val="18"/>
                <w:rtl w:val="false"/>
              </w:rPr>
              <w:t xml:space="preserve">Finance/acc_routing_matrix.php</w:t>
            </w:r>
          </w:p>
        </w:tc>
        <w:tc>
          <w:tcPr>
            <w:tcW w:type="dxa" w:w="36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قائمة باسم مسار مختلف</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المرتجَع المالي للإدارات</w:t>
            </w:r>
          </w:p>
        </w:tc>
        <w:tc>
          <w:tcPr>
            <w:tcW w:type="dxa" w:w="3300"/>
            <w:tcMar>
              <w:top w:type="dxa" w:w="70"/>
              <w:left w:type="dxa" w:w="95"/>
              <w:bottom w:type="dxa" w:w="70"/>
              <w:right w:type="dxa" w:w="95"/>
            </w:tcMar>
            <w:vAlign w:val="center"/>
          </w:tcPr>
          <w:p>
            <w:pPr>
              <w:bidi w:val="false"/>
              <w:spacing w:after="20" w:line="280"/>
              <w:jc w:val="left"/>
            </w:pPr>
            <w:r>
              <w:rPr>
                <w:b w:val="false"/>
                <w:bCs w:val="false"/>
                <w:color w:val="A3151F"/>
                <w:sz w:val="18"/>
                <w:szCs w:val="18"/>
                <w:rtl w:val="false"/>
              </w:rPr>
              <w:t xml:space="preserve">fin_backflow.php</w:t>
            </w:r>
          </w:p>
          <w:p>
            <w:pPr>
              <w:bidi w:val="false"/>
              <w:spacing w:after="20" w:line="280"/>
              <w:jc w:val="left"/>
            </w:pPr>
            <w:r>
              <w:rPr>
                <w:b w:val="false"/>
                <w:bCs w:val="false"/>
                <w:color w:val="1F6B3A"/>
                <w:sz w:val="18"/>
                <w:szCs w:val="18"/>
                <w:rtl w:val="false"/>
              </w:rPr>
              <w:t xml:space="preserve">Finance/acc_backflow.php</w:t>
            </w:r>
          </w:p>
        </w:tc>
        <w:tc>
          <w:tcPr>
            <w:tcW w:type="dxa" w:w="3600"/>
            <w:tcMar>
              <w:top w:type="dxa" w:w="70"/>
              <w:left w:type="dxa" w:w="95"/>
              <w:bottom w:type="dxa" w:w="70"/>
              <w:right w:type="dxa" w:w="95"/>
            </w:tcMar>
            <w:vAlign w:val="center"/>
          </w:tcPr>
          <w:p>
            <w:pPr>
              <w:bidi/>
              <w:spacing w:after="20" w:line="280"/>
              <w:jc w:val="right"/>
            </w:pPr>
            <w:r>
              <w:rPr>
                <w:b w:val="false"/>
                <w:bCs w:val="false"/>
                <w:sz w:val="20"/>
                <w:szCs w:val="20"/>
                <w:rtl/>
              </w:rPr>
              <w:t xml:space="preserve">قائمة باسم مسار مختلف</w:t>
            </w:r>
          </w:p>
        </w:tc>
      </w:tr>
    </w:tbl>
    <w:p>
      <w:pPr>
        <w:pStyle w:val="Heading2"/>
        <w:keepNext/>
        <w:bidi/>
        <w:spacing w:after="140" w:before="280"/>
        <w:jc w:val="right"/>
      </w:pPr>
      <w:r>
        <w:rPr>
          <w:b/>
          <w:bCs/>
          <w:rtl/>
        </w:rPr>
        <w:t xml:space="preserve">قاموس تحويل المصطلحات بين المرجع الحاكم والمنصة</w:t>
      </w:r>
    </w:p>
    <w:p>
      <w:pPr>
        <w:bidi/>
        <w:spacing w:after="130" w:line="330"/>
        <w:jc w:val="right"/>
      </w:pPr>
      <w:r>
        <w:rPr>
          <w:b w:val="false"/>
          <w:bCs w:val="false"/>
          <w:i w:val="false"/>
          <w:iCs w:val="false"/>
          <w:sz w:val="24"/>
          <w:szCs w:val="24"/>
          <w:rtl/>
        </w:rPr>
        <w:t xml:space="preserve">المرجع الحاكم يستعمل مفردات دفترية قديمة، والمنصة اعتمدت مفرداتٍ مؤسسية بديلة. والترجمة بينهما ملزمة: يُقرأ المرجع بمفرداته، وتُعرض الواجهة بمفردات المنصة، ولا يظهر لفظ فنيٌّ واحد في التنقّل.</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3000"/>
        <w:gridCol w:w="2600"/>
        <w:gridCol w:w="4200"/>
      </w:tblGrid>
      <w:tr>
        <w:trPr>
          <w:cantSplit/>
          <w:tblHeader/>
        </w:trPr>
        <w:tc>
          <w:tcPr>
            <w:tcW w:type="dxa" w:w="30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لفظ المرجع</w:t>
            </w:r>
          </w:p>
        </w:tc>
        <w:tc>
          <w:tcPr>
            <w:tcW w:type="dxa" w:w="2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اللفظ المؤسسي</w:t>
            </w:r>
          </w:p>
        </w:tc>
        <w:tc>
          <w:tcPr>
            <w:tcW w:type="dxa" w:w="4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قاعدة الظهور</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الحاوية السنوية</w:t>
            </w:r>
          </w:p>
          <w:p>
            <w:pPr>
              <w:bidi w:val="false"/>
              <w:spacing w:after="20" w:line="280"/>
              <w:jc w:val="left"/>
            </w:pPr>
            <w:r>
              <w:rPr>
                <w:b w:val="false"/>
                <w:bCs w:val="false"/>
                <w:color w:val="5A6B7B"/>
                <w:sz w:val="18"/>
                <w:szCs w:val="18"/>
                <w:rtl w:val="false"/>
              </w:rPr>
              <w:t xml:space="preserve">contract_coverage.php</w:t>
            </w:r>
          </w:p>
        </w:tc>
        <w:tc>
          <w:tcPr>
            <w:tcW w:type="dxa" w:w="2600"/>
            <w:tcMar>
              <w:top w:type="dxa" w:w="70"/>
              <w:left w:type="dxa" w:w="95"/>
              <w:bottom w:type="dxa" w:w="70"/>
              <w:right w:type="dxa" w:w="95"/>
            </w:tcMar>
            <w:vAlign w:val="center"/>
          </w:tcPr>
          <w:p>
            <w:pPr>
              <w:bidi/>
              <w:spacing w:after="20" w:line="280"/>
              <w:jc w:val="right"/>
            </w:pPr>
            <w:r>
              <w:rPr>
                <w:b/>
                <w:bCs/>
                <w:color w:val="1F3B57"/>
                <w:sz w:val="21"/>
                <w:szCs w:val="21"/>
                <w:rtl/>
              </w:rPr>
              <w:t xml:space="preserve">التغطية التعاقدية للفترة</w:t>
            </w:r>
          </w:p>
        </w:tc>
        <w:tc>
          <w:tcPr>
            <w:tcW w:type="dxa" w:w="4200"/>
            <w:tcMar>
              <w:top w:type="dxa" w:w="70"/>
              <w:left w:type="dxa" w:w="95"/>
              <w:bottom w:type="dxa" w:w="70"/>
              <w:right w:type="dxa" w:w="95"/>
            </w:tcMar>
            <w:vAlign w:val="center"/>
          </w:tcPr>
          <w:p>
            <w:pPr>
              <w:bidi/>
              <w:spacing w:after="20" w:line="280"/>
              <w:jc w:val="right"/>
            </w:pPr>
            <w:r>
              <w:rPr>
                <w:b w:val="false"/>
                <w:bCs w:val="false"/>
                <w:sz w:val="20"/>
                <w:szCs w:val="20"/>
                <w:rtl/>
              </w:rPr>
              <w:t xml:space="preserve">لا تظهر كلمة الحاوية في التنقّل — تظهر تبويبًا داخل ملف عقد العميل</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الخانة</w:t>
            </w:r>
          </w:p>
          <w:p>
            <w:pPr>
              <w:bidi w:val="false"/>
              <w:spacing w:after="20" w:line="280"/>
              <w:jc w:val="left"/>
            </w:pPr>
            <w:r>
              <w:rPr>
                <w:b w:val="false"/>
                <w:bCs w:val="false"/>
                <w:color w:val="5A6B7B"/>
                <w:sz w:val="18"/>
                <w:szCs w:val="18"/>
                <w:rtl w:val="false"/>
              </w:rPr>
              <w:t xml:space="preserve">contractual</w:t>
            </w:r>
            <w:r>
              <w:rPr>
                <w:b w:val="false"/>
                <w:bCs w:val="false"/>
                <w:color w:val="5A6B7B"/>
                <w:sz w:val="18"/>
                <w:szCs w:val="18"/>
                <w:rtl/>
              </w:rPr>
              <w:t xml:space="preserve"> </w:t>
            </w:r>
            <w:r>
              <w:rPr>
                <w:b w:val="false"/>
                <w:bCs w:val="false"/>
                <w:color w:val="5A6B7B"/>
                <w:sz w:val="18"/>
                <w:szCs w:val="18"/>
                <w:rtl w:val="false"/>
              </w:rPr>
              <w:t xml:space="preserve">unit</w:t>
            </w:r>
          </w:p>
        </w:tc>
        <w:tc>
          <w:tcPr>
            <w:tcW w:type="dxa" w:w="2600"/>
            <w:shd w:fill="F2F6FA" w:color="auto" w:val="clear"/>
            <w:tcMar>
              <w:top w:type="dxa" w:w="70"/>
              <w:left w:type="dxa" w:w="95"/>
              <w:bottom w:type="dxa" w:w="70"/>
              <w:right w:type="dxa" w:w="95"/>
            </w:tcMar>
            <w:vAlign w:val="center"/>
          </w:tcPr>
          <w:p>
            <w:pPr>
              <w:bidi/>
              <w:spacing w:after="20" w:line="280"/>
              <w:jc w:val="right"/>
            </w:pPr>
            <w:r>
              <w:rPr>
                <w:b/>
                <w:bCs/>
                <w:color w:val="1F3B57"/>
                <w:sz w:val="21"/>
                <w:szCs w:val="21"/>
                <w:rtl/>
              </w:rPr>
              <w:t xml:space="preserve">الوحدة التعاقدية</w:t>
            </w:r>
          </w:p>
        </w:tc>
        <w:tc>
          <w:tcPr>
            <w:tcW w:type="dxa" w:w="4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وحدة التوزيع المرقَّمة التي تُغطى بمعدة — لا بند تنقّل باسمها</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خانات-شهر</w:t>
            </w:r>
          </w:p>
          <w:p>
            <w:pPr>
              <w:bidi w:val="false"/>
              <w:spacing w:after="20" w:line="280"/>
              <w:jc w:val="left"/>
            </w:pPr>
            <w:r>
              <w:rPr>
                <w:b w:val="false"/>
                <w:bCs w:val="false"/>
                <w:color w:val="5A6B7B"/>
                <w:sz w:val="18"/>
                <w:szCs w:val="18"/>
                <w:rtl w:val="false"/>
              </w:rPr>
              <w:t xml:space="preserve">slot-months</w:t>
            </w:r>
          </w:p>
        </w:tc>
        <w:tc>
          <w:tcPr>
            <w:tcW w:type="dxa" w:w="2600"/>
            <w:tcMar>
              <w:top w:type="dxa" w:w="70"/>
              <w:left w:type="dxa" w:w="95"/>
              <w:bottom w:type="dxa" w:w="70"/>
              <w:right w:type="dxa" w:w="95"/>
            </w:tcMar>
            <w:vAlign w:val="center"/>
          </w:tcPr>
          <w:p>
            <w:pPr>
              <w:bidi/>
              <w:spacing w:after="20" w:line="280"/>
              <w:jc w:val="right"/>
            </w:pPr>
            <w:r>
              <w:rPr>
                <w:b/>
                <w:bCs/>
                <w:color w:val="1F3B57"/>
                <w:sz w:val="21"/>
                <w:szCs w:val="21"/>
                <w:rtl/>
              </w:rPr>
              <w:t xml:space="preserve">أشهر الوحدة التعاقدية</w:t>
            </w:r>
          </w:p>
        </w:tc>
        <w:tc>
          <w:tcPr>
            <w:tcW w:type="dxa" w:w="4200"/>
            <w:tcMar>
              <w:top w:type="dxa" w:w="70"/>
              <w:left w:type="dxa" w:w="95"/>
              <w:bottom w:type="dxa" w:w="70"/>
              <w:right w:type="dxa" w:w="95"/>
            </w:tcMar>
            <w:vAlign w:val="center"/>
          </w:tcPr>
          <w:p>
            <w:pPr>
              <w:bidi/>
              <w:spacing w:after="20" w:line="280"/>
              <w:jc w:val="right"/>
            </w:pPr>
            <w:r>
              <w:rPr>
                <w:b w:val="false"/>
                <w:bCs w:val="false"/>
                <w:sz w:val="20"/>
                <w:szCs w:val="20"/>
                <w:rtl/>
              </w:rPr>
              <w:t xml:space="preserve">أساس احتساب الحصة الزمني</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حصة المورد</w:t>
            </w:r>
          </w:p>
          <w:p>
            <w:pPr>
              <w:bidi w:val="false"/>
              <w:spacing w:after="20" w:line="280"/>
              <w:jc w:val="left"/>
            </w:pPr>
            <w:r>
              <w:rPr>
                <w:b w:val="false"/>
                <w:bCs w:val="false"/>
                <w:color w:val="5A6B7B"/>
                <w:sz w:val="18"/>
                <w:szCs w:val="18"/>
                <w:rtl w:val="false"/>
              </w:rPr>
              <w:t xml:space="preserve">shares_coverage.php</w:t>
            </w:r>
          </w:p>
        </w:tc>
        <w:tc>
          <w:tcPr>
            <w:tcW w:type="dxa" w:w="2600"/>
            <w:shd w:fill="F2F6FA" w:color="auto" w:val="clear"/>
            <w:tcMar>
              <w:top w:type="dxa" w:w="70"/>
              <w:left w:type="dxa" w:w="95"/>
              <w:bottom w:type="dxa" w:w="70"/>
              <w:right w:type="dxa" w:w="95"/>
            </w:tcMar>
            <w:vAlign w:val="center"/>
          </w:tcPr>
          <w:p>
            <w:pPr>
              <w:bidi/>
              <w:spacing w:after="20" w:line="280"/>
              <w:jc w:val="right"/>
            </w:pPr>
            <w:r>
              <w:rPr>
                <w:b/>
                <w:bCs/>
                <w:color w:val="1F3B57"/>
                <w:sz w:val="21"/>
                <w:szCs w:val="21"/>
                <w:rtl/>
              </w:rPr>
              <w:t xml:space="preserve">حصة المورد من الالتزام</w:t>
            </w:r>
          </w:p>
        </w:tc>
        <w:tc>
          <w:tcPr>
            <w:tcW w:type="dxa" w:w="4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تظل بهذا الاسم — وهي مشتقة من التزام العقد لا منشئة له</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سعة الحاوية</w:t>
            </w:r>
          </w:p>
          <w:p>
            <w:pPr>
              <w:bidi w:val="false"/>
              <w:spacing w:after="20" w:line="280"/>
              <w:jc w:val="left"/>
            </w:pPr>
            <w:r>
              <w:rPr>
                <w:b w:val="false"/>
                <w:bCs w:val="false"/>
                <w:color w:val="5A6B7B"/>
                <w:sz w:val="18"/>
                <w:szCs w:val="18"/>
                <w:rtl w:val="false"/>
              </w:rPr>
              <w:t xml:space="preserve">contract_baseline.php</w:t>
            </w:r>
          </w:p>
        </w:tc>
        <w:tc>
          <w:tcPr>
            <w:tcW w:type="dxa" w:w="2600"/>
            <w:tcMar>
              <w:top w:type="dxa" w:w="70"/>
              <w:left w:type="dxa" w:w="95"/>
              <w:bottom w:type="dxa" w:w="70"/>
              <w:right w:type="dxa" w:w="95"/>
            </w:tcMar>
            <w:vAlign w:val="center"/>
          </w:tcPr>
          <w:p>
            <w:pPr>
              <w:bidi/>
              <w:spacing w:after="20" w:line="280"/>
              <w:jc w:val="right"/>
            </w:pPr>
            <w:r>
              <w:rPr>
                <w:b/>
                <w:bCs/>
                <w:color w:val="1F3B57"/>
                <w:sz w:val="21"/>
                <w:szCs w:val="21"/>
                <w:rtl/>
              </w:rPr>
              <w:t xml:space="preserve">المستهدف التعاقدي للفترة</w:t>
            </w:r>
          </w:p>
        </w:tc>
        <w:tc>
          <w:tcPr>
            <w:tcW w:type="dxa" w:w="4200"/>
            <w:tcMar>
              <w:top w:type="dxa" w:w="70"/>
              <w:left w:type="dxa" w:w="95"/>
              <w:bottom w:type="dxa" w:w="70"/>
              <w:right w:type="dxa" w:w="95"/>
            </w:tcMar>
            <w:vAlign w:val="center"/>
          </w:tcPr>
          <w:p>
            <w:pPr>
              <w:bidi/>
              <w:spacing w:after="20" w:line="280"/>
              <w:jc w:val="right"/>
            </w:pPr>
            <w:r>
              <w:rPr>
                <w:b w:val="false"/>
                <w:bCs w:val="false"/>
                <w:sz w:val="20"/>
                <w:szCs w:val="20"/>
                <w:rtl/>
              </w:rPr>
              <w:t xml:space="preserve">يُقرأ من خط الأساس ولا يُدخل مرتين</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فجوة التغطية</w:t>
            </w:r>
          </w:p>
          <w:p>
            <w:pPr>
              <w:bidi w:val="false"/>
              <w:spacing w:after="20" w:line="280"/>
              <w:jc w:val="left"/>
            </w:pPr>
            <w:r>
              <w:rPr>
                <w:b w:val="false"/>
                <w:bCs w:val="false"/>
                <w:color w:val="5A6B7B"/>
                <w:sz w:val="18"/>
                <w:szCs w:val="18"/>
                <w:rtl w:val="false"/>
              </w:rPr>
              <w:t xml:space="preserve">coverage</w:t>
            </w:r>
            <w:r>
              <w:rPr>
                <w:b w:val="false"/>
                <w:bCs w:val="false"/>
                <w:color w:val="5A6B7B"/>
                <w:sz w:val="18"/>
                <w:szCs w:val="18"/>
                <w:rtl/>
              </w:rPr>
              <w:t xml:space="preserve"> </w:t>
            </w:r>
            <w:r>
              <w:rPr>
                <w:b w:val="false"/>
                <w:bCs w:val="false"/>
                <w:color w:val="5A6B7B"/>
                <w:sz w:val="18"/>
                <w:szCs w:val="18"/>
                <w:rtl w:val="false"/>
              </w:rPr>
              <w:t xml:space="preserve">gap</w:t>
            </w:r>
          </w:p>
        </w:tc>
        <w:tc>
          <w:tcPr>
            <w:tcW w:type="dxa" w:w="2600"/>
            <w:shd w:fill="F2F6FA" w:color="auto" w:val="clear"/>
            <w:tcMar>
              <w:top w:type="dxa" w:w="70"/>
              <w:left w:type="dxa" w:w="95"/>
              <w:bottom w:type="dxa" w:w="70"/>
              <w:right w:type="dxa" w:w="95"/>
            </w:tcMar>
            <w:vAlign w:val="center"/>
          </w:tcPr>
          <w:p>
            <w:pPr>
              <w:bidi/>
              <w:spacing w:after="20" w:line="280"/>
              <w:jc w:val="right"/>
            </w:pPr>
            <w:r>
              <w:rPr>
                <w:b/>
                <w:bCs/>
                <w:color w:val="1F3B57"/>
                <w:sz w:val="21"/>
                <w:szCs w:val="21"/>
                <w:rtl/>
              </w:rPr>
              <w:t xml:space="preserve">فجوة التغطية</w:t>
            </w:r>
          </w:p>
        </w:tc>
        <w:tc>
          <w:tcPr>
            <w:tcW w:type="dxa" w:w="4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تبقى بلفظها — وهي فرق المنفَّذ عن المستهدف المنقضي</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المنفَّذ / المنجز المقاس</w:t>
            </w:r>
          </w:p>
          <w:p>
            <w:pPr>
              <w:bidi w:val="false"/>
              <w:spacing w:after="20" w:line="280"/>
              <w:jc w:val="left"/>
            </w:pPr>
            <w:r>
              <w:rPr>
                <w:b w:val="false"/>
                <w:bCs w:val="false"/>
                <w:color w:val="5A6B7B"/>
                <w:sz w:val="18"/>
                <w:szCs w:val="18"/>
                <w:rtl w:val="false"/>
              </w:rPr>
              <w:t xml:space="preserve">approved</w:t>
            </w:r>
            <w:r>
              <w:rPr>
                <w:b w:val="false"/>
                <w:bCs w:val="false"/>
                <w:color w:val="5A6B7B"/>
                <w:sz w:val="18"/>
                <w:szCs w:val="18"/>
                <w:rtl/>
              </w:rPr>
              <w:t xml:space="preserve"> </w:t>
            </w:r>
            <w:r>
              <w:rPr>
                <w:b w:val="false"/>
                <w:bCs w:val="false"/>
                <w:color w:val="5A6B7B"/>
                <w:sz w:val="18"/>
                <w:szCs w:val="18"/>
                <w:rtl w:val="false"/>
              </w:rPr>
              <w:t xml:space="preserve">units</w:t>
            </w:r>
          </w:p>
        </w:tc>
        <w:tc>
          <w:tcPr>
            <w:tcW w:type="dxa" w:w="2600"/>
            <w:tcMar>
              <w:top w:type="dxa" w:w="70"/>
              <w:left w:type="dxa" w:w="95"/>
              <w:bottom w:type="dxa" w:w="70"/>
              <w:right w:type="dxa" w:w="95"/>
            </w:tcMar>
            <w:vAlign w:val="center"/>
          </w:tcPr>
          <w:p>
            <w:pPr>
              <w:bidi/>
              <w:spacing w:after="20" w:line="280"/>
              <w:jc w:val="right"/>
            </w:pPr>
            <w:r>
              <w:rPr>
                <w:b/>
                <w:bCs/>
                <w:color w:val="1F3B57"/>
                <w:sz w:val="21"/>
                <w:szCs w:val="21"/>
                <w:rtl/>
              </w:rPr>
              <w:t xml:space="preserve">الوحدات المعتمدة</w:t>
            </w:r>
          </w:p>
        </w:tc>
        <w:tc>
          <w:tcPr>
            <w:tcW w:type="dxa" w:w="4200"/>
            <w:tcMar>
              <w:top w:type="dxa" w:w="70"/>
              <w:left w:type="dxa" w:w="95"/>
              <w:bottom w:type="dxa" w:w="70"/>
              <w:right w:type="dxa" w:w="95"/>
            </w:tcMar>
            <w:vAlign w:val="center"/>
          </w:tcPr>
          <w:p>
            <w:pPr>
              <w:bidi/>
              <w:spacing w:after="20" w:line="280"/>
              <w:jc w:val="right"/>
            </w:pPr>
            <w:r>
              <w:rPr>
                <w:b w:val="false"/>
                <w:bCs w:val="false"/>
                <w:sz w:val="20"/>
                <w:szCs w:val="20"/>
                <w:rtl/>
              </w:rPr>
              <w:t xml:space="preserve">لا تُدخل يدويًّا في المبيعات ولا الموردين</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المطالبة / المستخلص</w:t>
            </w:r>
          </w:p>
          <w:p>
            <w:pPr>
              <w:bidi w:val="false"/>
              <w:spacing w:after="20" w:line="280"/>
              <w:jc w:val="left"/>
            </w:pPr>
            <w:r>
              <w:rPr>
                <w:b w:val="false"/>
                <w:bCs w:val="false"/>
                <w:color w:val="5A6B7B"/>
                <w:sz w:val="18"/>
                <w:szCs w:val="18"/>
                <w:rtl w:val="false"/>
              </w:rPr>
              <w:t xml:space="preserve">claims.php</w:t>
            </w:r>
          </w:p>
        </w:tc>
        <w:tc>
          <w:tcPr>
            <w:tcW w:type="dxa" w:w="2600"/>
            <w:shd w:fill="F2F6FA" w:color="auto" w:val="clear"/>
            <w:tcMar>
              <w:top w:type="dxa" w:w="70"/>
              <w:left w:type="dxa" w:w="95"/>
              <w:bottom w:type="dxa" w:w="70"/>
              <w:right w:type="dxa" w:w="95"/>
            </w:tcMar>
            <w:vAlign w:val="center"/>
          </w:tcPr>
          <w:p>
            <w:pPr>
              <w:bidi/>
              <w:spacing w:after="20" w:line="280"/>
              <w:jc w:val="right"/>
            </w:pPr>
            <w:r>
              <w:rPr>
                <w:b/>
                <w:bCs/>
                <w:color w:val="1F3B57"/>
                <w:sz w:val="21"/>
                <w:szCs w:val="21"/>
                <w:rtl/>
              </w:rPr>
              <w:t xml:space="preserve">المطالبة التجارية</w:t>
            </w:r>
          </w:p>
        </w:tc>
        <w:tc>
          <w:tcPr>
            <w:tcW w:type="dxa" w:w="4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بيتها المبيعات — والفاتورة بيتها المالية</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طلب الدفع</w:t>
            </w:r>
          </w:p>
          <w:p>
            <w:pPr>
              <w:bidi w:val="false"/>
              <w:spacing w:after="20" w:line="280"/>
              <w:jc w:val="left"/>
            </w:pPr>
            <w:r>
              <w:rPr>
                <w:b w:val="false"/>
                <w:bCs w:val="false"/>
                <w:color w:val="5A6B7B"/>
                <w:sz w:val="18"/>
                <w:szCs w:val="18"/>
                <w:rtl w:val="false"/>
              </w:rPr>
              <w:t xml:space="preserve">payments_fin.php</w:t>
            </w:r>
          </w:p>
        </w:tc>
        <w:tc>
          <w:tcPr>
            <w:tcW w:type="dxa" w:w="2600"/>
            <w:tcMar>
              <w:top w:type="dxa" w:w="70"/>
              <w:left w:type="dxa" w:w="95"/>
              <w:bottom w:type="dxa" w:w="70"/>
              <w:right w:type="dxa" w:w="95"/>
            </w:tcMar>
            <w:vAlign w:val="center"/>
          </w:tcPr>
          <w:p>
            <w:pPr>
              <w:bidi/>
              <w:spacing w:after="20" w:line="280"/>
              <w:jc w:val="right"/>
            </w:pPr>
            <w:r>
              <w:rPr>
                <w:b/>
                <w:bCs/>
                <w:color w:val="1F3B57"/>
                <w:sz w:val="21"/>
                <w:szCs w:val="21"/>
                <w:rtl/>
              </w:rPr>
              <w:t xml:space="preserve">طلب الدفع</w:t>
            </w:r>
          </w:p>
        </w:tc>
        <w:tc>
          <w:tcPr>
            <w:tcW w:type="dxa" w:w="4200"/>
            <w:tcMar>
              <w:top w:type="dxa" w:w="70"/>
              <w:left w:type="dxa" w:w="95"/>
              <w:bottom w:type="dxa" w:w="70"/>
              <w:right w:type="dxa" w:w="95"/>
            </w:tcMar>
            <w:vAlign w:val="center"/>
          </w:tcPr>
          <w:p>
            <w:pPr>
              <w:bidi/>
              <w:spacing w:after="20" w:line="280"/>
              <w:jc w:val="right"/>
            </w:pPr>
            <w:r>
              <w:rPr>
                <w:b w:val="false"/>
                <w:bCs w:val="false"/>
                <w:sz w:val="20"/>
                <w:szCs w:val="20"/>
                <w:rtl/>
              </w:rPr>
              <w:t xml:space="preserve">يُنشأ في الموردين ويُنفَّذ في الخزينة</w:t>
            </w:r>
          </w:p>
        </w:tc>
      </w:tr>
    </w:tbl>
    <w:p>
      <w:r>
        <w:br w:type="page"/>
      </w:r>
    </w:p>
    <w:p>
      <w:pPr>
        <w:pStyle w:val="Heading1"/>
        <w:keepNext/>
        <w:bidi/>
        <w:spacing w:after="180" w:before="360"/>
        <w:jc w:val="right"/>
      </w:pPr>
      <w:r>
        <w:rPr>
          <w:b/>
          <w:bCs/>
          <w:rtl/>
        </w:rPr>
        <w:t xml:space="preserve">البند السادس والعشرون — الحفاظ على نظام التصميم القائم</w:t>
      </w:r>
    </w:p>
    <w:p>
      <w:pPr>
        <w:bidi/>
        <w:spacing w:after="130" w:line="330"/>
        <w:jc w:val="right"/>
      </w:pPr>
      <w:r>
        <w:rPr>
          <w:b w:val="false"/>
          <w:bCs w:val="false"/>
          <w:i w:val="false"/>
          <w:iCs w:val="false"/>
          <w:sz w:val="24"/>
          <w:szCs w:val="24"/>
          <w:rtl/>
        </w:rPr>
        <w:t xml:space="preserve">هذا بندٌ مضافٌ بعد المراجعة العكسية، وهو شرط قبولٍ لا توصية. واجهة النظام الحالية أُنجز فيها تنسيقٌ مؤسسيٌّ متقدّم بعد صدور وثائق المعمارية، فلا تجده موصوفًا فيها — ومصدر الحقيقة في شكل الواجهة هو النظام الحي نفسه لا الوثائق. ولذلك:</w:t>
      </w:r>
    </w:p>
    <w:p>
      <w:pPr>
        <w:bidi/>
        <w:spacing w:after="130" w:line="330"/>
        <w:jc w:val="right"/>
      </w:pPr>
      <w:r>
        <w:rPr>
          <w:b/>
          <w:bCs/>
          <w:i w:val="false"/>
          <w:iCs w:val="false"/>
          <w:sz w:val="24"/>
          <w:szCs w:val="24"/>
          <w:rtl/>
        </w:rPr>
        <w:t xml:space="preserve">كل ما هو صحيح ودقيق في الواجهة القائمة يبقى كما هو حرفيًّا. ولا يُغيَّر شيء في أساسيات بناء واجهة المستخدم التي ستجدها. وطريقة البناء والتنسيق والتصميم الموجودة في النظام هي الطريقة الملزمة — لا يُخرَج عنها ولا يُجتهد بديلٌ عنها.</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600"/>
        <w:gridCol w:w="7200"/>
      </w:tblGrid>
      <w:tr>
        <w:trPr>
          <w:cantSplit/>
          <w:tblHeader/>
        </w:trPr>
        <w:tc>
          <w:tcPr>
            <w:tcW w:type="dxa" w:w="2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العنصر</w:t>
            </w:r>
          </w:p>
        </w:tc>
        <w:tc>
          <w:tcPr>
            <w:tcW w:type="dxa" w:w="7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القاعدة الملزمة</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القشرة العامة</w:t>
            </w:r>
          </w:p>
        </w:tc>
        <w:tc>
          <w:tcPr>
            <w:tcW w:type="dxa" w:w="7200"/>
            <w:tcMar>
              <w:top w:type="dxa" w:w="70"/>
              <w:left w:type="dxa" w:w="95"/>
              <w:bottom w:type="dxa" w:w="70"/>
              <w:right w:type="dxa" w:w="95"/>
            </w:tcMar>
            <w:vAlign w:val="center"/>
          </w:tcPr>
          <w:p>
            <w:pPr>
              <w:bidi/>
              <w:spacing w:after="20" w:line="280"/>
              <w:jc w:val="right"/>
            </w:pPr>
            <w:r>
              <w:rPr>
                <w:b w:val="false"/>
                <w:bCs w:val="false"/>
                <w:sz w:val="20"/>
                <w:szCs w:val="20"/>
                <w:rtl/>
              </w:rPr>
              <w:t xml:space="preserve">الشريط العلوي ومبدّل المساحات وشريط الإشعارات والقائمة الجانبية اليمنى بحقل بحثها — تُستعمل كما هي ولا يُعاد بناء أيٍّ منها.</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شبكة الوصول السريع</w:t>
            </w:r>
          </w:p>
        </w:tc>
        <w:tc>
          <w:tcPr>
            <w:tcW w:type="dxa" w:w="7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تبقى بترتيبها وأيقوناتها وسلوكها — ويُضاف إليها أو يُحذف منها بالبيانات لا بإعادة البناء.</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بطاقات بيانات الجلسة</w:t>
            </w:r>
          </w:p>
        </w:tc>
        <w:tc>
          <w:tcPr>
            <w:tcW w:type="dxa" w:w="7200"/>
            <w:tcMar>
              <w:top w:type="dxa" w:w="70"/>
              <w:left w:type="dxa" w:w="95"/>
              <w:bottom w:type="dxa" w:w="70"/>
              <w:right w:type="dxa" w:w="95"/>
            </w:tcMar>
            <w:vAlign w:val="center"/>
          </w:tcPr>
          <w:p>
            <w:pPr>
              <w:bidi/>
              <w:spacing w:after="20" w:line="280"/>
              <w:jc w:val="right"/>
            </w:pPr>
            <w:r>
              <w:rPr>
                <w:b w:val="false"/>
                <w:bCs w:val="false"/>
                <w:sz w:val="20"/>
                <w:szCs w:val="20"/>
                <w:rtl/>
              </w:rPr>
              <w:t xml:space="preserve">شريط النطاق والصلاحية ولحظة القراءة يبقى في كل شاشة كما هو — وهو دليل الحوكمة أمام المستخدم.</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الألوان والحالات</w:t>
            </w:r>
          </w:p>
        </w:tc>
        <w:tc>
          <w:tcPr>
            <w:tcW w:type="dxa" w:w="7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لوحة الألوان القائمة وشارات الأعداد وألوان الحالات تُستعمل بمعانيها الحالية — ولا تُخترع دلالة لون جديدة.</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الجداول والمرشِّحات</w:t>
            </w:r>
          </w:p>
        </w:tc>
        <w:tc>
          <w:tcPr>
            <w:tcW w:type="dxa" w:w="7200"/>
            <w:tcMar>
              <w:top w:type="dxa" w:w="70"/>
              <w:left w:type="dxa" w:w="95"/>
              <w:bottom w:type="dxa" w:w="70"/>
              <w:right w:type="dxa" w:w="95"/>
            </w:tcMar>
            <w:vAlign w:val="center"/>
          </w:tcPr>
          <w:p>
            <w:pPr>
              <w:bidi/>
              <w:spacing w:after="20" w:line="280"/>
              <w:jc w:val="right"/>
            </w:pPr>
            <w:r>
              <w:rPr>
                <w:b w:val="false"/>
                <w:bCs w:val="false"/>
                <w:sz w:val="20"/>
                <w:szCs w:val="20"/>
                <w:rtl/>
              </w:rPr>
              <w:t xml:space="preserve">إعداد الجداول وأدوات الترشيح والتصدير وترقيم الصفحات يُستنسخ من شاشة قائمة مماثلة، بالإعداد نفسه لا بإعداد جديد.</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النماذج والأزرار</w:t>
            </w:r>
          </w:p>
        </w:tc>
        <w:tc>
          <w:tcPr>
            <w:tcW w:type="dxa" w:w="7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أشكال النماذج ومواضع الأزرار وترتيب الحقول ورسائل التحقق تتبع النمط القائم حرفيًّا.</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الاتجاه والخط</w:t>
            </w:r>
          </w:p>
        </w:tc>
        <w:tc>
          <w:tcPr>
            <w:tcW w:type="dxa" w:w="7200"/>
            <w:tcMar>
              <w:top w:type="dxa" w:w="70"/>
              <w:left w:type="dxa" w:w="95"/>
              <w:bottom w:type="dxa" w:w="70"/>
              <w:right w:type="dxa" w:w="95"/>
            </w:tcMar>
            <w:vAlign w:val="center"/>
          </w:tcPr>
          <w:p>
            <w:pPr>
              <w:bidi/>
              <w:spacing w:after="20" w:line="280"/>
              <w:jc w:val="right"/>
            </w:pPr>
            <w:r>
              <w:rPr>
                <w:b w:val="false"/>
                <w:bCs w:val="false"/>
                <w:sz w:val="20"/>
                <w:szCs w:val="20"/>
                <w:rtl/>
              </w:rPr>
              <w:t xml:space="preserve">الاتجاه من اليمين والخط والمقاسات والتباعد كما هي — ولا تُضاف مكتبة خطوط أو تنسيق خارجي.</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بناء أي شاشة جديدة</w:t>
            </w:r>
          </w:p>
        </w:tc>
        <w:tc>
          <w:tcPr>
            <w:tcW w:type="dxa" w:w="7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تُبنى باستنساخ أقرب شاشة قائمة في الإدارة نفسها ثم تغيير محتواها — لا من صفحة فارغة ولا بمكوّن جديد.</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ما يُمنع منعًا باتًّا</w:t>
            </w:r>
          </w:p>
        </w:tc>
        <w:tc>
          <w:tcPr>
            <w:tcW w:type="dxa" w:w="7200"/>
            <w:tcMar>
              <w:top w:type="dxa" w:w="70"/>
              <w:left w:type="dxa" w:w="95"/>
              <w:bottom w:type="dxa" w:w="70"/>
              <w:right w:type="dxa" w:w="95"/>
            </w:tcMar>
            <w:vAlign w:val="center"/>
          </w:tcPr>
          <w:p>
            <w:pPr>
              <w:bidi/>
              <w:spacing w:after="20" w:line="280"/>
              <w:jc w:val="right"/>
            </w:pPr>
            <w:r>
              <w:rPr>
                <w:b w:val="false"/>
                <w:bCs w:val="false"/>
                <w:sz w:val="20"/>
                <w:szCs w:val="20"/>
                <w:rtl/>
              </w:rPr>
              <w:t xml:space="preserve">تنسيق محلي في الملف، أو مكتبة واجهة إضافية، أو شبكة تخطيط بديلة، أو أيقونات من مجموعة أخرى، أو إعادة تصميم القائمة الجانبية.</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حدود التغيير المسموح</w:t>
            </w:r>
          </w:p>
        </w:tc>
        <w:tc>
          <w:tcPr>
            <w:tcW w:type="dxa" w:w="7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التسمية والتجميع والترتيب والإسقاط والصلاحية فقط — أما شكل الواجهة وبناؤها فلا يُمس.</w:t>
            </w:r>
          </w:p>
        </w:tc>
      </w:tr>
    </w:tbl>
    <w:p>
      <w:pPr>
        <w:bidi/>
        <w:spacing w:before="130"/>
        <w:jc w:val="right"/>
      </w:pPr>
      <w:r>
        <w:rPr>
          <w:b/>
          <w:bCs/>
          <w:i w:val="false"/>
          <w:iCs w:val="false"/>
          <w:sz w:val="24"/>
          <w:szCs w:val="24"/>
          <w:rtl/>
        </w:rPr>
        <w:t xml:space="preserve">وقاعدة الحسم عند أي تعارض: إذا خالف نصٌّ في هذه الوثيقة أو في المعمارية شكلَ الواجهة القائمة، فالواجهة القائمة هي الحاكمة في الشكل، والوثيقة حاكمة في الدورة والملكية والترتيب. فالتصحيح يمس مكان الشاشة واسمها وصلاحيتها وترتيبها — لا هيئتها.</w:t>
      </w:r>
    </w:p>
    <w:p>
      <w:pPr>
        <w:pStyle w:val="Heading2"/>
        <w:keepNext/>
        <w:bidi/>
        <w:spacing w:after="140" w:before="280"/>
        <w:jc w:val="right"/>
      </w:pPr>
      <w:r>
        <w:rPr>
          <w:b/>
          <w:bCs/>
          <w:rtl/>
        </w:rPr>
        <w:t xml:space="preserve">حدُّ هذا البند: منعُ الاجتهاد المحلي لا تجميدُ التحسين</w:t>
      </w:r>
    </w:p>
    <w:p>
      <w:pPr>
        <w:bidi/>
        <w:spacing w:after="130" w:line="330"/>
        <w:jc w:val="right"/>
      </w:pPr>
      <w:r>
        <w:rPr>
          <w:b w:val="false"/>
          <w:bCs w:val="false"/>
          <w:i w:val="false"/>
          <w:iCs w:val="false"/>
          <w:sz w:val="24"/>
          <w:szCs w:val="24"/>
          <w:rtl/>
        </w:rPr>
        <w:t xml:space="preserve">هذا البند يمنع أن يخترع المنفِّذ نمطًا محليًّا لنفسه، ولا يمنع تحسين نظام التصميم من مصدره المركزي. فبرنامج تجربة المستخدم قائمٌ ونافذ، وما سُجِّل فيه من عيوبٍ في كثافة الجداول والترويسات والمرشِّحات والأزرار والمساحات البيضاء والسلوك المتجاوب يبقى مفتوحًا للإصلاح — بشرطين: أن يقع الإصلاح في المكوّن المركزي فيسري على الشاشات كلها دفعةً واحدة، وألّا يُنفَّذ في شاشةٍ بعينها ضمن هذه الجولة. أي أن الممنوع نمطٌ محليٌّ جديد، والمسموح تحسينٌ مركزيٌّ معتمد.</w:t>
      </w:r>
    </w:p>
    <w:p>
      <w:r>
        <w:br w:type="page"/>
      </w:r>
    </w:p>
    <w:p>
      <w:pPr>
        <w:pStyle w:val="Heading1"/>
        <w:keepNext/>
        <w:bidi/>
        <w:spacing w:after="180" w:before="360"/>
        <w:jc w:val="right"/>
      </w:pPr>
      <w:r>
        <w:rPr>
          <w:b/>
          <w:bCs/>
          <w:rtl/>
        </w:rPr>
        <w:t xml:space="preserve">البند الرابع والعشرون والخامس والعشرون — نقطة الأمان ومسار التنفيذ</w:t>
      </w:r>
    </w:p>
    <w:p>
      <w:pPr>
        <w:bidi/>
        <w:spacing w:after="130" w:line="330"/>
        <w:jc w:val="right"/>
      </w:pPr>
      <w:r>
        <w:rPr>
          <w:b w:val="false"/>
          <w:bCs w:val="false"/>
          <w:i w:val="false"/>
          <w:iCs w:val="false"/>
          <w:sz w:val="24"/>
          <w:szCs w:val="24"/>
          <w:rtl/>
        </w:rPr>
        <w:t xml:space="preserve">قبل تعديل أول مسار: وسمُ التزامٍ ونظافةُ شجرة العمل، ونسخةُ قاعدة بيانات، ولقطةُ تنقّلٍ للإدارات المتأثرة، ومصفوفاتُ الدور والشاشة والحقل، وقائمةُ المسارات القائمة، وخطُّ أساسٍ بصريٍّ للشاشات المتأثرة. ثم تغييرات صغيرة قابلة للعكس.</w:t>
      </w:r>
    </w:p>
    <w:p>
      <w:pPr>
        <w:bidi/>
        <w:spacing w:after="130" w:line="330"/>
        <w:jc w:val="right"/>
      </w:pPr>
      <w:r>
        <w:rPr>
          <w:b w:val="false"/>
          <w:bCs w:val="false"/>
          <w:i w:val="false"/>
          <w:iCs w:val="false"/>
          <w:sz w:val="24"/>
          <w:szCs w:val="24"/>
          <w:rtl/>
        </w:rPr>
        <w:t xml:space="preserve">ولا يُعاد بناء ما أُصلح معماريًّا: لا محرك صلاحيات محلي، ولا منطق اعتماد محلي، ولا إعداد تنقّل محلي، ولا مكوّن تنسيق محلي، ولا انتقال حالة محلي، ولا كاتب مباشر إلى قاعدة البيانات. المصادر المركزية وحدها.</w:t>
      </w:r>
    </w:p>
    <w:p>
      <w:pPr>
        <w:pStyle w:val="Heading2"/>
        <w:keepNext/>
        <w:bidi/>
        <w:spacing w:after="140" w:before="280"/>
        <w:jc w:val="right"/>
      </w:pPr>
      <w:r>
        <w:rPr>
          <w:b/>
          <w:bCs/>
          <w:rtl/>
        </w:rPr>
        <w:t xml:space="preserve">أمر التنفيذ بالترتيب</w:t>
      </w:r>
    </w:p>
    <w:p>
      <w:pPr>
        <w:pStyle w:val="ListParagraph"/>
        <w:numPr>
          <w:ilvl w:val="0"/>
          <w:numId w:val="2"/>
        </w:numPr>
        <w:bidi/>
        <w:spacing w:after="110" w:line="330"/>
        <w:jc w:val="right"/>
      </w:pPr>
      <w:r>
        <w:rPr>
          <w:rtl/>
        </w:rPr>
        <w:t xml:space="preserve">تثبيت نقطة الأمان: وسم التزام، ولقطة سايدبار للمبيعات والمالية والتشغيل، ونسخة قاعدة بيانات، ومصفوفات الدور والشاشة والحقل.</w:t>
      </w:r>
    </w:p>
    <w:p>
      <w:pPr>
        <w:pStyle w:val="ListParagraph"/>
        <w:numPr>
          <w:ilvl w:val="0"/>
          <w:numId w:val="2"/>
        </w:numPr>
        <w:bidi/>
        <w:spacing w:after="110" w:line="330"/>
        <w:jc w:val="right"/>
      </w:pPr>
      <w:r>
        <w:rPr>
          <w:rtl/>
        </w:rPr>
        <w:t xml:space="preserve">تصحيح المراحل والمجموعات: نقل سجل العملاء وسجل المشاريع من مرحلة الأصول إلى المرحلة التمهيدية، وتسجيل أنشطة العملاء في الدورة.</w:t>
      </w:r>
    </w:p>
    <w:p>
      <w:pPr>
        <w:pStyle w:val="ListParagraph"/>
        <w:numPr>
          <w:ilvl w:val="0"/>
          <w:numId w:val="2"/>
        </w:numPr>
        <w:bidi/>
        <w:spacing w:after="110" w:line="330"/>
        <w:jc w:val="right"/>
      </w:pPr>
      <w:r>
        <w:rPr>
          <w:rtl/>
        </w:rPr>
        <w:t xml:space="preserve">إعادة التسمية الكنسية: جاهزية العروض تصير مراجعة ما قبل العقد، واللوحة التجارية تصير لوحة المبيعات، مع إبقاء المسار القديم محوَّلًا.</w:t>
      </w:r>
    </w:p>
    <w:p>
      <w:pPr>
        <w:pStyle w:val="ListParagraph"/>
        <w:numPr>
          <w:ilvl w:val="0"/>
          <w:numId w:val="2"/>
        </w:numPr>
        <w:bidi/>
        <w:spacing w:after="110" w:line="330"/>
        <w:jc w:val="right"/>
      </w:pPr>
      <w:r>
        <w:rPr>
          <w:rtl/>
        </w:rPr>
        <w:t xml:space="preserve">بناء ملف العقد الأمّ وتحويل الشاشات الاثنتي عشرة إلى تبويبات داخله، مع إبقاء مساراتها محوَّلة لا محذوفة.</w:t>
      </w:r>
    </w:p>
    <w:p>
      <w:pPr>
        <w:pStyle w:val="ListParagraph"/>
        <w:numPr>
          <w:ilvl w:val="0"/>
          <w:numId w:val="2"/>
        </w:numPr>
        <w:bidi/>
        <w:spacing w:after="110" w:line="330"/>
        <w:jc w:val="right"/>
      </w:pPr>
      <w:r>
        <w:rPr>
          <w:rtl/>
        </w:rPr>
        <w:t xml:space="preserve">تنفيذ الدمجين: المناقصات في الفرص، والالتزامات في المصفوفة — بإثبات تكافؤ البيانات والأفعال قبل التحويل.</w:t>
      </w:r>
    </w:p>
    <w:p>
      <w:pPr>
        <w:pStyle w:val="ListParagraph"/>
        <w:numPr>
          <w:ilvl w:val="0"/>
          <w:numId w:val="2"/>
        </w:numPr>
        <w:bidi/>
        <w:spacing w:after="110" w:line="330"/>
        <w:jc w:val="right"/>
      </w:pPr>
      <w:r>
        <w:rPr>
          <w:rtl/>
        </w:rPr>
        <w:t xml:space="preserve">قلب شاشات المالية في مساحة المبيعات إلى إسقاطات قراءة: حالة الفاتورة وحالة التحصيل والمتبقي.</w:t>
      </w:r>
    </w:p>
    <w:p>
      <w:pPr>
        <w:pStyle w:val="ListParagraph"/>
        <w:numPr>
          <w:ilvl w:val="0"/>
          <w:numId w:val="2"/>
        </w:numPr>
        <w:bidi/>
        <w:spacing w:after="110" w:line="330"/>
        <w:jc w:val="right"/>
      </w:pPr>
      <w:r>
        <w:rPr>
          <w:rtl/>
        </w:rPr>
        <w:t xml:space="preserve">تصحيح جدول المسارات أولًا (أحد عشر مسارًا قائمًا مسجَّلًا باسم خاطئ) — فأي إعادة تسمية قبله تكسر مسارًا حيًّا. ثم بناء القدرات الثلاث المفقودة: احتياج العميل، ثم بنود العرض، ثم سجل التفاوض.</w:t>
      </w:r>
    </w:p>
    <w:p>
      <w:pPr>
        <w:pStyle w:val="ListParagraph"/>
        <w:numPr>
          <w:ilvl w:val="0"/>
          <w:numId w:val="2"/>
        </w:numPr>
        <w:bidi/>
        <w:spacing w:after="110" w:line="330"/>
        <w:jc w:val="right"/>
      </w:pPr>
      <w:r>
        <w:rPr>
          <w:rtl/>
        </w:rPr>
        <w:t xml:space="preserve">اشتقاق ترتيب السايدبار من الدورة آليًّا، ثم تشغيل بوابات القبول ورحلة المبيعات الكاملة.</w:t>
      </w:r>
    </w:p>
    <w:p>
      <w:r>
        <w:br w:type="page"/>
      </w:r>
    </w:p>
    <w:p>
      <w:pPr>
        <w:pStyle w:val="Heading1"/>
        <w:keepNext/>
        <w:bidi/>
        <w:spacing w:after="180" w:before="360"/>
        <w:jc w:val="right"/>
      </w:pPr>
      <w:r>
        <w:rPr>
          <w:b/>
          <w:bCs/>
          <w:rtl/>
        </w:rPr>
        <w:t xml:space="preserve">البند الثالث والعشرون — الرحلة الكاملة للاختبار</w:t>
      </w:r>
    </w:p>
    <w:p>
      <w:pPr>
        <w:bidi/>
        <w:spacing w:after="130" w:line="330"/>
        <w:jc w:val="right"/>
      </w:pPr>
      <w:r>
        <w:rPr>
          <w:b w:val="false"/>
          <w:bCs w:val="false"/>
          <w:i w:val="false"/>
          <w:iCs w:val="false"/>
          <w:sz w:val="24"/>
          <w:szCs w:val="24"/>
          <w:rtl/>
        </w:rPr>
        <w:t xml:space="preserve">لا تُقبل الجولة قبل عبور الرحلة من أول سجلٍّ في المرجع الحاكم إلى حدّ التسليم، دون أن يضطر الموظف إلى دخول شاشةٍ ليست من بيت إدارته:</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900"/>
        <w:gridCol w:w="4200"/>
        <w:gridCol w:w="2700"/>
      </w:tblGrid>
      <w:tr>
        <w:trPr>
          <w:cantSplit/>
          <w:tblHeader/>
        </w:trPr>
        <w:tc>
          <w:tcPr>
            <w:tcW w:type="dxa" w:w="2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المحطة</w:t>
            </w:r>
          </w:p>
        </w:tc>
        <w:tc>
          <w:tcPr>
            <w:tcW w:type="dxa" w:w="4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ما يجري فيها</w:t>
            </w:r>
          </w:p>
        </w:tc>
        <w:tc>
          <w:tcPr>
            <w:tcW w:type="dxa" w:w="27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السطح</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تسجيل العميل والمشروع</w:t>
            </w:r>
          </w:p>
        </w:tc>
        <w:tc>
          <w:tcPr>
            <w:tcW w:type="dxa" w:w="4200"/>
            <w:tcMar>
              <w:top w:type="dxa" w:w="70"/>
              <w:left w:type="dxa" w:w="95"/>
              <w:bottom w:type="dxa" w:w="70"/>
              <w:right w:type="dxa" w:w="95"/>
            </w:tcMar>
            <w:vAlign w:val="center"/>
          </w:tcPr>
          <w:p>
            <w:pPr>
              <w:bidi/>
              <w:spacing w:after="20" w:line="280"/>
              <w:jc w:val="right"/>
            </w:pPr>
            <w:r>
              <w:rPr>
                <w:b w:val="false"/>
                <w:bCs w:val="false"/>
                <w:sz w:val="20"/>
                <w:szCs w:val="20"/>
                <w:rtl/>
              </w:rPr>
              <w:t xml:space="preserve">فتح سجل العميل ومشروعه</w:t>
            </w:r>
          </w:p>
        </w:tc>
        <w:tc>
          <w:tcPr>
            <w:tcW w:type="dxa" w:w="27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clients</w:t>
            </w:r>
            <w:r>
              <w:rPr>
                <w:b w:val="false"/>
                <w:bCs w:val="false"/>
                <w:color w:val="2E4A63"/>
                <w:sz w:val="18"/>
                <w:szCs w:val="18"/>
                <w:rtl/>
              </w:rPr>
              <w:t xml:space="preserve"> · </w:t>
            </w:r>
            <w:r>
              <w:rPr>
                <w:b w:val="false"/>
                <w:bCs w:val="false"/>
                <w:color w:val="2E4A63"/>
                <w:sz w:val="18"/>
                <w:szCs w:val="18"/>
                <w:rtl w:val="false"/>
              </w:rPr>
              <w:t xml:space="preserve">projects</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إدارة الفرصة وطلب العرض</w:t>
            </w:r>
          </w:p>
        </w:tc>
        <w:tc>
          <w:tcPr>
            <w:tcW w:type="dxa" w:w="4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فتح الفرصة وتسجيل الاحتياج وطلب العرض</w:t>
            </w:r>
          </w:p>
        </w:tc>
        <w:tc>
          <w:tcPr>
            <w:tcW w:type="dxa" w:w="27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opportunities</w:t>
            </w:r>
            <w:r>
              <w:rPr>
                <w:b w:val="false"/>
                <w:bCs w:val="false"/>
                <w:color w:val="2E4A63"/>
                <w:sz w:val="18"/>
                <w:szCs w:val="18"/>
                <w:rtl/>
              </w:rPr>
              <w:t xml:space="preserve"> · </w:t>
            </w:r>
            <w:r>
              <w:rPr>
                <w:b w:val="false"/>
                <w:bCs w:val="false"/>
                <w:color w:val="2E4A63"/>
                <w:sz w:val="18"/>
                <w:szCs w:val="18"/>
                <w:rtl w:val="false"/>
              </w:rPr>
              <w:t xml:space="preserve">activities</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إعداد العرض والتفاوض</w:t>
            </w:r>
          </w:p>
        </w:tc>
        <w:tc>
          <w:tcPr>
            <w:tcW w:type="dxa" w:w="4200"/>
            <w:tcMar>
              <w:top w:type="dxa" w:w="70"/>
              <w:left w:type="dxa" w:w="95"/>
              <w:bottom w:type="dxa" w:w="70"/>
              <w:right w:type="dxa" w:w="95"/>
            </w:tcMar>
            <w:vAlign w:val="center"/>
          </w:tcPr>
          <w:p>
            <w:pPr>
              <w:bidi/>
              <w:spacing w:after="20" w:line="280"/>
              <w:jc w:val="right"/>
            </w:pPr>
            <w:r>
              <w:rPr>
                <w:b w:val="false"/>
                <w:bCs w:val="false"/>
                <w:sz w:val="20"/>
                <w:szCs w:val="20"/>
                <w:rtl/>
              </w:rPr>
              <w:t xml:space="preserve">إصدار العرض وبنوده وتسجيل وقائع التفاوض</w:t>
            </w:r>
          </w:p>
        </w:tc>
        <w:tc>
          <w:tcPr>
            <w:tcW w:type="dxa" w:w="27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quotations</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مراجعة ما قبل التعاقد</w:t>
            </w:r>
          </w:p>
        </w:tc>
        <w:tc>
          <w:tcPr>
            <w:tcW w:type="dxa" w:w="4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فحص الجاهزية للتوقيع بندًا بندًا</w:t>
            </w:r>
          </w:p>
        </w:tc>
        <w:tc>
          <w:tcPr>
            <w:tcW w:type="dxa" w:w="27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readiness_lines</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إبرام العقد وتثبيت الالتزامات</w:t>
            </w:r>
          </w:p>
        </w:tc>
        <w:tc>
          <w:tcPr>
            <w:tcW w:type="dxa" w:w="4200"/>
            <w:tcMar>
              <w:top w:type="dxa" w:w="70"/>
              <w:left w:type="dxa" w:w="95"/>
              <w:bottom w:type="dxa" w:w="70"/>
              <w:right w:type="dxa" w:w="95"/>
            </w:tcMar>
            <w:vAlign w:val="center"/>
          </w:tcPr>
          <w:p>
            <w:pPr>
              <w:bidi/>
              <w:spacing w:after="20" w:line="280"/>
              <w:jc w:val="right"/>
            </w:pPr>
            <w:r>
              <w:rPr>
                <w:b w:val="false"/>
                <w:bCs w:val="false"/>
                <w:sz w:val="20"/>
                <w:szCs w:val="20"/>
                <w:rtl/>
              </w:rPr>
              <w:t xml:space="preserve">توقيع العقد وتثبيت بنوده والتزاماته وخط أساسه وتغطيته</w:t>
            </w:r>
          </w:p>
        </w:tc>
        <w:tc>
          <w:tcPr>
            <w:tcW w:type="dxa" w:w="27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contracts</w:t>
            </w:r>
            <w:r>
              <w:rPr>
                <w:b w:val="false"/>
                <w:bCs w:val="false"/>
                <w:color w:val="2E4A63"/>
                <w:sz w:val="18"/>
                <w:szCs w:val="18"/>
                <w:rtl/>
              </w:rPr>
              <w:t xml:space="preserve"> + </w:t>
            </w:r>
            <w:r>
              <w:rPr>
                <w:b w:val="false"/>
                <w:bCs w:val="false"/>
                <w:color w:val="2E4A63"/>
                <w:sz w:val="18"/>
                <w:szCs w:val="18"/>
                <w:rtl w:val="false"/>
              </w:rPr>
              <w:t xml:space="preserve">tabs</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متابعة الأداء المعتمد</w:t>
            </w:r>
          </w:p>
        </w:tc>
        <w:tc>
          <w:tcPr>
            <w:tcW w:type="dxa" w:w="4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قراءة الوحدات المعتمدة من التايم شيت بلا إدخال</w:t>
            </w:r>
          </w:p>
        </w:tc>
        <w:tc>
          <w:tcPr>
            <w:tcW w:type="dxa" w:w="27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unit_statement_client</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إعداد المطالبة والتسليم للمالية</w:t>
            </w:r>
          </w:p>
        </w:tc>
        <w:tc>
          <w:tcPr>
            <w:tcW w:type="dxa" w:w="4200"/>
            <w:tcMar>
              <w:top w:type="dxa" w:w="70"/>
              <w:left w:type="dxa" w:w="95"/>
              <w:bottom w:type="dxa" w:w="70"/>
              <w:right w:type="dxa" w:w="95"/>
            </w:tcMar>
            <w:vAlign w:val="center"/>
          </w:tcPr>
          <w:p>
            <w:pPr>
              <w:bidi/>
              <w:spacing w:after="20" w:line="280"/>
              <w:jc w:val="right"/>
            </w:pPr>
            <w:r>
              <w:rPr>
                <w:b w:val="false"/>
                <w:bCs w:val="false"/>
                <w:sz w:val="20"/>
                <w:szCs w:val="20"/>
                <w:rtl/>
              </w:rPr>
              <w:t xml:space="preserve">إصدار المطالبة من فترة معتمدة وتسليمها</w:t>
            </w:r>
          </w:p>
        </w:tc>
        <w:tc>
          <w:tcPr>
            <w:tcW w:type="dxa" w:w="27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claims.php</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حدّ التسليم للمالية</w:t>
            </w:r>
          </w:p>
        </w:tc>
        <w:tc>
          <w:tcPr>
            <w:tcW w:type="dxa" w:w="4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الفاتورة والذمة والتحصيل تعود إسقاطًا لا شاشة</w:t>
            </w:r>
          </w:p>
        </w:tc>
        <w:tc>
          <w:tcPr>
            <w:tcW w:type="dxa" w:w="27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finance</w:t>
            </w:r>
            <w:r>
              <w:rPr>
                <w:b w:val="false"/>
                <w:bCs w:val="false"/>
                <w:color w:val="2E4A63"/>
                <w:sz w:val="18"/>
                <w:szCs w:val="18"/>
                <w:rtl/>
              </w:rPr>
              <w:t xml:space="preserve"> </w:t>
            </w:r>
            <w:r>
              <w:rPr>
                <w:b w:val="false"/>
                <w:bCs w:val="false"/>
                <w:color w:val="2E4A63"/>
                <w:sz w:val="18"/>
                <w:szCs w:val="18"/>
                <w:rtl w:val="false"/>
              </w:rPr>
              <w:t xml:space="preserve">projection</w:t>
            </w:r>
          </w:p>
        </w:tc>
      </w:tr>
    </w:tbl>
    <w:p>
      <w:pPr>
        <w:pStyle w:val="Heading1"/>
        <w:keepNext/>
        <w:bidi/>
        <w:spacing w:after="180" w:before="360"/>
        <w:jc w:val="right"/>
      </w:pPr>
      <w:r>
        <w:rPr>
          <w:b/>
          <w:bCs/>
          <w:rtl/>
        </w:rPr>
        <w:t xml:space="preserve">البند الثاني والعشرون — بوابات القبول</w:t>
      </w:r>
    </w:p>
    <w:p>
      <w:pPr>
        <w:bidi/>
        <w:spacing w:after="130" w:line="330"/>
        <w:jc w:val="right"/>
      </w:pPr>
      <w:r>
        <w:rPr>
          <w:b w:val="false"/>
          <w:bCs w:val="false"/>
          <w:i w:val="false"/>
          <w:iCs w:val="false"/>
          <w:sz w:val="24"/>
          <w:szCs w:val="24"/>
          <w:rtl/>
        </w:rPr>
        <w:t xml:space="preserve">الجولة لا تُغلق قبل نجاح البوابات كلها، وكل بوابة تُقاس ببسطها ومقامها لا بالانطباع:</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500"/>
        <w:gridCol w:w="5100"/>
        <w:gridCol w:w="2200"/>
      </w:tblGrid>
      <w:tr>
        <w:trPr>
          <w:cantSplit/>
          <w:tblHeader/>
        </w:trPr>
        <w:tc>
          <w:tcPr>
            <w:tcW w:type="dxa" w:w="25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البوابة</w:t>
            </w:r>
          </w:p>
        </w:tc>
        <w:tc>
          <w:tcPr>
            <w:tcW w:type="dxa" w:w="51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شرط النجاح</w:t>
            </w:r>
          </w:p>
        </w:tc>
        <w:tc>
          <w:tcPr>
            <w:tcW w:type="dxa" w:w="2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القياس</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1"/>
                <w:szCs w:val="21"/>
                <w:rtl/>
              </w:rPr>
              <w:t xml:space="preserve">التغطية</w:t>
            </w:r>
          </w:p>
        </w:tc>
        <w:tc>
          <w:tcPr>
            <w:tcW w:type="dxa" w:w="5100"/>
            <w:tcMar>
              <w:top w:type="dxa" w:w="70"/>
              <w:left w:type="dxa" w:w="95"/>
              <w:bottom w:type="dxa" w:w="70"/>
              <w:right w:type="dxa" w:w="95"/>
            </w:tcMar>
            <w:vAlign w:val="center"/>
          </w:tcPr>
          <w:p>
            <w:pPr>
              <w:bidi/>
              <w:spacing w:after="20" w:line="280"/>
              <w:jc w:val="right"/>
            </w:pPr>
            <w:r>
              <w:rPr>
                <w:b w:val="false"/>
                <w:bCs w:val="false"/>
                <w:sz w:val="20"/>
                <w:szCs w:val="20"/>
                <w:rtl/>
              </w:rPr>
              <w:t xml:space="preserve">كل ورقة من الست والعشرين لها قرار سطح واحد لا لبس فيه</w:t>
            </w:r>
          </w:p>
        </w:tc>
        <w:tc>
          <w:tcPr>
            <w:tcW w:type="dxa" w:w="2200"/>
            <w:tcMar>
              <w:top w:type="dxa" w:w="70"/>
              <w:left w:type="dxa" w:w="95"/>
              <w:bottom w:type="dxa" w:w="70"/>
              <w:right w:type="dxa" w:w="95"/>
            </w:tcMar>
            <w:vAlign w:val="center"/>
          </w:tcPr>
          <w:p>
            <w:pPr>
              <w:bidi w:val="false"/>
              <w:spacing w:after="20" w:line="280"/>
              <w:jc w:val="center"/>
            </w:pPr>
            <w:r>
              <w:rPr>
                <w:b w:val="false"/>
                <w:bCs w:val="false"/>
                <w:color w:val="2E4A63"/>
                <w:sz w:val="18"/>
                <w:szCs w:val="18"/>
                <w:rtl w:val="false"/>
              </w:rPr>
              <w:t xml:space="preserve">26/26</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الأعمدة</w:t>
            </w:r>
          </w:p>
        </w:tc>
        <w:tc>
          <w:tcPr>
            <w:tcW w:type="dxa" w:w="51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كل عمود من التسعة والثمانين وخمسمئة له حكم مصدر أو سبب موثق لعدم ظهوره</w:t>
            </w:r>
          </w:p>
        </w:tc>
        <w:tc>
          <w:tcPr>
            <w:tcW w:type="dxa" w:w="2200"/>
            <w:shd w:fill="F2F6FA" w:color="auto" w:val="clear"/>
            <w:tcMar>
              <w:top w:type="dxa" w:w="70"/>
              <w:left w:type="dxa" w:w="95"/>
              <w:bottom w:type="dxa" w:w="70"/>
              <w:right w:type="dxa" w:w="95"/>
            </w:tcMar>
            <w:vAlign w:val="center"/>
          </w:tcPr>
          <w:p>
            <w:pPr>
              <w:bidi w:val="false"/>
              <w:spacing w:after="20" w:line="280"/>
              <w:jc w:val="center"/>
            </w:pPr>
            <w:r>
              <w:rPr>
                <w:b w:val="false"/>
                <w:bCs w:val="false"/>
                <w:color w:val="2E4A63"/>
                <w:sz w:val="18"/>
                <w:szCs w:val="18"/>
                <w:rtl w:val="false"/>
              </w:rPr>
              <w:t xml:space="preserve">589/589</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1"/>
                <w:szCs w:val="21"/>
                <w:rtl/>
              </w:rPr>
              <w:t xml:space="preserve">الازدواج</w:t>
            </w:r>
          </w:p>
        </w:tc>
        <w:tc>
          <w:tcPr>
            <w:tcW w:type="dxa" w:w="5100"/>
            <w:tcMar>
              <w:top w:type="dxa" w:w="70"/>
              <w:left w:type="dxa" w:w="95"/>
              <w:bottom w:type="dxa" w:w="70"/>
              <w:right w:type="dxa" w:w="95"/>
            </w:tcMar>
            <w:vAlign w:val="center"/>
          </w:tcPr>
          <w:p>
            <w:pPr>
              <w:bidi/>
              <w:spacing w:after="20" w:line="280"/>
              <w:jc w:val="right"/>
            </w:pPr>
            <w:r>
              <w:rPr>
                <w:b w:val="false"/>
                <w:bCs w:val="false"/>
                <w:sz w:val="20"/>
                <w:szCs w:val="20"/>
                <w:rtl/>
              </w:rPr>
              <w:t xml:space="preserve">لا وظيفة لها سطحان كنسيان، ولا مسار باسمين معياريين</w:t>
            </w:r>
          </w:p>
        </w:tc>
        <w:tc>
          <w:tcPr>
            <w:tcW w:type="dxa" w:w="2200"/>
            <w:tcMar>
              <w:top w:type="dxa" w:w="70"/>
              <w:left w:type="dxa" w:w="95"/>
              <w:bottom w:type="dxa" w:w="70"/>
              <w:right w:type="dxa" w:w="95"/>
            </w:tcMar>
            <w:vAlign w:val="center"/>
          </w:tcPr>
          <w:p>
            <w:pPr>
              <w:bidi w:val="false"/>
              <w:spacing w:after="20" w:line="280"/>
              <w:jc w:val="center"/>
            </w:pPr>
            <w:r>
              <w:rPr>
                <w:b w:val="false"/>
                <w:bCs w:val="false"/>
                <w:color w:val="2E4A63"/>
                <w:sz w:val="18"/>
                <w:szCs w:val="18"/>
                <w:rtl/>
              </w:rPr>
              <w:t xml:space="preserve">0 · 0</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الملكية</w:t>
            </w:r>
          </w:p>
        </w:tc>
        <w:tc>
          <w:tcPr>
            <w:tcW w:type="dxa" w:w="51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لا شاشة مالية أصلية داخل المبيعات، ولا شاشة مبيعات أصلية داخل المالية</w:t>
            </w:r>
          </w:p>
        </w:tc>
        <w:tc>
          <w:tcPr>
            <w:tcW w:type="dxa" w:w="2200"/>
            <w:shd w:fill="F2F6FA" w:color="auto" w:val="clear"/>
            <w:tcMar>
              <w:top w:type="dxa" w:w="70"/>
              <w:left w:type="dxa" w:w="95"/>
              <w:bottom w:type="dxa" w:w="70"/>
              <w:right w:type="dxa" w:w="95"/>
            </w:tcMar>
            <w:vAlign w:val="center"/>
          </w:tcPr>
          <w:p>
            <w:pPr>
              <w:bidi w:val="false"/>
              <w:spacing w:after="20" w:line="280"/>
              <w:jc w:val="center"/>
            </w:pPr>
            <w:r>
              <w:rPr>
                <w:b w:val="false"/>
                <w:bCs w:val="false"/>
                <w:color w:val="2E4A63"/>
                <w:sz w:val="18"/>
                <w:szCs w:val="18"/>
                <w:rtl/>
              </w:rPr>
              <w:t xml:space="preserve">0 · 0</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1"/>
                <w:szCs w:val="21"/>
                <w:rtl/>
              </w:rPr>
              <w:t xml:space="preserve">الحدود</w:t>
            </w:r>
          </w:p>
        </w:tc>
        <w:tc>
          <w:tcPr>
            <w:tcW w:type="dxa" w:w="5100"/>
            <w:tcMar>
              <w:top w:type="dxa" w:w="70"/>
              <w:left w:type="dxa" w:w="95"/>
              <w:bottom w:type="dxa" w:w="70"/>
              <w:right w:type="dxa" w:w="95"/>
            </w:tcMar>
            <w:vAlign w:val="center"/>
          </w:tcPr>
          <w:p>
            <w:pPr>
              <w:bidi/>
              <w:spacing w:after="20" w:line="280"/>
              <w:jc w:val="right"/>
            </w:pPr>
            <w:r>
              <w:rPr>
                <w:b w:val="false"/>
                <w:bCs w:val="false"/>
                <w:sz w:val="20"/>
                <w:szCs w:val="20"/>
                <w:rtl/>
              </w:rPr>
              <w:t xml:space="preserve">لا إدخال ساعة أو طن أو متر داخل المبيعات</w:t>
            </w:r>
          </w:p>
        </w:tc>
        <w:tc>
          <w:tcPr>
            <w:tcW w:type="dxa" w:w="2200"/>
            <w:tcMar>
              <w:top w:type="dxa" w:w="70"/>
              <w:left w:type="dxa" w:w="95"/>
              <w:bottom w:type="dxa" w:w="70"/>
              <w:right w:type="dxa" w:w="95"/>
            </w:tcMar>
            <w:vAlign w:val="center"/>
          </w:tcPr>
          <w:p>
            <w:pPr>
              <w:bidi w:val="false"/>
              <w:spacing w:after="20" w:line="280"/>
              <w:jc w:val="center"/>
            </w:pPr>
            <w:r>
              <w:rPr>
                <w:b w:val="false"/>
                <w:bCs w:val="false"/>
                <w:color w:val="2E4A63"/>
                <w:sz w:val="18"/>
                <w:szCs w:val="18"/>
                <w:rtl/>
              </w:rPr>
              <w:t xml:space="preserve">0 </w:t>
            </w:r>
            <w:r>
              <w:rPr>
                <w:b w:val="false"/>
                <w:bCs w:val="false"/>
                <w:color w:val="2E4A63"/>
                <w:sz w:val="18"/>
                <w:szCs w:val="18"/>
                <w:rtl w:val="false"/>
              </w:rPr>
              <w:t xml:space="preserve">manual</w:t>
            </w:r>
            <w:r>
              <w:rPr>
                <w:b w:val="false"/>
                <w:bCs w:val="false"/>
                <w:color w:val="2E4A63"/>
                <w:sz w:val="18"/>
                <w:szCs w:val="18"/>
                <w:rtl/>
              </w:rPr>
              <w:t xml:space="preserve"> </w:t>
            </w:r>
            <w:r>
              <w:rPr>
                <w:b w:val="false"/>
                <w:bCs w:val="false"/>
                <w:color w:val="2E4A63"/>
                <w:sz w:val="18"/>
                <w:szCs w:val="18"/>
                <w:rtl w:val="false"/>
              </w:rPr>
              <w:t xml:space="preserve">units</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التنقّل بعد الدمج</w:t>
            </w:r>
          </w:p>
        </w:tc>
        <w:tc>
          <w:tcPr>
            <w:tcW w:type="dxa" w:w="51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ست مجموعات وثلاثة عشر بندًا رئيسيًّا لا غير، ولا مجموعة فارغة، ولا مسار خارج السجل</w:t>
            </w:r>
          </w:p>
        </w:tc>
        <w:tc>
          <w:tcPr>
            <w:tcW w:type="dxa" w:w="2200"/>
            <w:shd w:fill="F2F6FA" w:color="auto" w:val="clear"/>
            <w:tcMar>
              <w:top w:type="dxa" w:w="70"/>
              <w:left w:type="dxa" w:w="95"/>
              <w:bottom w:type="dxa" w:w="70"/>
              <w:right w:type="dxa" w:w="95"/>
            </w:tcMar>
            <w:vAlign w:val="center"/>
          </w:tcPr>
          <w:p>
            <w:pPr>
              <w:bidi w:val="false"/>
              <w:spacing w:after="20" w:line="280"/>
              <w:jc w:val="center"/>
            </w:pPr>
            <w:r>
              <w:rPr>
                <w:b w:val="false"/>
                <w:bCs w:val="false"/>
                <w:color w:val="2E4A63"/>
                <w:sz w:val="18"/>
                <w:szCs w:val="18"/>
                <w:rtl/>
              </w:rPr>
              <w:t xml:space="preserve">6 </w:t>
            </w:r>
            <w:r>
              <w:rPr>
                <w:b w:val="false"/>
                <w:bCs w:val="false"/>
                <w:color w:val="2E4A63"/>
                <w:sz w:val="18"/>
                <w:szCs w:val="18"/>
                <w:rtl w:val="false"/>
              </w:rPr>
              <w:t xml:space="preserve">groups</w:t>
            </w:r>
            <w:r>
              <w:rPr>
                <w:b w:val="false"/>
                <w:bCs w:val="false"/>
                <w:color w:val="2E4A63"/>
                <w:sz w:val="18"/>
                <w:szCs w:val="18"/>
                <w:rtl/>
              </w:rPr>
              <w:t xml:space="preserve"> / 13 </w:t>
            </w:r>
            <w:r>
              <w:rPr>
                <w:b w:val="false"/>
                <w:bCs w:val="false"/>
                <w:color w:val="2E4A63"/>
                <w:sz w:val="18"/>
                <w:szCs w:val="18"/>
                <w:rtl w:val="false"/>
              </w:rPr>
              <w:t xml:space="preserve">items</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1"/>
                <w:szCs w:val="21"/>
                <w:rtl/>
              </w:rPr>
              <w:t xml:space="preserve">التبويبات</w:t>
            </w:r>
          </w:p>
        </w:tc>
        <w:tc>
          <w:tcPr>
            <w:tcW w:type="dxa" w:w="5100"/>
            <w:tcMar>
              <w:top w:type="dxa" w:w="70"/>
              <w:left w:type="dxa" w:w="95"/>
              <w:bottom w:type="dxa" w:w="70"/>
              <w:right w:type="dxa" w:w="95"/>
            </w:tcMar>
            <w:vAlign w:val="center"/>
          </w:tcPr>
          <w:p>
            <w:pPr>
              <w:bidi/>
              <w:spacing w:after="20" w:line="280"/>
              <w:jc w:val="right"/>
            </w:pPr>
            <w:r>
              <w:rPr>
                <w:b w:val="false"/>
                <w:bCs w:val="false"/>
                <w:sz w:val="20"/>
                <w:szCs w:val="20"/>
                <w:rtl/>
              </w:rPr>
              <w:t xml:space="preserve">كل تابع مدموج ظاهرٌ تبويبًا داخل ملفه الأمّ، ومساره القديم محوَّل لا محذوف</w:t>
            </w:r>
          </w:p>
        </w:tc>
        <w:tc>
          <w:tcPr>
            <w:tcW w:type="dxa" w:w="2200"/>
            <w:tcMar>
              <w:top w:type="dxa" w:w="70"/>
              <w:left w:type="dxa" w:w="95"/>
              <w:bottom w:type="dxa" w:w="70"/>
              <w:right w:type="dxa" w:w="95"/>
            </w:tcMar>
            <w:vAlign w:val="center"/>
          </w:tcPr>
          <w:p>
            <w:pPr>
              <w:bidi w:val="false"/>
              <w:spacing w:after="20" w:line="280"/>
              <w:jc w:val="center"/>
            </w:pPr>
            <w:r>
              <w:rPr>
                <w:b w:val="false"/>
                <w:bCs w:val="false"/>
                <w:color w:val="2E4A63"/>
                <w:sz w:val="18"/>
                <w:szCs w:val="18"/>
                <w:rtl w:val="false"/>
              </w:rPr>
              <w:t xml:space="preserve">tabs</w:t>
            </w:r>
            <w:r>
              <w:rPr>
                <w:b w:val="false"/>
                <w:bCs w:val="false"/>
                <w:color w:val="2E4A63"/>
                <w:sz w:val="18"/>
                <w:szCs w:val="18"/>
                <w:rtl/>
              </w:rPr>
              <w:t xml:space="preserve"> </w:t>
            </w:r>
            <w:r>
              <w:rPr>
                <w:b w:val="false"/>
                <w:bCs w:val="false"/>
                <w:color w:val="2E4A63"/>
                <w:sz w:val="18"/>
                <w:szCs w:val="18"/>
                <w:rtl w:val="false"/>
              </w:rPr>
              <w:t xml:space="preserve">mapped</w:t>
            </w:r>
            <w:r>
              <w:rPr>
                <w:b w:val="false"/>
                <w:bCs w:val="false"/>
                <w:color w:val="2E4A63"/>
                <w:sz w:val="18"/>
                <w:szCs w:val="18"/>
                <w:rtl/>
              </w:rPr>
              <w:t xml:space="preserve"> / 0 </w:t>
            </w:r>
            <w:r>
              <w:rPr>
                <w:b w:val="false"/>
                <w:bCs w:val="false"/>
                <w:color w:val="2E4A63"/>
                <w:sz w:val="18"/>
                <w:szCs w:val="18"/>
                <w:rtl w:val="false"/>
              </w:rPr>
              <w:t xml:space="preserve">broken</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السلامة الوظيفية</w:t>
            </w:r>
          </w:p>
        </w:tc>
        <w:tc>
          <w:tcPr>
            <w:tcW w:type="dxa" w:w="51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كل فعل كان يعمل قبل الجولة يعمل بعدها</w:t>
            </w:r>
          </w:p>
        </w:tc>
        <w:tc>
          <w:tcPr>
            <w:tcW w:type="dxa" w:w="2200"/>
            <w:shd w:fill="F2F6FA" w:color="auto" w:val="clear"/>
            <w:tcMar>
              <w:top w:type="dxa" w:w="70"/>
              <w:left w:type="dxa" w:w="95"/>
              <w:bottom w:type="dxa" w:w="70"/>
              <w:right w:type="dxa" w:w="95"/>
            </w:tcMar>
            <w:vAlign w:val="center"/>
          </w:tcPr>
          <w:p>
            <w:pPr>
              <w:bidi w:val="false"/>
              <w:spacing w:after="20" w:line="280"/>
              <w:jc w:val="center"/>
            </w:pPr>
            <w:r>
              <w:rPr>
                <w:b w:val="false"/>
                <w:bCs w:val="false"/>
                <w:color w:val="2E4A63"/>
                <w:sz w:val="18"/>
                <w:szCs w:val="18"/>
                <w:rtl w:val="false"/>
              </w:rPr>
              <w:t xml:space="preserve">before</w:t>
            </w:r>
            <w:r>
              <w:rPr>
                <w:b w:val="false"/>
                <w:bCs w:val="false"/>
                <w:color w:val="2E4A63"/>
                <w:sz w:val="18"/>
                <w:szCs w:val="18"/>
                <w:rtl/>
              </w:rPr>
              <w:t xml:space="preserve"> = </w:t>
            </w:r>
            <w:r>
              <w:rPr>
                <w:b w:val="false"/>
                <w:bCs w:val="false"/>
                <w:color w:val="2E4A63"/>
                <w:sz w:val="18"/>
                <w:szCs w:val="18"/>
                <w:rtl w:val="false"/>
              </w:rPr>
              <w:t xml:space="preserve">after</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1"/>
                <w:szCs w:val="21"/>
                <w:rtl/>
              </w:rPr>
              <w:t xml:space="preserve">البيانات</w:t>
            </w:r>
          </w:p>
        </w:tc>
        <w:tc>
          <w:tcPr>
            <w:tcW w:type="dxa" w:w="5100"/>
            <w:tcMar>
              <w:top w:type="dxa" w:w="70"/>
              <w:left w:type="dxa" w:w="95"/>
              <w:bottom w:type="dxa" w:w="70"/>
              <w:right w:type="dxa" w:w="95"/>
            </w:tcMar>
            <w:vAlign w:val="center"/>
          </w:tcPr>
          <w:p>
            <w:pPr>
              <w:bidi/>
              <w:spacing w:after="20" w:line="280"/>
              <w:jc w:val="right"/>
            </w:pPr>
            <w:r>
              <w:rPr>
                <w:b w:val="false"/>
                <w:bCs w:val="false"/>
                <w:sz w:val="20"/>
                <w:szCs w:val="20"/>
                <w:rtl/>
              </w:rPr>
              <w:t xml:space="preserve">لا فقد ولا تكرار ولا ترحيل صامت</w:t>
            </w:r>
          </w:p>
        </w:tc>
        <w:tc>
          <w:tcPr>
            <w:tcW w:type="dxa" w:w="2200"/>
            <w:tcMar>
              <w:top w:type="dxa" w:w="70"/>
              <w:left w:type="dxa" w:w="95"/>
              <w:bottom w:type="dxa" w:w="70"/>
              <w:right w:type="dxa" w:w="95"/>
            </w:tcMar>
            <w:vAlign w:val="center"/>
          </w:tcPr>
          <w:p>
            <w:pPr>
              <w:bidi w:val="false"/>
              <w:spacing w:after="20" w:line="280"/>
              <w:jc w:val="center"/>
            </w:pPr>
            <w:r>
              <w:rPr>
                <w:b w:val="false"/>
                <w:bCs w:val="false"/>
                <w:color w:val="2E4A63"/>
                <w:sz w:val="18"/>
                <w:szCs w:val="18"/>
                <w:rtl w:val="false"/>
              </w:rPr>
              <w:t xml:space="preserve">count</w:t>
            </w:r>
            <w:r>
              <w:rPr>
                <w:b w:val="false"/>
                <w:bCs w:val="false"/>
                <w:color w:val="2E4A63"/>
                <w:sz w:val="18"/>
                <w:szCs w:val="18"/>
                <w:rtl/>
              </w:rPr>
              <w:t xml:space="preserve"> </w:t>
            </w:r>
            <w:r>
              <w:rPr>
                <w:b w:val="false"/>
                <w:bCs w:val="false"/>
                <w:color w:val="2E4A63"/>
                <w:sz w:val="18"/>
                <w:szCs w:val="18"/>
                <w:rtl w:val="false"/>
              </w:rPr>
              <w:t xml:space="preserve">before</w:t>
            </w:r>
            <w:r>
              <w:rPr>
                <w:b w:val="false"/>
                <w:bCs w:val="false"/>
                <w:color w:val="2E4A63"/>
                <w:sz w:val="18"/>
                <w:szCs w:val="18"/>
                <w:rtl/>
              </w:rPr>
              <w:t xml:space="preserve"> = </w:t>
            </w:r>
            <w:r>
              <w:rPr>
                <w:b w:val="false"/>
                <w:bCs w:val="false"/>
                <w:color w:val="2E4A63"/>
                <w:sz w:val="18"/>
                <w:szCs w:val="18"/>
                <w:rtl w:val="false"/>
              </w:rPr>
              <w:t xml:space="preserve">count</w:t>
            </w:r>
            <w:r>
              <w:rPr>
                <w:b w:val="false"/>
                <w:bCs w:val="false"/>
                <w:color w:val="2E4A63"/>
                <w:sz w:val="18"/>
                <w:szCs w:val="18"/>
                <w:rtl/>
              </w:rPr>
              <w:t xml:space="preserve"> </w:t>
            </w:r>
            <w:r>
              <w:rPr>
                <w:b w:val="false"/>
                <w:bCs w:val="false"/>
                <w:color w:val="2E4A63"/>
                <w:sz w:val="18"/>
                <w:szCs w:val="18"/>
                <w:rtl w:val="false"/>
              </w:rPr>
              <w:t xml:space="preserve">after</w:t>
            </w:r>
          </w:p>
        </w:tc>
      </w:tr>
    </w:tbl>
    <w:p>
      <w:pPr>
        <w:bidi/>
        <w:spacing w:before="130"/>
        <w:jc w:val="right"/>
      </w:pPr>
      <w:r>
        <w:rPr>
          <w:b w:val="false"/>
          <w:bCs w:val="false"/>
          <w:i/>
          <w:iCs/>
          <w:color w:val="3F5265"/>
          <w:sz w:val="24"/>
          <w:szCs w:val="24"/>
          <w:rtl/>
        </w:rPr>
        <w:t xml:space="preserve">وبوابة أخيرة فوقها كلها: كل فعلٍ كان صحيحًا قبل الجولة يظل يعمل بعدها، وصفر فقدٍ للبيانات، وصفر سجلٍّ مكرر، وصفر ترحيلٍ صامت.</w:t>
      </w:r>
    </w:p>
    <w:sectPr>
      <w:footerReference w:type="default" r:id="rId7"/>
      <w:pgSz w:w="11906" w:h="16838" w:orient="portrait"/>
      <w:pgMar w:top="1134"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color w:val="777777"/>
        <w:sz w:val="18"/>
        <w:szCs w:val="18"/>
        <w:rtl/>
      </w:rPr>
      <w:t xml:space="preserve">الإصدار 1.0 · صفحة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3"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4"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5"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6"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7"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8"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9"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0"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1"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2"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3"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4"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5"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6"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7"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8"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9"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0"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1"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2"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3"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4"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5"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6"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7"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8"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9"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30"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31"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32" w15:restartNumberingAfterBreak="0">
    <w:multiLevelType w:val="hybridMultilevel"/>
    <w:lvl w:ilvl="0" w15:tentative="1">
      <w:start w:val="1"/>
      <w:numFmt w:val="decimal"/>
      <w:lvlText w:val="%1."/>
      <w:lvlJc w:val="right"/>
      <w:pPr>
        <w:ind w:left="520" w:hanging="300"/>
      </w:pPr>
    </w:lvl>
  </w:abstractNum>
  <w:abstractNum w:abstractNumId="33" w15:restartNumberingAfterBreak="0">
    <w:multiLevelType w:val="hybridMultilevel"/>
    <w:lvl w:ilvl="0" w15:tentative="1">
      <w:start w:val="1"/>
      <w:numFmt w:val="decimal"/>
      <w:lvlText w:val="%1."/>
      <w:lvlJc w:val="right"/>
      <w:pPr>
        <w:ind w:left="520" w:hanging="300"/>
      </w:pPr>
    </w:lvl>
  </w:abstractNum>
  <w:abstractNum w:abstractNumId="34" w15:restartNumberingAfterBreak="0">
    <w:multiLevelType w:val="hybridMultilevel"/>
    <w:lvl w:ilvl="0" w15:tentative="1">
      <w:start w:val="1"/>
      <w:numFmt w:val="decimal"/>
      <w:lvlText w:val="%1."/>
      <w:lvlJc w:val="right"/>
      <w:pPr>
        <w:ind w:left="520" w:hanging="300"/>
      </w:pPr>
    </w:lvl>
  </w:abstractNum>
  <w:abstractNum w:abstractNumId="35" w15:restartNumberingAfterBreak="0">
    <w:multiLevelType w:val="hybridMultilevel"/>
    <w:lvl w:ilvl="0" w15:tentative="1">
      <w:start w:val="1"/>
      <w:numFmt w:val="decimal"/>
      <w:lvlText w:val="%1."/>
      <w:lvlJc w:val="right"/>
      <w:pPr>
        <w:ind w:left="520" w:hanging="300"/>
      </w:pPr>
    </w:lvl>
  </w:abstractNum>
  <w:abstractNum w:abstractNumId="36" w15:restartNumberingAfterBreak="0">
    <w:multiLevelType w:val="hybridMultilevel"/>
    <w:lvl w:ilvl="0" w15:tentative="1">
      <w:start w:val="1"/>
      <w:numFmt w:val="decimal"/>
      <w:lvlText w:val="%1."/>
      <w:lvlJc w:val="right"/>
      <w:pPr>
        <w:ind w:left="520" w:hanging="300"/>
      </w:pPr>
    </w:lvl>
  </w:abstractNum>
  <w:abstractNum w:abstractNumId="37" w15:restartNumberingAfterBreak="0">
    <w:multiLevelType w:val="hybridMultilevel"/>
    <w:lvl w:ilvl="0" w15:tentative="1">
      <w:start w:val="1"/>
      <w:numFmt w:val="decimal"/>
      <w:lvlText w:val="%1."/>
      <w:lvlJc w:val="right"/>
      <w:pPr>
        <w:ind w:left="520" w:hanging="300"/>
      </w:pPr>
    </w:lvl>
  </w:abstractNum>
  <w:abstractNum w:abstractNumId="38" w15:restartNumberingAfterBreak="0">
    <w:multiLevelType w:val="hybridMultilevel"/>
    <w:lvl w:ilvl="0" w15:tentative="1">
      <w:start w:val="1"/>
      <w:numFmt w:val="decimal"/>
      <w:lvlText w:val="%1."/>
      <w:lvlJc w:val="right"/>
      <w:pPr>
        <w:ind w:left="520" w:hanging="300"/>
      </w:pPr>
    </w:lvl>
  </w:abstractNum>
  <w:abstractNum w:abstractNumId="39" w15:restartNumberingAfterBreak="0">
    <w:multiLevelType w:val="hybridMultilevel"/>
    <w:lvl w:ilvl="0" w15:tentative="1">
      <w:start w:val="1"/>
      <w:numFmt w:val="decimal"/>
      <w:lvlText w:val="%1."/>
      <w:lvlJc w:val="right"/>
      <w:pPr>
        <w:ind w:left="520" w:hanging="300"/>
      </w:pPr>
    </w:lvl>
  </w:abstractNum>
  <w:abstractNum w:abstractNumId="40" w15:restartNumberingAfterBreak="0">
    <w:multiLevelType w:val="hybridMultilevel"/>
    <w:lvl w:ilvl="0" w15:tentative="1">
      <w:start w:val="1"/>
      <w:numFmt w:val="decimal"/>
      <w:lvlText w:val="%1."/>
      <w:lvlJc w:val="right"/>
      <w:pPr>
        <w:ind w:left="520" w:hanging="300"/>
      </w:pPr>
    </w:lvl>
  </w:abstractNum>
  <w:abstractNum w:abstractNumId="41" w15:restartNumberingAfterBreak="0">
    <w:multiLevelType w:val="hybridMultilevel"/>
    <w:lvl w:ilvl="0" w15:tentative="1">
      <w:start w:val="1"/>
      <w:numFmt w:val="decimal"/>
      <w:lvlText w:val="%1."/>
      <w:lvlJc w:val="right"/>
      <w:pPr>
        <w:ind w:left="520" w:hanging="300"/>
      </w:pPr>
    </w:lvl>
  </w:abstractNum>
  <w:abstractNum w:abstractNumId="42" w15:restartNumberingAfterBreak="0">
    <w:multiLevelType w:val="hybridMultilevel"/>
    <w:lvl w:ilvl="0" w15:tentative="1">
      <w:start w:val="1"/>
      <w:numFmt w:val="decimal"/>
      <w:lvlText w:val="%1."/>
      <w:lvlJc w:val="right"/>
      <w:pPr>
        <w:ind w:left="520" w:hanging="300"/>
      </w:pPr>
    </w:lvl>
  </w:abstractNum>
  <w:abstractNum w:abstractNumId="43" w15:restartNumberingAfterBreak="0">
    <w:multiLevelType w:val="hybridMultilevel"/>
    <w:lvl w:ilvl="0" w15:tentative="1">
      <w:start w:val="1"/>
      <w:numFmt w:val="decimal"/>
      <w:lvlText w:val="%1."/>
      <w:lvlJc w:val="right"/>
      <w:pPr>
        <w:ind w:left="520" w:hanging="300"/>
      </w:pPr>
    </w:lvl>
  </w:abstractNum>
  <w:abstractNum w:abstractNumId="44" w15:restartNumberingAfterBreak="0">
    <w:multiLevelType w:val="hybridMultilevel"/>
    <w:lvl w:ilvl="0" w15:tentative="1">
      <w:start w:val="1"/>
      <w:numFmt w:val="decimal"/>
      <w:lvlText w:val="%1."/>
      <w:lvlJc w:val="right"/>
      <w:pPr>
        <w:ind w:left="520" w:hanging="300"/>
      </w:pPr>
    </w:lvl>
  </w:abstractNum>
  <w:abstractNum w:abstractNumId="45" w15:restartNumberingAfterBreak="0">
    <w:multiLevelType w:val="hybridMultilevel"/>
    <w:lvl w:ilvl="0" w15:tentative="1">
      <w:start w:val="1"/>
      <w:numFmt w:val="decimal"/>
      <w:lvlText w:val="%1."/>
      <w:lvlJc w:val="right"/>
      <w:pPr>
        <w:ind w:left="520" w:hanging="300"/>
      </w:pPr>
    </w:lvl>
  </w:abstractNum>
  <w:abstractNum w:abstractNumId="46" w15:restartNumberingAfterBreak="0">
    <w:multiLevelType w:val="hybridMultilevel"/>
    <w:lvl w:ilvl="0" w15:tentative="1">
      <w:start w:val="1"/>
      <w:numFmt w:val="decimal"/>
      <w:lvlText w:val="%1."/>
      <w:lvlJc w:val="right"/>
      <w:pPr>
        <w:ind w:left="520" w:hanging="300"/>
      </w:pPr>
    </w:lvl>
  </w:abstractNum>
  <w:num w:numId="1">
    <w:abstractNumId w:val="1"/>
    <w:lvlOverride w:ilvl="0">
      <w:startOverride w:val="1"/>
    </w:lvlOverride>
  </w:num>
  <w:num w:numId="2">
    <w:abstractNumId w:val="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53A5B"/>
      <w:sz w:val="34"/>
      <w:szCs w:val="34"/>
    </w:rPr>
  </w:style>
  <w:style w:type="paragraph" w:styleId="Heading2">
    <w:name w:val="Heading 2"/>
    <w:basedOn w:val="Normal"/>
    <w:next w:val="Normal"/>
    <w:qFormat/>
    <w:pPr>
      <w:outlineLvl w:val="1"/>
    </w:pPr>
    <w:rPr>
      <w:rFonts w:ascii="Arial" w:cs="Arial" w:eastAsia="Arial" w:hAnsi="Arial"/>
      <w:b/>
      <w:bCs/>
      <w:color w:val="1F5C8B"/>
      <w:sz w:val="28"/>
      <w:szCs w:val="28"/>
    </w:rPr>
  </w:style>
  <w:style w:type="paragraph" w:styleId="Heading3">
    <w:name w:val="Heading 3"/>
    <w:basedOn w:val="Normal"/>
    <w:next w:val="Normal"/>
    <w:qFormat/>
    <w:pPr>
      <w:outlineLvl w:val="2"/>
    </w:pPr>
    <w:rPr>
      <w:rFonts w:ascii="Arial" w:cs="Arial" w:eastAsia="Arial" w:hAnsi="Arial"/>
      <w:b/>
      <w:bCs/>
      <w:color w:val="2E6E5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2026-08-22T07:55:13.052Z</dcterms:created>
  <dcterms:modified xsi:type="dcterms:W3CDTF">2026-08-22T07:55:13.052Z</dcterms:modified>
</cp:coreProperties>
</file>

<file path=docProps/custom.xml><?xml version="1.0" encoding="utf-8"?>
<Properties xmlns="http://schemas.openxmlformats.org/officeDocument/2006/custom-properties" xmlns:vt="http://schemas.openxmlformats.org/officeDocument/2006/docPropsVTypes"/>
</file>