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pPr>
    </w:p>
    <w:p>
      <w:pPr>
        <w:bidi w:val="false"/>
        <w:spacing w:after="120"/>
        <w:jc w:val="center"/>
      </w:pPr>
      <w:r>
        <w:rPr>
          <w:b/>
          <w:bCs/>
          <w:color w:val="153A5B"/>
          <w:sz w:val="38"/>
          <w:szCs w:val="38"/>
          <w:rtl w:val="false"/>
        </w:rPr>
        <w:t xml:space="preserve">INJ-SUP-ALIGN-01</w:t>
      </w:r>
    </w:p>
    <w:p>
      <w:pPr>
        <w:bidi/>
        <w:spacing w:after="100" w:before="220"/>
        <w:jc w:val="center"/>
      </w:pPr>
      <w:r>
        <w:rPr>
          <w:b/>
          <w:bCs/>
          <w:i w:val="false"/>
          <w:iCs w:val="false"/>
          <w:color w:val="153A5B"/>
          <w:sz w:val="34"/>
          <w:szCs w:val="34"/>
          <w:rtl/>
        </w:rPr>
        <w:t xml:space="preserve">وثيقة مواءمة وتصحيح إدارة عقود الموردين</w:t>
      </w:r>
    </w:p>
    <w:p>
      <w:pPr>
        <w:bidi/>
        <w:spacing w:after="420"/>
        <w:jc w:val="center"/>
      </w:pPr>
      <w:r>
        <w:rPr>
          <w:b/>
          <w:bCs/>
          <w:i w:val="false"/>
          <w:iCs w:val="false"/>
          <w:color w:val="1F5C8B"/>
          <w:sz w:val="25"/>
          <w:szCs w:val="25"/>
          <w:rtl/>
        </w:rPr>
        <w:t xml:space="preserve">مصالحة المرجع الحاكم مع النظام الحي — وتطبيق البنود الخمسة والعشرين</w:t>
      </w:r>
    </w:p>
    <w:p>
      <w:pPr>
        <w:bidi/>
        <w:spacing w:after="50"/>
        <w:jc w:val="center"/>
      </w:pPr>
      <w:r>
        <w:rPr>
          <w:b w:val="false"/>
          <w:bCs w:val="false"/>
          <w:i w:val="false"/>
          <w:iCs w:val="false"/>
          <w:sz w:val="22"/>
          <w:szCs w:val="22"/>
          <w:rtl/>
        </w:rPr>
        <w:t xml:space="preserve">المرجع الحاكم: منظومة إدارة عقود الموردين</w:t>
      </w:r>
    </w:p>
    <w:p>
      <w:pPr>
        <w:bidi w:val="false"/>
        <w:spacing w:after="120"/>
        <w:jc w:val="center"/>
      </w:pPr>
      <w:r>
        <w:rPr>
          <w:b w:val="false"/>
          <w:bCs w:val="false"/>
          <w:color w:val="444444"/>
          <w:sz w:val="21"/>
          <w:szCs w:val="21"/>
          <w:rtl/>
        </w:rPr>
        <w:t xml:space="preserve">29 ورقة عمل · 717 عمودًا</w:t>
      </w:r>
    </w:p>
    <w:p>
      <w:pPr>
        <w:bidi/>
        <w:spacing w:after="70" w:before="520"/>
        <w:jc w:val="center"/>
      </w:pPr>
      <w:r>
        <w:rPr>
          <w:b/>
          <w:bCs/>
          <w:i w:val="false"/>
          <w:iCs w:val="false"/>
          <w:sz w:val="26"/>
          <w:szCs w:val="26"/>
          <w:rtl/>
        </w:rPr>
        <w:t xml:space="preserve">الإصدار 1.0</w:t>
      </w:r>
    </w:p>
    <w:p>
      <w:pPr>
        <w:bidi/>
        <w:spacing w:after="130" w:line="330"/>
        <w:jc w:val="center"/>
      </w:pPr>
      <w:r>
        <w:rPr>
          <w:b w:val="false"/>
          <w:bCs w:val="false"/>
          <w:i w:val="false"/>
          <w:iCs w:val="false"/>
          <w:color w:val="555555"/>
          <w:sz w:val="22"/>
          <w:szCs w:val="22"/>
          <w:rtl/>
        </w:rPr>
        <w:t xml:space="preserve">منصة إنجاز — مجموعة إكوبيشن · </w:t>
      </w:r>
      <w:r>
        <w:rPr>
          <w:b w:val="false"/>
          <w:bCs w:val="false"/>
          <w:i w:val="false"/>
          <w:iCs w:val="false"/>
          <w:color w:val="555555"/>
          <w:sz w:val="22"/>
          <w:szCs w:val="22"/>
          <w:rtl w:val="false"/>
        </w:rPr>
        <w:t xml:space="preserve">2026-08-21</w:t>
      </w:r>
    </w:p>
    <w:p>
      <w:r>
        <w:br w:type="page"/>
      </w:r>
    </w:p>
    <w:p>
      <w:pPr>
        <w:pStyle w:val="Heading1"/>
        <w:keepNext/>
        <w:bidi/>
        <w:spacing w:after="180" w:before="360"/>
        <w:jc w:val="right"/>
      </w:pPr>
      <w:r>
        <w:rPr>
          <w:b/>
          <w:bCs/>
          <w:rtl/>
        </w:rPr>
        <w:t xml:space="preserve">الملخص التنفيذي</w:t>
      </w:r>
    </w:p>
    <w:p>
      <w:pPr>
        <w:bidi/>
        <w:spacing w:after="130" w:line="330"/>
        <w:jc w:val="right"/>
      </w:pPr>
      <w:r>
        <w:rPr>
          <w:b w:val="false"/>
          <w:bCs w:val="false"/>
          <w:i w:val="false"/>
          <w:iCs w:val="false"/>
          <w:sz w:val="24"/>
          <w:szCs w:val="24"/>
          <w:rtl/>
        </w:rPr>
        <w:t xml:space="preserve">المرجع الحاكم يبني دورة المورد على ست كتل، ومبدؤها الحاكم أن عقد المورد يتبع عقد العميل وأن المعدة تنفّذ الحصة ولا تنشئها. والنظام الحي يملك أغلب الكتل مبنيةً — لكنه يفصل ملف المورد إلى شاشات متناثرة بلا ملف أمٍّ، ويحجب عن الإدارة جانبَ الطلب الذي تقوم عليه كتلة التعاقد كلها، ويترك ثلاث قدرات مؤكدة الغياب بينها لوحة الإدارة نفسها (كان الجرد الأولي ستًّا فصُحِّح).</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6200"/>
        <w:gridCol w:w="3600"/>
      </w:tblGrid>
      <w:tr>
        <w:trPr>
          <w:cantSplit/>
          <w:tblHeader/>
        </w:trPr>
        <w:tc>
          <w:tcPr>
            <w:tcW w:type="dxa" w:w="6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المقياس</w:t>
            </w:r>
          </w:p>
        </w:tc>
        <w:tc>
          <w:tcPr>
            <w:tcW w:type="dxa" w:w="3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العدد</w:t>
            </w:r>
          </w:p>
        </w:tc>
      </w:tr>
      <w:tr>
        <w:trPr>
          <w:cantSplit/>
        </w:trPr>
        <w:tc>
          <w:tcPr>
            <w:tcW w:type="dxa" w:w="6200"/>
            <w:tcMar>
              <w:top w:type="dxa" w:w="70"/>
              <w:left w:type="dxa" w:w="95"/>
              <w:bottom w:type="dxa" w:w="70"/>
              <w:right w:type="dxa" w:w="95"/>
            </w:tcMar>
            <w:vAlign w:val="center"/>
          </w:tcPr>
          <w:p>
            <w:pPr>
              <w:bidi/>
              <w:spacing w:after="20" w:line="280"/>
              <w:jc w:val="right"/>
            </w:pPr>
            <w:r>
              <w:rPr>
                <w:b w:val="false"/>
                <w:bCs w:val="false"/>
                <w:sz w:val="21"/>
                <w:szCs w:val="21"/>
                <w:rtl/>
              </w:rPr>
              <w:t xml:space="preserve">أوراق المرجع الحاكم</w:t>
            </w:r>
          </w:p>
        </w:tc>
        <w:tc>
          <w:tcPr>
            <w:tcW w:type="dxa" w:w="3600"/>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29</w:t>
            </w:r>
          </w:p>
        </w:tc>
      </w:tr>
      <w:tr>
        <w:trPr>
          <w:cantSplit/>
        </w:trPr>
        <w:tc>
          <w:tcPr>
            <w:tcW w:type="dxa" w:w="6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أعمدة المرجع الحاكم</w:t>
            </w:r>
          </w:p>
        </w:tc>
        <w:tc>
          <w:tcPr>
            <w:tcW w:type="dxa" w:w="3600"/>
            <w:shd w:fill="F2F6FA" w:color="auto" w:val="clear"/>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717</w:t>
            </w:r>
          </w:p>
        </w:tc>
      </w:tr>
      <w:tr>
        <w:trPr>
          <w:cantSplit/>
        </w:trPr>
        <w:tc>
          <w:tcPr>
            <w:tcW w:type="dxa" w:w="6200"/>
            <w:tcMar>
              <w:top w:type="dxa" w:w="70"/>
              <w:left w:type="dxa" w:w="95"/>
              <w:bottom w:type="dxa" w:w="70"/>
              <w:right w:type="dxa" w:w="95"/>
            </w:tcMar>
            <w:vAlign w:val="center"/>
          </w:tcPr>
          <w:p>
            <w:pPr>
              <w:bidi/>
              <w:spacing w:after="20" w:line="280"/>
              <w:jc w:val="right"/>
            </w:pPr>
            <w:r>
              <w:rPr>
                <w:b w:val="false"/>
                <w:bCs w:val="false"/>
                <w:sz w:val="21"/>
                <w:szCs w:val="21"/>
                <w:rtl/>
              </w:rPr>
              <w:t xml:space="preserve">شاشات حية في دفتر الدورة</w:t>
            </w:r>
          </w:p>
        </w:tc>
        <w:tc>
          <w:tcPr>
            <w:tcW w:type="dxa" w:w="3600"/>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27</w:t>
            </w:r>
          </w:p>
        </w:tc>
      </w:tr>
      <w:tr>
        <w:trPr>
          <w:cantSplit/>
        </w:trPr>
        <w:tc>
          <w:tcPr>
            <w:tcW w:type="dxa" w:w="6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أسطح مملوكة للإدارة في السجل</w:t>
            </w:r>
          </w:p>
        </w:tc>
        <w:tc>
          <w:tcPr>
            <w:tcW w:type="dxa" w:w="3600"/>
            <w:shd w:fill="F2F6FA" w:color="auto" w:val="clear"/>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18</w:t>
            </w:r>
          </w:p>
        </w:tc>
      </w:tr>
      <w:tr>
        <w:trPr>
          <w:cantSplit/>
        </w:trPr>
        <w:tc>
          <w:tcPr>
            <w:tcW w:type="dxa" w:w="6200"/>
            <w:tcMar>
              <w:top w:type="dxa" w:w="70"/>
              <w:left w:type="dxa" w:w="95"/>
              <w:bottom w:type="dxa" w:w="70"/>
              <w:right w:type="dxa" w:w="95"/>
            </w:tcMar>
            <w:vAlign w:val="center"/>
          </w:tcPr>
          <w:p>
            <w:pPr>
              <w:bidi/>
              <w:spacing w:after="20" w:line="280"/>
              <w:jc w:val="right"/>
            </w:pPr>
            <w:r>
              <w:rPr>
                <w:b w:val="false"/>
                <w:bCs w:val="false"/>
                <w:sz w:val="21"/>
                <w:szCs w:val="21"/>
                <w:rtl/>
              </w:rPr>
              <w:t xml:space="preserve">قرارات إعادة استخدام أو دمج</w:t>
            </w:r>
          </w:p>
        </w:tc>
        <w:tc>
          <w:tcPr>
            <w:tcW w:type="dxa" w:w="3600"/>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19</w:t>
            </w:r>
          </w:p>
        </w:tc>
      </w:tr>
      <w:tr>
        <w:trPr>
          <w:cantSplit/>
        </w:trPr>
        <w:tc>
          <w:tcPr>
            <w:tcW w:type="dxa" w:w="6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قدرات مؤكدة الغياب</w:t>
            </w:r>
          </w:p>
        </w:tc>
        <w:tc>
          <w:tcPr>
            <w:tcW w:type="dxa" w:w="3600"/>
            <w:shd w:fill="F2F6FA" w:color="auto" w:val="clear"/>
            <w:tcMar>
              <w:top w:type="dxa" w:w="70"/>
              <w:left w:type="dxa" w:w="95"/>
              <w:bottom w:type="dxa" w:w="70"/>
              <w:right w:type="dxa" w:w="95"/>
            </w:tcMar>
            <w:vAlign w:val="center"/>
          </w:tcPr>
          <w:p>
            <w:pPr>
              <w:bidi w:val="false"/>
              <w:spacing w:after="20" w:line="280"/>
              <w:jc w:val="center"/>
            </w:pPr>
            <w:r>
              <w:rPr>
                <w:b/>
                <w:bCs/>
                <w:color w:val="1F3B57"/>
                <w:sz w:val="21"/>
                <w:szCs w:val="21"/>
                <w:rtl/>
              </w:rPr>
              <w:t xml:space="preserve">3</w:t>
            </w:r>
          </w:p>
        </w:tc>
      </w:tr>
    </w:tbl>
    <w:p>
      <w:pPr>
        <w:bidi/>
        <w:spacing w:after="120" w:before="150" w:line="330"/>
        <w:jc w:val="right"/>
      </w:pPr>
      <w:r>
        <w:rPr>
          <w:b w:val="false"/>
          <w:bCs w:val="false"/>
          <w:i w:val="false"/>
          <w:iCs w:val="false"/>
          <w:sz w:val="24"/>
          <w:szCs w:val="24"/>
          <w:rtl/>
        </w:rPr>
        <w:t xml:space="preserve">الحكم الحاكم للجولة: المرجع الحاكم يحدد كيف تسير الأعمال، والنظام الحي يحدد ما بُني فعلًا، والمعمارية تحدد أين يعيش كل مفهوم — والمصالحة وحدها تحدد ما يُعاد استخدامه وما يُدمج وما يُنقل وما ينقص حقًّا. لا يُكسر شيء صحيح لإصلاح شيء خاطئ، ولا يُنشأ سطح قبل إثبات غياب وظيفته.</w:t>
      </w:r>
    </w:p>
    <w:p>
      <w:r>
        <w:br w:type="page"/>
      </w:r>
    </w:p>
    <w:p>
      <w:pPr>
        <w:pStyle w:val="Heading1"/>
        <w:keepNext/>
        <w:bidi/>
        <w:spacing w:after="180" w:before="360"/>
        <w:jc w:val="right"/>
      </w:pPr>
      <w:r>
        <w:rPr>
          <w:b/>
          <w:bCs/>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pStyle w:val="Heading1"/>
        <w:keepNext/>
        <w:bidi/>
        <w:spacing w:after="180" w:before="360"/>
        <w:jc w:val="right"/>
      </w:pPr>
      <w:r>
        <w:rPr>
          <w:b/>
          <w:bCs/>
          <w:rtl/>
        </w:rPr>
        <w:t xml:space="preserve">البند الأول — قاعدة المصادر الحاكمة</w:t>
      </w:r>
    </w:p>
    <w:p>
      <w:pPr>
        <w:bidi/>
        <w:spacing w:after="130" w:line="330"/>
        <w:jc w:val="right"/>
      </w:pPr>
      <w:r>
        <w:rPr>
          <w:b w:val="false"/>
          <w:bCs w:val="false"/>
          <w:i w:val="false"/>
          <w:iCs w:val="false"/>
          <w:sz w:val="24"/>
          <w:szCs w:val="24"/>
          <w:rtl/>
        </w:rPr>
        <w:t xml:space="preserve">عند اختلاف المصادر يُحسم بترتيب أولوية واحد لا يُخالف في هذه الجولة: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1200"/>
        <w:gridCol w:w="2600"/>
        <w:gridCol w:w="6000"/>
      </w:tblGrid>
      <w:tr>
        <w:trPr>
          <w:cantSplit/>
          <w:tblHeader/>
        </w:trPr>
        <w:tc>
          <w:tcPr>
            <w:tcW w:type="dxa" w:w="1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الرتبة</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المصدر</w:t>
            </w:r>
          </w:p>
        </w:tc>
        <w:tc>
          <w:tcPr>
            <w:tcW w:type="dxa" w:w="6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يحكمه</w:t>
            </w:r>
          </w:p>
        </w:tc>
      </w:tr>
      <w:tr>
        <w:trPr>
          <w:cantSplit/>
        </w:trPr>
        <w:tc>
          <w:tcPr>
            <w:tcW w:type="dxa" w:w="1200"/>
            <w:tcMar>
              <w:top w:type="dxa" w:w="70"/>
              <w:left w:type="dxa" w:w="95"/>
              <w:bottom w:type="dxa" w:w="70"/>
              <w:right w:type="dxa" w:w="95"/>
            </w:tcMar>
            <w:vAlign w:val="center"/>
          </w:tcPr>
          <w:p>
            <w:pPr>
              <w:bidi w:val="false"/>
              <w:spacing w:after="20" w:line="280"/>
              <w:jc w:val="center"/>
            </w:pPr>
            <w:r>
              <w:rPr>
                <w:b/>
                <w:bCs/>
                <w:sz w:val="21"/>
                <w:szCs w:val="21"/>
                <w:rtl/>
              </w:rPr>
              <w:t xml:space="preserve">1</w:t>
            </w:r>
          </w:p>
        </w:tc>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المرجع الحاكم المرفق</w:t>
            </w:r>
          </w:p>
        </w:tc>
        <w:tc>
          <w:tcPr>
            <w:tcW w:type="dxa" w:w="6000"/>
            <w:tcMar>
              <w:top w:type="dxa" w:w="70"/>
              <w:left w:type="dxa" w:w="95"/>
              <w:bottom w:type="dxa" w:w="70"/>
              <w:right w:type="dxa" w:w="95"/>
            </w:tcMar>
            <w:vAlign w:val="center"/>
          </w:tcPr>
          <w:p>
            <w:pPr>
              <w:bidi/>
              <w:spacing w:after="20" w:line="280"/>
              <w:jc w:val="right"/>
            </w:pPr>
            <w:r>
              <w:rPr>
                <w:b w:val="false"/>
                <w:bCs w:val="false"/>
                <w:sz w:val="21"/>
                <w:szCs w:val="21"/>
                <w:rtl/>
              </w:rPr>
              <w:t xml:space="preserve">دورة العمل وترتيب المراحل وترتيب السجلات وأسماء الأقسام والبيانات التي تحتاجها كل مرحلة.</w:t>
            </w:r>
          </w:p>
        </w:tc>
      </w:tr>
      <w:tr>
        <w:trPr>
          <w:cantSplit/>
        </w:trPr>
        <w:tc>
          <w:tcPr>
            <w:tcW w:type="dxa" w:w="1200"/>
            <w:shd w:fill="F2F6FA" w:color="auto" w:val="clear"/>
            <w:tcMar>
              <w:top w:type="dxa" w:w="70"/>
              <w:left w:type="dxa" w:w="95"/>
              <w:bottom w:type="dxa" w:w="70"/>
              <w:right w:type="dxa" w:w="95"/>
            </w:tcMar>
            <w:vAlign w:val="center"/>
          </w:tcPr>
          <w:p>
            <w:pPr>
              <w:bidi w:val="false"/>
              <w:spacing w:after="20" w:line="280"/>
              <w:jc w:val="center"/>
            </w:pPr>
            <w:r>
              <w:rPr>
                <w:b/>
                <w:bCs/>
                <w:sz w:val="21"/>
                <w:szCs w:val="21"/>
                <w:rtl/>
              </w:rPr>
              <w:t xml:space="preserve">2</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الوثائق الوظيفية والمعمارية النافذة</w:t>
            </w:r>
          </w:p>
        </w:tc>
        <w:tc>
          <w:tcPr>
            <w:tcW w:type="dxa" w:w="60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الملكية وحدود الإدارات ومصدر الحقيقة والصلاحيات والأحداث والاعتمادات وقواعد التغطية.</w:t>
            </w:r>
          </w:p>
        </w:tc>
      </w:tr>
      <w:tr>
        <w:trPr>
          <w:cantSplit/>
        </w:trPr>
        <w:tc>
          <w:tcPr>
            <w:tcW w:type="dxa" w:w="1200"/>
            <w:tcMar>
              <w:top w:type="dxa" w:w="70"/>
              <w:left w:type="dxa" w:w="95"/>
              <w:bottom w:type="dxa" w:w="70"/>
              <w:right w:type="dxa" w:w="95"/>
            </w:tcMar>
            <w:vAlign w:val="center"/>
          </w:tcPr>
          <w:p>
            <w:pPr>
              <w:bidi w:val="false"/>
              <w:spacing w:after="20" w:line="280"/>
              <w:jc w:val="center"/>
            </w:pPr>
            <w:r>
              <w:rPr>
                <w:b/>
                <w:bCs/>
                <w:sz w:val="21"/>
                <w:szCs w:val="21"/>
                <w:rtl/>
              </w:rPr>
              <w:t xml:space="preserve">3</w:t>
            </w:r>
          </w:p>
        </w:tc>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وثائق الحالة الفعلية والتصحيح</w:t>
            </w:r>
          </w:p>
        </w:tc>
        <w:tc>
          <w:tcPr>
            <w:tcW w:type="dxa" w:w="6000"/>
            <w:tcMar>
              <w:top w:type="dxa" w:w="70"/>
              <w:left w:type="dxa" w:w="95"/>
              <w:bottom w:type="dxa" w:w="70"/>
              <w:right w:type="dxa" w:w="95"/>
            </w:tcMar>
            <w:vAlign w:val="center"/>
          </w:tcPr>
          <w:p>
            <w:pPr>
              <w:bidi/>
              <w:spacing w:after="20" w:line="280"/>
              <w:jc w:val="right"/>
            </w:pPr>
            <w:r>
              <w:rPr>
                <w:b w:val="false"/>
                <w:bCs w:val="false"/>
                <w:sz w:val="21"/>
                <w:szCs w:val="21"/>
                <w:rtl/>
              </w:rPr>
              <w:t xml:space="preserve">ما هو مبنيٌّ فعلًا وكيف يعمل وما سبق إصلاحه وما لا يجوز كسره.</w:t>
            </w:r>
          </w:p>
        </w:tc>
      </w:tr>
      <w:tr>
        <w:trPr>
          <w:cantSplit/>
        </w:trPr>
        <w:tc>
          <w:tcPr>
            <w:tcW w:type="dxa" w:w="1200"/>
            <w:shd w:fill="F2F6FA" w:color="auto" w:val="clear"/>
            <w:tcMar>
              <w:top w:type="dxa" w:w="70"/>
              <w:left w:type="dxa" w:w="95"/>
              <w:bottom w:type="dxa" w:w="70"/>
              <w:right w:type="dxa" w:w="95"/>
            </w:tcMar>
            <w:vAlign w:val="center"/>
          </w:tcPr>
          <w:p>
            <w:pPr>
              <w:bidi w:val="false"/>
              <w:spacing w:after="20" w:line="280"/>
              <w:jc w:val="center"/>
            </w:pPr>
            <w:r>
              <w:rPr>
                <w:b/>
                <w:bCs/>
                <w:sz w:val="21"/>
                <w:szCs w:val="21"/>
                <w:rtl/>
              </w:rPr>
              <w:t xml:space="preserve">4</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الكود وقاعدة البيانات والتشغيل الحي</w:t>
            </w:r>
          </w:p>
        </w:tc>
        <w:tc>
          <w:tcPr>
            <w:tcW w:type="dxa" w:w="60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دليل الحالة الراهنة — لا مصدرٌ لتغيير دورة عملٍ صحيحة لمجرد أن التنفيذ القديم خالفها.</w:t>
            </w:r>
          </w:p>
        </w:tc>
      </w:tr>
    </w:tbl>
    <w:p>
      <w:pPr>
        <w:pStyle w:val="Heading1"/>
        <w:keepNext/>
        <w:bidi/>
        <w:spacing w:after="180" w:before="360"/>
        <w:jc w:val="right"/>
      </w:pPr>
      <w:r>
        <w:rPr>
          <w:b/>
          <w:bCs/>
          <w:rtl/>
        </w:rPr>
        <w:t xml:space="preserve">البند الثاني — الجرد العكسي الحي قبل أي تعديل</w:t>
      </w:r>
    </w:p>
    <w:p>
      <w:pPr>
        <w:bidi/>
        <w:spacing w:after="130" w:line="330"/>
        <w:jc w:val="right"/>
      </w:pPr>
      <w:r>
        <w:rPr>
          <w:b w:val="false"/>
          <w:bCs w:val="false"/>
          <w:i w:val="false"/>
          <w:iCs w:val="false"/>
          <w:sz w:val="24"/>
          <w:szCs w:val="24"/>
          <w:rtl/>
        </w:rPr>
        <w:t xml:space="preserve">لا يُغيَّر اسم واحد في التنقّل قبل جرد كل ما يخص الإدارة في النظام الحي وربطه بالإدارة والمرحلة والمستند الذي يخدمه. والجرد لا يعتمد على التنقّل وحده — فما لا يظهر في التنقّل قد يكون حيًّا بمسار مباشر أو استدعاءٍ خلفي.</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300"/>
        <w:gridCol w:w="6500"/>
      </w:tblGrid>
      <w:tr>
        <w:trPr>
          <w:cantSplit/>
          <w:tblHeader/>
        </w:trPr>
        <w:tc>
          <w:tcPr>
            <w:tcW w:type="dxa" w:w="3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يُجرد</w:t>
            </w:r>
          </w:p>
        </w:tc>
        <w:tc>
          <w:tcPr>
            <w:tcW w:type="dxa" w:w="6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قاعدة الربط</w:t>
            </w:r>
          </w:p>
        </w:tc>
      </w:tr>
      <w:tr>
        <w:trPr>
          <w:cantSplit/>
        </w:trPr>
        <w:tc>
          <w:tcPr>
            <w:tcW w:type="dxa" w:w="3300"/>
            <w:tcMar>
              <w:top w:type="dxa" w:w="70"/>
              <w:left w:type="dxa" w:w="95"/>
              <w:bottom w:type="dxa" w:w="70"/>
              <w:right w:type="dxa" w:w="95"/>
            </w:tcMar>
            <w:vAlign w:val="center"/>
          </w:tcPr>
          <w:p>
            <w:pPr>
              <w:bidi/>
              <w:spacing w:after="20" w:line="280"/>
              <w:jc w:val="right"/>
            </w:pPr>
            <w:r>
              <w:rPr>
                <w:b/>
                <w:bCs/>
                <w:sz w:val="21"/>
                <w:szCs w:val="21"/>
                <w:rtl/>
              </w:rPr>
              <w:t xml:space="preserve">بنود التنقّل والمسارات</w:t>
            </w:r>
          </w:p>
        </w:tc>
        <w:tc>
          <w:tcPr>
            <w:tcW w:type="dxa" w:w="6500"/>
            <w:tcMar>
              <w:top w:type="dxa" w:w="70"/>
              <w:left w:type="dxa" w:w="95"/>
              <w:bottom w:type="dxa" w:w="70"/>
              <w:right w:type="dxa" w:w="95"/>
            </w:tcMar>
            <w:vAlign w:val="center"/>
          </w:tcPr>
          <w:p>
            <w:pPr>
              <w:bidi/>
              <w:spacing w:after="20" w:line="280"/>
              <w:jc w:val="right"/>
            </w:pPr>
            <w:r>
              <w:rPr>
                <w:b w:val="false"/>
                <w:bCs w:val="false"/>
                <w:sz w:val="21"/>
                <w:szCs w:val="21"/>
                <w:rtl/>
              </w:rPr>
              <w:t xml:space="preserve">كل بند يُربط بمرحلته المستندية أو يُوسم خارج الدورة بسبب موثق.</w:t>
            </w:r>
          </w:p>
        </w:tc>
      </w:tr>
      <w:tr>
        <w:trPr>
          <w:cantSplit/>
        </w:trPr>
        <w:tc>
          <w:tcPr>
            <w:tcW w:type="dxa" w:w="3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الشاشات والتبويبات والأسطح التابعة</w:t>
            </w:r>
          </w:p>
        </w:tc>
        <w:tc>
          <w:tcPr>
            <w:tcW w:type="dxa" w:w="65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كل سطح يُربط بملفه الأمّ إن كان تابعًا، أو يُعلن سطحًا رئيسيًّا.</w:t>
            </w:r>
          </w:p>
        </w:tc>
      </w:tr>
      <w:tr>
        <w:trPr>
          <w:cantSplit/>
        </w:trPr>
        <w:tc>
          <w:tcPr>
            <w:tcW w:type="dxa" w:w="3300"/>
            <w:tcMar>
              <w:top w:type="dxa" w:w="70"/>
              <w:left w:type="dxa" w:w="95"/>
              <w:bottom w:type="dxa" w:w="70"/>
              <w:right w:type="dxa" w:w="95"/>
            </w:tcMar>
            <w:vAlign w:val="center"/>
          </w:tcPr>
          <w:p>
            <w:pPr>
              <w:bidi/>
              <w:spacing w:after="20" w:line="280"/>
              <w:jc w:val="right"/>
            </w:pPr>
            <w:r>
              <w:rPr>
                <w:b/>
                <w:bCs/>
                <w:sz w:val="21"/>
                <w:szCs w:val="21"/>
                <w:rtl/>
              </w:rPr>
              <w:t xml:space="preserve">المنظورات المحفوظة والتقارير</w:t>
            </w:r>
          </w:p>
        </w:tc>
        <w:tc>
          <w:tcPr>
            <w:tcW w:type="dxa" w:w="6500"/>
            <w:tcMar>
              <w:top w:type="dxa" w:w="70"/>
              <w:left w:type="dxa" w:w="95"/>
              <w:bottom w:type="dxa" w:w="70"/>
              <w:right w:type="dxa" w:w="95"/>
            </w:tcMar>
            <w:vAlign w:val="center"/>
          </w:tcPr>
          <w:p>
            <w:pPr>
              <w:bidi/>
              <w:spacing w:after="20" w:line="280"/>
              <w:jc w:val="right"/>
            </w:pPr>
            <w:r>
              <w:rPr>
                <w:b w:val="false"/>
                <w:bCs w:val="false"/>
                <w:sz w:val="21"/>
                <w:szCs w:val="21"/>
                <w:rtl/>
              </w:rPr>
              <w:t xml:space="preserve">تُفصل عن الشاشات: المنظور ليس وظيفة جديدة بل قراءة مختلفة للسجل نفسه.</w:t>
            </w:r>
          </w:p>
        </w:tc>
      </w:tr>
      <w:tr>
        <w:trPr>
          <w:cantSplit/>
        </w:trPr>
        <w:tc>
          <w:tcPr>
            <w:tcW w:type="dxa" w:w="3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النماذج والجداول والحقول</w:t>
            </w:r>
          </w:p>
        </w:tc>
        <w:tc>
          <w:tcPr>
            <w:tcW w:type="dxa" w:w="65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كل حقل يُربط بمصدر حقيقته ومالكه — والحقل الحساس يُوسم قبل أي نقل.</w:t>
            </w:r>
          </w:p>
        </w:tc>
      </w:tr>
      <w:tr>
        <w:trPr>
          <w:cantSplit/>
        </w:trPr>
        <w:tc>
          <w:tcPr>
            <w:tcW w:type="dxa" w:w="3300"/>
            <w:tcMar>
              <w:top w:type="dxa" w:w="70"/>
              <w:left w:type="dxa" w:w="95"/>
              <w:bottom w:type="dxa" w:w="70"/>
              <w:right w:type="dxa" w:w="95"/>
            </w:tcMar>
            <w:vAlign w:val="center"/>
          </w:tcPr>
          <w:p>
            <w:pPr>
              <w:bidi/>
              <w:spacing w:after="20" w:line="280"/>
              <w:jc w:val="right"/>
            </w:pPr>
            <w:r>
              <w:rPr>
                <w:b/>
                <w:bCs/>
                <w:sz w:val="21"/>
                <w:szCs w:val="21"/>
                <w:rtl/>
              </w:rPr>
              <w:t xml:space="preserve">الأفعال والحالات والاعتمادات</w:t>
            </w:r>
          </w:p>
        </w:tc>
        <w:tc>
          <w:tcPr>
            <w:tcW w:type="dxa" w:w="6500"/>
            <w:tcMar>
              <w:top w:type="dxa" w:w="70"/>
              <w:left w:type="dxa" w:w="95"/>
              <w:bottom w:type="dxa" w:w="70"/>
              <w:right w:type="dxa" w:w="95"/>
            </w:tcMar>
            <w:vAlign w:val="center"/>
          </w:tcPr>
          <w:p>
            <w:pPr>
              <w:bidi/>
              <w:spacing w:after="20" w:line="280"/>
              <w:jc w:val="right"/>
            </w:pPr>
            <w:r>
              <w:rPr>
                <w:b w:val="false"/>
                <w:bCs w:val="false"/>
                <w:sz w:val="21"/>
                <w:szCs w:val="21"/>
                <w:rtl/>
              </w:rPr>
              <w:t xml:space="preserve">كل فعل يُربط بحالته وسلّم اعتماده، ولا يُنقل فعل بلا سلّمه.</w:t>
            </w:r>
          </w:p>
        </w:tc>
      </w:tr>
      <w:tr>
        <w:trPr>
          <w:cantSplit/>
        </w:trPr>
        <w:tc>
          <w:tcPr>
            <w:tcW w:type="dxa" w:w="3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الصلاحيات والبحث والتصدير</w:t>
            </w:r>
          </w:p>
        </w:tc>
        <w:tc>
          <w:tcPr>
            <w:tcW w:type="dxa" w:w="65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كل قناة خروج تُفحص مع الشاشة: ما يُمنع في الشاشة يُمنع في البحث والتصدير والواجهة البرمجية.</w:t>
            </w:r>
          </w:p>
        </w:tc>
      </w:tr>
      <w:tr>
        <w:trPr>
          <w:cantSplit/>
        </w:trPr>
        <w:tc>
          <w:tcPr>
            <w:tcW w:type="dxa" w:w="3300"/>
            <w:tcMar>
              <w:top w:type="dxa" w:w="70"/>
              <w:left w:type="dxa" w:w="95"/>
              <w:bottom w:type="dxa" w:w="70"/>
              <w:right w:type="dxa" w:w="95"/>
            </w:tcMar>
            <w:vAlign w:val="center"/>
          </w:tcPr>
          <w:p>
            <w:pPr>
              <w:bidi/>
              <w:spacing w:after="20" w:line="280"/>
              <w:jc w:val="right"/>
            </w:pPr>
            <w:r>
              <w:rPr>
                <w:b/>
                <w:bCs/>
                <w:sz w:val="21"/>
                <w:szCs w:val="21"/>
                <w:rtl/>
              </w:rPr>
              <w:t xml:space="preserve">الأحداث والخدمات والجداول</w:t>
            </w:r>
          </w:p>
        </w:tc>
        <w:tc>
          <w:tcPr>
            <w:tcW w:type="dxa" w:w="6500"/>
            <w:tcMar>
              <w:top w:type="dxa" w:w="70"/>
              <w:left w:type="dxa" w:w="95"/>
              <w:bottom w:type="dxa" w:w="70"/>
              <w:right w:type="dxa" w:w="95"/>
            </w:tcMar>
            <w:vAlign w:val="center"/>
          </w:tcPr>
          <w:p>
            <w:pPr>
              <w:bidi/>
              <w:spacing w:after="20" w:line="280"/>
              <w:jc w:val="right"/>
            </w:pPr>
            <w:r>
              <w:rPr>
                <w:b w:val="false"/>
                <w:bCs w:val="false"/>
                <w:sz w:val="21"/>
                <w:szCs w:val="21"/>
                <w:rtl/>
              </w:rPr>
              <w:t xml:space="preserve">كل حدث يُربط بمنتجه ومستهلكيه — ونقل الشاشة لا يقطع أثر حدثها.</w:t>
            </w:r>
          </w:p>
        </w:tc>
      </w:tr>
    </w:tbl>
    <w:p>
      <w:r>
        <w:br w:type="page"/>
      </w:r>
    </w:p>
    <w:p>
      <w:pPr>
        <w:pStyle w:val="Heading1"/>
        <w:keepNext/>
        <w:bidi/>
        <w:spacing w:after="180" w:before="360"/>
        <w:jc w:val="right"/>
      </w:pPr>
      <w:r>
        <w:rPr>
          <w:b/>
          <w:bCs/>
          <w:rtl/>
        </w:rPr>
        <w:t xml:space="preserve">البند الثالث — قرار السطح لكل ورقة</w:t>
      </w:r>
    </w:p>
    <w:p>
      <w:pPr>
        <w:bidi/>
        <w:spacing w:after="130" w:line="330"/>
        <w:jc w:val="right"/>
      </w:pPr>
      <w:r>
        <w:rPr>
          <w:b w:val="false"/>
          <w:bCs w:val="false"/>
          <w:i w:val="false"/>
          <w:iCs w:val="false"/>
          <w:sz w:val="24"/>
          <w:szCs w:val="24"/>
          <w:rtl/>
        </w:rPr>
        <w:t xml:space="preserve">الورقة لا تعني شاشة جديدة. ولكل ورقة قرار واحد لا غير، ولا يُعلَن نقصٌ إلا بعد إثبات غياب المسار والتبويب والسطح التابع والمنظور والوظيفة المدمجة في سطح آخر. وهذه قرارات الجولة كاملة: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2100"/>
        <w:gridCol w:w="52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الورقة</w:t>
            </w:r>
          </w:p>
        </w:tc>
        <w:tc>
          <w:tcPr>
            <w:tcW w:type="dxa" w:w="2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القرار</w:t>
            </w:r>
          </w:p>
        </w:tc>
        <w:tc>
          <w:tcPr>
            <w:tcW w:type="dxa" w:w="5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السطح المستهدف</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الرئيسية ودليل المنظومة</w:t>
            </w:r>
          </w:p>
          <w:p>
            <w:pPr>
              <w:bidi/>
              <w:spacing w:after="20" w:line="280"/>
              <w:jc w:val="right"/>
            </w:pPr>
            <w:r>
              <w:rPr>
                <w:b w:val="false"/>
                <w:bCs w:val="false"/>
                <w:color w:val="5A6B7B"/>
                <w:sz w:val="19"/>
                <w:szCs w:val="19"/>
                <w:rtl/>
              </w:rPr>
              <w:t xml:space="preserve">م00 · التأسيس</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مرجع لا شاشة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فهرس حاكم ومصفوفة فصل واجبات — تغذّي الحوكمة لا شاشة</w:t>
            </w:r>
          </w:p>
          <w:p>
            <w:pPr>
              <w:bidi w:val="false"/>
              <w:spacing w:after="20" w:line="280"/>
              <w:jc w:val="left"/>
            </w:pPr>
            <w:r>
              <w:rPr>
                <w:b w:val="false"/>
                <w:bCs w:val="false"/>
                <w:color w:val="5A6B7B"/>
                <w:sz w:val="18"/>
                <w:szCs w:val="18"/>
                <w:rtl w:val="false"/>
              </w:rPr>
              <w:t xml:space="preserve">SoD</w:t>
            </w:r>
            <w:r>
              <w:rPr>
                <w:b w:val="false"/>
                <w:bCs w:val="false"/>
                <w:color w:val="5A6B7B"/>
                <w:sz w:val="18"/>
                <w:szCs w:val="18"/>
                <w:rtl/>
              </w:rPr>
              <w:t xml:space="preserve"> </w:t>
            </w:r>
            <w:r>
              <w:rPr>
                <w:b w:val="false"/>
                <w:bCs w:val="false"/>
                <w:color w:val="5A6B7B"/>
                <w:sz w:val="18"/>
                <w:szCs w:val="18"/>
                <w:rtl w:val="false"/>
              </w:rPr>
              <w:t xml:space="preserve">matrix</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سجل الموردين</w:t>
            </w:r>
          </w:p>
          <w:p>
            <w:pPr>
              <w:bidi/>
              <w:spacing w:after="20" w:line="280"/>
              <w:jc w:val="right"/>
            </w:pPr>
            <w:r>
              <w:rPr>
                <w:b w:val="false"/>
                <w:bCs w:val="false"/>
                <w:color w:val="5A6B7B"/>
                <w:sz w:val="19"/>
                <w:szCs w:val="19"/>
                <w:rtl/>
              </w:rPr>
              <w:t xml:space="preserve">م01 · التأسيس</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قائم — وتُصحَّح مرحلته من طلبات العروض إلى تسجيل الموردين</w:t>
            </w:r>
          </w:p>
          <w:p>
            <w:pPr>
              <w:bidi w:val="false"/>
              <w:spacing w:after="20" w:line="280"/>
              <w:jc w:val="left"/>
            </w:pPr>
            <w:r>
              <w:rPr>
                <w:b w:val="false"/>
                <w:bCs w:val="false"/>
                <w:color w:val="5A6B7B"/>
                <w:sz w:val="18"/>
                <w:szCs w:val="18"/>
                <w:rtl w:val="false"/>
              </w:rPr>
              <w:t xml:space="preserve">suppliers.php</w:t>
            </w:r>
            <w:r>
              <w:rPr>
                <w:b w:val="false"/>
                <w:bCs w:val="false"/>
                <w:color w:val="5A6B7B"/>
                <w:sz w:val="18"/>
                <w:szCs w:val="18"/>
                <w:rtl/>
              </w:rPr>
              <w:t xml:space="preserve"> · </w:t>
            </w:r>
            <w:r>
              <w:rPr>
                <w:b w:val="false"/>
                <w:bCs w:val="false"/>
                <w:color w:val="5A6B7B"/>
                <w:sz w:val="18"/>
                <w:szCs w:val="18"/>
                <w:rtl w:val="false"/>
              </w:rPr>
              <w:t xml:space="preserve">SCR-0461</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جهات الاتصال والمفوضون</w:t>
            </w:r>
          </w:p>
          <w:p>
            <w:pPr>
              <w:bidi/>
              <w:spacing w:after="20" w:line="280"/>
              <w:jc w:val="right"/>
            </w:pPr>
            <w:r>
              <w:rPr>
                <w:b w:val="false"/>
                <w:bCs w:val="false"/>
                <w:color w:val="5A6B7B"/>
                <w:sz w:val="19"/>
                <w:szCs w:val="19"/>
                <w:rtl/>
              </w:rPr>
              <w:t xml:space="preserve">م02 · التأسيس</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تبويب في الملف الأم</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تبويب داخل ملف المورد — والتفويض حقل حجية لا شاشة</w:t>
            </w:r>
          </w:p>
          <w:p>
            <w:pPr>
              <w:bidi w:val="false"/>
              <w:spacing w:after="20" w:line="280"/>
              <w:jc w:val="left"/>
            </w:pPr>
            <w:r>
              <w:rPr>
                <w:b w:val="false"/>
                <w:bCs w:val="false"/>
                <w:color w:val="5A6B7B"/>
                <w:sz w:val="18"/>
                <w:szCs w:val="18"/>
                <w:rtl w:val="false"/>
              </w:rPr>
              <w:t xml:space="preserve">supplier_profile.php</w:t>
            </w:r>
            <w:r>
              <w:rPr>
                <w:b w:val="false"/>
                <w:bCs w:val="false"/>
                <w:color w:val="5A6B7B"/>
                <w:sz w:val="18"/>
                <w:szCs w:val="18"/>
                <w:rtl/>
              </w:rPr>
              <w:t xml:space="preserve"> · </w:t>
            </w:r>
            <w:r>
              <w:rPr>
                <w:b w:val="false"/>
                <w:bCs w:val="false"/>
                <w:color w:val="5A6B7B"/>
                <w:sz w:val="18"/>
                <w:szCs w:val="18"/>
                <w:rtl w:val="false"/>
              </w:rPr>
              <w:t xml:space="preserve">SCR-0459</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التأهيل القانوني والائتماني</w:t>
            </w:r>
          </w:p>
          <w:p>
            <w:pPr>
              <w:bidi/>
              <w:spacing w:after="20" w:line="280"/>
              <w:jc w:val="right"/>
            </w:pPr>
            <w:r>
              <w:rPr>
                <w:b w:val="false"/>
                <w:bCs w:val="false"/>
                <w:color w:val="5A6B7B"/>
                <w:sz w:val="19"/>
                <w:szCs w:val="19"/>
                <w:rtl/>
              </w:rPr>
              <w:t xml:space="preserve">م03 · التأسيس</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دمج في 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وثائق المورد وحساباته البنكية سطحان لمفهوم واحد — يُدمجان</w:t>
            </w:r>
          </w:p>
          <w:p>
            <w:pPr>
              <w:bidi w:val="false"/>
              <w:spacing w:after="20" w:line="280"/>
              <w:jc w:val="left"/>
            </w:pPr>
            <w:r>
              <w:rPr>
                <w:b w:val="false"/>
                <w:bCs w:val="false"/>
                <w:color w:val="5A6B7B"/>
                <w:sz w:val="18"/>
                <w:szCs w:val="18"/>
                <w:rtl w:val="false"/>
              </w:rPr>
              <w:t xml:space="preserve">supplier_documents</w:t>
            </w:r>
            <w:r>
              <w:rPr>
                <w:b w:val="false"/>
                <w:bCs w:val="false"/>
                <w:color w:val="5A6B7B"/>
                <w:sz w:val="18"/>
                <w:szCs w:val="18"/>
                <w:rtl/>
              </w:rPr>
              <w:t xml:space="preserve"> + </w:t>
            </w:r>
            <w:r>
              <w:rPr>
                <w:b w:val="false"/>
                <w:bCs w:val="false"/>
                <w:color w:val="5A6B7B"/>
                <w:sz w:val="18"/>
                <w:szCs w:val="18"/>
                <w:rtl w:val="false"/>
              </w:rPr>
              <w:t xml:space="preserve">supplier_bank</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المعدات المقدَّمة تحت العقد</w:t>
            </w:r>
          </w:p>
          <w:p>
            <w:pPr>
              <w:bidi/>
              <w:spacing w:after="20" w:line="280"/>
              <w:jc w:val="right"/>
            </w:pPr>
            <w:r>
              <w:rPr>
                <w:b w:val="false"/>
                <w:bCs w:val="false"/>
                <w:color w:val="5A6B7B"/>
                <w:sz w:val="19"/>
                <w:szCs w:val="19"/>
                <w:rtl/>
              </w:rPr>
              <w:t xml:space="preserve">م04 · التأسيس</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إسقاط قراءة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سجل المعدة بيت الأسطول — والمملوك هنا صفة المورد تجاهها وحق تقديمها</w:t>
            </w:r>
          </w:p>
          <w:p>
            <w:pPr>
              <w:bidi w:val="false"/>
              <w:spacing w:after="20" w:line="280"/>
              <w:jc w:val="left"/>
            </w:pPr>
            <w:r>
              <w:rPr>
                <w:b w:val="false"/>
                <w:bCs w:val="false"/>
                <w:color w:val="5A6B7B"/>
                <w:sz w:val="18"/>
                <w:szCs w:val="18"/>
                <w:rtl w:val="false"/>
              </w:rPr>
              <w:t xml:space="preserve">equipments.php</w:t>
            </w:r>
            <w:r>
              <w:rPr>
                <w:b w:val="false"/>
                <w:bCs w:val="false"/>
                <w:color w:val="5A6B7B"/>
                <w:sz w:val="18"/>
                <w:szCs w:val="18"/>
                <w:rtl/>
              </w:rPr>
              <w:t xml:space="preserve"> + </w:t>
            </w:r>
            <w:r>
              <w:rPr>
                <w:b w:val="false"/>
                <w:bCs w:val="false"/>
                <w:color w:val="5A6B7B"/>
                <w:sz w:val="18"/>
                <w:szCs w:val="18"/>
                <w:rtl w:val="false"/>
              </w:rPr>
              <w:t xml:space="preserve">equipment_plan.php</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احتياجات التغطية</w:t>
            </w:r>
          </w:p>
          <w:p>
            <w:pPr>
              <w:bidi/>
              <w:spacing w:after="20" w:line="280"/>
              <w:jc w:val="right"/>
            </w:pPr>
            <w:r>
              <w:rPr>
                <w:b w:val="false"/>
                <w:bCs w:val="false"/>
                <w:color w:val="5A6B7B"/>
                <w:sz w:val="19"/>
                <w:szCs w:val="19"/>
                <w:rtl/>
              </w:rPr>
              <w:t xml:space="preserve">م05 · التعاقد</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إسقاط قراءة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جانب الطلب من عقد العميل — محجوب اليوم عن الإدارة ويجب فتحه قراءةً</w:t>
            </w:r>
          </w:p>
          <w:p>
            <w:pPr>
              <w:bidi w:val="false"/>
              <w:spacing w:after="20" w:line="280"/>
              <w:jc w:val="left"/>
            </w:pPr>
            <w:r>
              <w:rPr>
                <w:b w:val="false"/>
                <w:bCs w:val="false"/>
                <w:color w:val="5A6B7B"/>
                <w:sz w:val="18"/>
                <w:szCs w:val="18"/>
                <w:rtl w:val="false"/>
              </w:rPr>
              <w:t xml:space="preserve">contract_coverage.php</w:t>
            </w:r>
            <w:r>
              <w:rPr>
                <w:b w:val="false"/>
                <w:bCs w:val="false"/>
                <w:color w:val="5A6B7B"/>
                <w:sz w:val="18"/>
                <w:szCs w:val="18"/>
                <w:rtl/>
              </w:rPr>
              <w:t xml:space="preserve"> · </w:t>
            </w:r>
            <w:r>
              <w:rPr>
                <w:b w:val="false"/>
                <w:bCs w:val="false"/>
                <w:color w:val="5A6B7B"/>
                <w:sz w:val="18"/>
                <w:szCs w:val="18"/>
                <w:rtl w:val="false"/>
              </w:rPr>
              <w:t xml:space="preserve">now</w:t>
            </w:r>
            <w:r>
              <w:rPr>
                <w:b w:val="false"/>
                <w:bCs w:val="false"/>
                <w:color w:val="5A6B7B"/>
                <w:sz w:val="18"/>
                <w:szCs w:val="18"/>
                <w:rtl/>
              </w:rPr>
              <w:t xml:space="preserve"> </w:t>
            </w:r>
            <w:r>
              <w:rPr>
                <w:b w:val="false"/>
                <w:bCs w:val="false"/>
                <w:color w:val="5A6B7B"/>
                <w:sz w:val="18"/>
                <w:szCs w:val="18"/>
                <w:rtl w:val="false"/>
              </w:rPr>
              <w:t xml:space="preserve">FORBIDDEN</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الترشيح ومراجعة التعاقد</w:t>
            </w:r>
          </w:p>
          <w:p>
            <w:pPr>
              <w:bidi/>
              <w:spacing w:after="20" w:line="280"/>
              <w:jc w:val="right"/>
            </w:pPr>
            <w:r>
              <w:rPr>
                <w:b w:val="false"/>
                <w:bCs w:val="false"/>
                <w:color w:val="5A6B7B"/>
                <w:sz w:val="19"/>
                <w:szCs w:val="19"/>
                <w:rtl/>
              </w:rPr>
              <w:t xml:space="preserve">م06 · التعاقد</w:t>
            </w:r>
          </w:p>
        </w:tc>
        <w:tc>
          <w:tcPr>
            <w:tcW w:type="dxa" w:w="2100"/>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طلبات عروض الموردين هي بوابة الترشيح — تُسجَّل في الدورة وتُضاف فحوصها</w:t>
            </w:r>
          </w:p>
          <w:p>
            <w:pPr>
              <w:bidi w:val="false"/>
              <w:spacing w:after="20" w:line="280"/>
              <w:jc w:val="left"/>
            </w:pPr>
            <w:r>
              <w:rPr>
                <w:b w:val="false"/>
                <w:bCs w:val="false"/>
                <w:color w:val="5A6B7B"/>
                <w:sz w:val="18"/>
                <w:szCs w:val="18"/>
                <w:rtl w:val="false"/>
              </w:rPr>
              <w:t xml:space="preserve">rfq_requests.php</w:t>
            </w:r>
            <w:r>
              <w:rPr>
                <w:b w:val="false"/>
                <w:bCs w:val="false"/>
                <w:color w:val="5A6B7B"/>
                <w:sz w:val="18"/>
                <w:szCs w:val="18"/>
                <w:rtl/>
              </w:rPr>
              <w:t xml:space="preserve"> · </w:t>
            </w:r>
            <w:r>
              <w:rPr>
                <w:b w:val="false"/>
                <w:bCs w:val="false"/>
                <w:color w:val="5A6B7B"/>
                <w:sz w:val="18"/>
                <w:szCs w:val="18"/>
                <w:rtl w:val="false"/>
              </w:rPr>
              <w:t xml:space="preserve">SCR-0442</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سجل عقود الموردين</w:t>
            </w:r>
          </w:p>
          <w:p>
            <w:pPr>
              <w:bidi/>
              <w:spacing w:after="20" w:line="280"/>
              <w:jc w:val="right"/>
            </w:pPr>
            <w:r>
              <w:rPr>
                <w:b w:val="false"/>
                <w:bCs w:val="false"/>
                <w:color w:val="5A6B7B"/>
                <w:sz w:val="19"/>
                <w:szCs w:val="19"/>
                <w:rtl/>
              </w:rPr>
              <w:t xml:space="preserve">م07 · التعاقد</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رأس السجل — ويصير ملفًّا أمًّا لبنوده ومسؤولياته وملاحقه</w:t>
            </w:r>
          </w:p>
          <w:p>
            <w:pPr>
              <w:bidi w:val="false"/>
              <w:spacing w:after="20" w:line="280"/>
              <w:jc w:val="left"/>
            </w:pPr>
            <w:r>
              <w:rPr>
                <w:b w:val="false"/>
                <w:bCs w:val="false"/>
                <w:color w:val="5A6B7B"/>
                <w:sz w:val="18"/>
                <w:szCs w:val="18"/>
                <w:rtl w:val="false"/>
              </w:rPr>
              <w:t xml:space="preserve">supplierscontracts.php</w:t>
            </w:r>
            <w:r>
              <w:rPr>
                <w:b w:val="false"/>
                <w:bCs w:val="false"/>
                <w:color w:val="5A6B7B"/>
                <w:sz w:val="18"/>
                <w:szCs w:val="18"/>
                <w:rtl/>
              </w:rPr>
              <w:t xml:space="preserve"> · </w:t>
            </w:r>
            <w:r>
              <w:rPr>
                <w:b w:val="false"/>
                <w:bCs w:val="false"/>
                <w:color w:val="5A6B7B"/>
                <w:sz w:val="18"/>
                <w:szCs w:val="18"/>
                <w:rtl w:val="false"/>
              </w:rPr>
              <w:t xml:space="preserve">SCR-0464</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بنود عقود الموردين</w:t>
            </w:r>
          </w:p>
          <w:p>
            <w:pPr>
              <w:bidi/>
              <w:spacing w:after="20" w:line="280"/>
              <w:jc w:val="right"/>
            </w:pPr>
            <w:r>
              <w:rPr>
                <w:b w:val="false"/>
                <w:bCs w:val="false"/>
                <w:color w:val="5A6B7B"/>
                <w:sz w:val="19"/>
                <w:szCs w:val="19"/>
                <w:rtl/>
              </w:rPr>
              <w:t xml:space="preserve">م08 · التعاقد</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تبويب في الملف الأم</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تبويب داخل ملف عقد المورد — قائم وغير مسجَّل في الدورة</w:t>
            </w:r>
          </w:p>
          <w:p>
            <w:pPr>
              <w:bidi w:val="false"/>
              <w:spacing w:after="20" w:line="280"/>
              <w:jc w:val="left"/>
            </w:pPr>
            <w:r>
              <w:rPr>
                <w:b w:val="false"/>
                <w:bCs w:val="false"/>
                <w:color w:val="5A6B7B"/>
                <w:sz w:val="18"/>
                <w:szCs w:val="18"/>
                <w:rtl w:val="false"/>
              </w:rPr>
              <w:t xml:space="preserve">supplier_contract_lines.php</w:t>
            </w:r>
            <w:r>
              <w:rPr>
                <w:b w:val="false"/>
                <w:bCs w:val="false"/>
                <w:color w:val="5A6B7B"/>
                <w:sz w:val="18"/>
                <w:szCs w:val="18"/>
                <w:rtl/>
              </w:rPr>
              <w:t xml:space="preserve"> · </w:t>
            </w:r>
            <w:r>
              <w:rPr>
                <w:b w:val="false"/>
                <w:bCs w:val="false"/>
                <w:color w:val="5A6B7B"/>
                <w:sz w:val="18"/>
                <w:szCs w:val="18"/>
                <w:rtl w:val="false"/>
              </w:rPr>
              <w:t xml:space="preserve">SCR-0456</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مصفوفة المسؤوليات والتكاليف</w:t>
            </w:r>
          </w:p>
          <w:p>
            <w:pPr>
              <w:bidi/>
              <w:spacing w:after="20" w:line="280"/>
              <w:jc w:val="right"/>
            </w:pPr>
            <w:r>
              <w:rPr>
                <w:b w:val="false"/>
                <w:bCs w:val="false"/>
                <w:color w:val="5A6B7B"/>
                <w:sz w:val="19"/>
                <w:szCs w:val="19"/>
                <w:rtl/>
              </w:rPr>
              <w:t xml:space="preserve">م09 · التعاقد</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قواعد التحميل القائمة هي هذه المصفوفة — تُعاد تسميتها وتُنقل تبويبًا</w:t>
            </w:r>
          </w:p>
          <w:p>
            <w:pPr>
              <w:bidi w:val="false"/>
              <w:spacing w:after="20" w:line="280"/>
              <w:jc w:val="left"/>
            </w:pPr>
            <w:r>
              <w:rPr>
                <w:b w:val="false"/>
                <w:bCs w:val="false"/>
                <w:color w:val="5A6B7B"/>
                <w:sz w:val="18"/>
                <w:szCs w:val="18"/>
                <w:rtl w:val="false"/>
              </w:rPr>
              <w:t xml:space="preserve">supplier_rules.php</w:t>
            </w:r>
            <w:r>
              <w:rPr>
                <w:b w:val="false"/>
                <w:bCs w:val="false"/>
                <w:color w:val="5A6B7B"/>
                <w:sz w:val="18"/>
                <w:szCs w:val="18"/>
                <w:rtl/>
              </w:rPr>
              <w:t xml:space="preserve"> · </w:t>
            </w:r>
            <w:r>
              <w:rPr>
                <w:b w:val="false"/>
                <w:bCs w:val="false"/>
                <w:color w:val="5A6B7B"/>
                <w:sz w:val="18"/>
                <w:szCs w:val="18"/>
                <w:rtl w:val="false"/>
              </w:rPr>
              <w:t xml:space="preserve">SCR-0460</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الحصص والحاويات التعاقدية</w:t>
            </w:r>
          </w:p>
          <w:p>
            <w:pPr>
              <w:bidi/>
              <w:spacing w:after="20" w:line="280"/>
              <w:jc w:val="right"/>
            </w:pPr>
            <w:r>
              <w:rPr>
                <w:b w:val="false"/>
                <w:bCs w:val="false"/>
                <w:color w:val="5A6B7B"/>
                <w:sz w:val="19"/>
                <w:szCs w:val="19"/>
                <w:rtl/>
              </w:rPr>
              <w:t xml:space="preserve">م10 · الحصص والتغطية</w:t>
            </w:r>
          </w:p>
        </w:tc>
        <w:tc>
          <w:tcPr>
            <w:tcW w:type="dxa" w:w="2100"/>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حصص الموردين قائمة — ولا يظهر اسم الخانة الفني في التنقّل</w:t>
            </w:r>
          </w:p>
          <w:p>
            <w:pPr>
              <w:bidi w:val="false"/>
              <w:spacing w:after="20" w:line="280"/>
              <w:jc w:val="left"/>
            </w:pPr>
            <w:r>
              <w:rPr>
                <w:b w:val="false"/>
                <w:bCs w:val="false"/>
                <w:color w:val="5A6B7B"/>
                <w:sz w:val="18"/>
                <w:szCs w:val="18"/>
                <w:rtl w:val="false"/>
              </w:rPr>
              <w:t xml:space="preserve">shares_coverage.php</w:t>
            </w:r>
            <w:r>
              <w:rPr>
                <w:b w:val="false"/>
                <w:bCs w:val="false"/>
                <w:color w:val="5A6B7B"/>
                <w:sz w:val="18"/>
                <w:szCs w:val="18"/>
                <w:rtl/>
              </w:rPr>
              <w:t xml:space="preserve"> · </w:t>
            </w:r>
            <w:r>
              <w:rPr>
                <w:b w:val="false"/>
                <w:bCs w:val="false"/>
                <w:color w:val="5A6B7B"/>
                <w:sz w:val="18"/>
                <w:szCs w:val="18"/>
                <w:rtl w:val="false"/>
              </w:rPr>
              <w:t xml:space="preserve">SCR-0444</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توزيع الخانات على المعدات</w:t>
            </w:r>
          </w:p>
          <w:p>
            <w:pPr>
              <w:bidi/>
              <w:spacing w:after="20" w:line="280"/>
              <w:jc w:val="right"/>
            </w:pPr>
            <w:r>
              <w:rPr>
                <w:b w:val="false"/>
                <w:bCs w:val="false"/>
                <w:color w:val="5A6B7B"/>
                <w:sz w:val="19"/>
                <w:szCs w:val="19"/>
                <w:rtl/>
              </w:rPr>
              <w:t xml:space="preserve">م11 · الحصص والتغطية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إسقاط قراءة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الإسناد واقعة تشغيلية بيتها التشغيل — وتُقرأ هنا للتحقق من التغطية</w:t>
            </w:r>
          </w:p>
          <w:p>
            <w:pPr>
              <w:bidi w:val="false"/>
              <w:spacing w:after="20" w:line="280"/>
              <w:jc w:val="left"/>
            </w:pPr>
            <w:r>
              <w:rPr>
                <w:b w:val="false"/>
                <w:bCs w:val="false"/>
                <w:color w:val="5A6B7B"/>
                <w:sz w:val="18"/>
                <w:szCs w:val="18"/>
                <w:rtl w:val="false"/>
              </w:rPr>
              <w:t xml:space="preserve">equipment_quota.php</w:t>
            </w:r>
            <w:r>
              <w:rPr>
                <w:b w:val="false"/>
                <w:bCs w:val="false"/>
                <w:color w:val="5A6B7B"/>
                <w:sz w:val="18"/>
                <w:szCs w:val="18"/>
                <w:rtl/>
              </w:rPr>
              <w:t xml:space="preserve"> · </w:t>
            </w:r>
            <w:r>
              <w:rPr>
                <w:b w:val="false"/>
                <w:bCs w:val="false"/>
                <w:color w:val="5A6B7B"/>
                <w:sz w:val="18"/>
                <w:szCs w:val="18"/>
                <w:rtl w:val="false"/>
              </w:rPr>
              <w:t xml:space="preserve">SCR-0294</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الجاهزية والإحلال والاحتياط</w:t>
            </w:r>
          </w:p>
          <w:p>
            <w:pPr>
              <w:bidi/>
              <w:spacing w:after="20" w:line="280"/>
              <w:jc w:val="right"/>
            </w:pPr>
            <w:r>
              <w:rPr>
                <w:b w:val="false"/>
                <w:bCs w:val="false"/>
                <w:color w:val="5A6B7B"/>
                <w:sz w:val="19"/>
                <w:szCs w:val="19"/>
                <w:rtl/>
              </w:rPr>
              <w:t xml:space="preserve">م12 · الحصص والتغطية</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دمج في 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طاقة المورد وتسليم الحصص سطحان لوقائع واحدة</w:t>
            </w:r>
          </w:p>
          <w:p>
            <w:pPr>
              <w:bidi w:val="false"/>
              <w:spacing w:after="20" w:line="280"/>
              <w:jc w:val="left"/>
            </w:pPr>
            <w:r>
              <w:rPr>
                <w:b w:val="false"/>
                <w:bCs w:val="false"/>
                <w:color w:val="5A6B7B"/>
                <w:sz w:val="18"/>
                <w:szCs w:val="18"/>
                <w:rtl w:val="false"/>
              </w:rPr>
              <w:t xml:space="preserve">supplier_capacity</w:t>
            </w:r>
            <w:r>
              <w:rPr>
                <w:b w:val="false"/>
                <w:bCs w:val="false"/>
                <w:color w:val="5A6B7B"/>
                <w:sz w:val="18"/>
                <w:szCs w:val="18"/>
                <w:rtl/>
              </w:rPr>
              <w:t xml:space="preserve"> + </w:t>
            </w:r>
            <w:r>
              <w:rPr>
                <w:b w:val="false"/>
                <w:bCs w:val="false"/>
                <w:color w:val="5A6B7B"/>
                <w:sz w:val="18"/>
                <w:szCs w:val="18"/>
                <w:rtl w:val="false"/>
              </w:rPr>
              <w:t xml:space="preserve">sup_handover</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مستهدفات الموردين</w:t>
            </w:r>
          </w:p>
          <w:p>
            <w:pPr>
              <w:bidi/>
              <w:spacing w:after="20" w:line="280"/>
              <w:jc w:val="right"/>
            </w:pPr>
            <w:r>
              <w:rPr>
                <w:b w:val="false"/>
                <w:bCs w:val="false"/>
                <w:color w:val="5A6B7B"/>
                <w:sz w:val="19"/>
                <w:szCs w:val="19"/>
                <w:rtl/>
              </w:rPr>
              <w:t xml:space="preserve">م13 · الحصص والتغطية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منظور محفوظ</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مشتق كليًّا من الحصص — منظر لا شاشة ولا إدخال</w:t>
            </w:r>
          </w:p>
          <w:p>
            <w:pPr>
              <w:bidi w:val="false"/>
              <w:spacing w:after="20" w:line="280"/>
              <w:jc w:val="left"/>
            </w:pPr>
            <w:r>
              <w:rPr>
                <w:b w:val="false"/>
                <w:bCs w:val="false"/>
                <w:color w:val="5A6B7B"/>
                <w:sz w:val="18"/>
                <w:szCs w:val="18"/>
                <w:rtl w:val="false"/>
              </w:rPr>
              <w:t xml:space="preserve">derived</w:t>
            </w:r>
            <w:r>
              <w:rPr>
                <w:b w:val="false"/>
                <w:bCs w:val="false"/>
                <w:color w:val="5A6B7B"/>
                <w:sz w:val="18"/>
                <w:szCs w:val="18"/>
                <w:rtl/>
              </w:rPr>
              <w:t xml:space="preserve"> </w:t>
            </w:r>
            <w:r>
              <w:rPr>
                <w:b w:val="false"/>
                <w:bCs w:val="false"/>
                <w:color w:val="5A6B7B"/>
                <w:sz w:val="18"/>
                <w:szCs w:val="18"/>
                <w:rtl w:val="false"/>
              </w:rPr>
              <w:t xml:space="preserve">from</w:t>
            </w:r>
            <w:r>
              <w:rPr>
                <w:b w:val="false"/>
                <w:bCs w:val="false"/>
                <w:color w:val="5A6B7B"/>
                <w:sz w:val="18"/>
                <w:szCs w:val="18"/>
                <w:rtl/>
              </w:rPr>
              <w:t xml:space="preserve"> م10</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الأداء والوحدات المعتمدة</w:t>
            </w:r>
          </w:p>
          <w:p>
            <w:pPr>
              <w:bidi/>
              <w:spacing w:after="20" w:line="280"/>
              <w:jc w:val="right"/>
            </w:pPr>
            <w:r>
              <w:rPr>
                <w:b w:val="false"/>
                <w:bCs w:val="false"/>
                <w:color w:val="5A6B7B"/>
                <w:sz w:val="19"/>
                <w:szCs w:val="19"/>
                <w:rtl/>
              </w:rPr>
              <w:t xml:space="preserve">م14 · الحصص والتغطية</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إسقاط قراءة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بوابة الاعتماد مسجَّلة في التشغيل وغير مبنية — اعتمادية خارجية لا بناء داخلي</w:t>
            </w:r>
          </w:p>
          <w:p>
            <w:pPr>
              <w:bidi w:val="false"/>
              <w:spacing w:after="20" w:line="280"/>
              <w:jc w:val="left"/>
            </w:pPr>
            <w:r>
              <w:rPr>
                <w:b w:val="false"/>
                <w:bCs w:val="false"/>
                <w:color w:val="5A6B7B"/>
                <w:sz w:val="18"/>
                <w:szCs w:val="18"/>
                <w:rtl w:val="false"/>
              </w:rPr>
              <w:t xml:space="preserve">unit_supplier_approve.php</w:t>
            </w:r>
            <w:r>
              <w:rPr>
                <w:b w:val="false"/>
                <w:bCs w:val="false"/>
                <w:color w:val="5A6B7B"/>
                <w:sz w:val="18"/>
                <w:szCs w:val="18"/>
                <w:rtl/>
              </w:rPr>
              <w:t xml:space="preserve"> · </w:t>
            </w:r>
            <w:r>
              <w:rPr>
                <w:b w:val="false"/>
                <w:bCs w:val="false"/>
                <w:color w:val="5A6B7B"/>
                <w:sz w:val="18"/>
                <w:szCs w:val="18"/>
                <w:rtl w:val="false"/>
              </w:rPr>
              <w:t xml:space="preserve">ops</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النيابية والسلف والخصومات</w:t>
            </w:r>
          </w:p>
          <w:p>
            <w:pPr>
              <w:bidi/>
              <w:spacing w:after="20" w:line="280"/>
              <w:jc w:val="right"/>
            </w:pPr>
            <w:r>
              <w:rPr>
                <w:b w:val="false"/>
                <w:bCs w:val="false"/>
                <w:color w:val="5A6B7B"/>
                <w:sz w:val="19"/>
                <w:szCs w:val="19"/>
                <w:rtl/>
              </w:rPr>
              <w:t xml:space="preserve">م15 · الاستحقاقات</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دمج في 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السلفيات قائمة — وتُضاف الواقعة النيابية سجلًّا تابعًا للتسوية</w:t>
            </w:r>
          </w:p>
          <w:p>
            <w:pPr>
              <w:bidi w:val="false"/>
              <w:spacing w:after="20" w:line="280"/>
              <w:jc w:val="left"/>
            </w:pPr>
            <w:r>
              <w:rPr>
                <w:b w:val="false"/>
                <w:bCs w:val="false"/>
                <w:color w:val="5A6B7B"/>
                <w:sz w:val="18"/>
                <w:szCs w:val="18"/>
                <w:rtl w:val="false"/>
              </w:rPr>
              <w:t xml:space="preserve">supplier_advances.php</w:t>
            </w:r>
            <w:r>
              <w:rPr>
                <w:b w:val="false"/>
                <w:bCs w:val="false"/>
                <w:color w:val="5A6B7B"/>
                <w:sz w:val="18"/>
                <w:szCs w:val="18"/>
                <w:rtl/>
              </w:rPr>
              <w:t xml:space="preserve"> · </w:t>
            </w:r>
            <w:r>
              <w:rPr>
                <w:b w:val="false"/>
                <w:bCs w:val="false"/>
                <w:color w:val="5A6B7B"/>
                <w:sz w:val="18"/>
                <w:szCs w:val="18"/>
                <w:rtl w:val="false"/>
              </w:rPr>
              <w:t xml:space="preserve">SCR-0448</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استحقاقات الموردين</w:t>
            </w:r>
          </w:p>
          <w:p>
            <w:pPr>
              <w:bidi/>
              <w:spacing w:after="20" w:line="280"/>
              <w:jc w:val="right"/>
            </w:pPr>
            <w:r>
              <w:rPr>
                <w:b w:val="false"/>
                <w:bCs w:val="false"/>
                <w:color w:val="5A6B7B"/>
                <w:sz w:val="19"/>
                <w:szCs w:val="19"/>
                <w:rtl/>
              </w:rPr>
              <w:t xml:space="preserve">م16 · الاستحقاقات</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تبويب في الملف الأم</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الاستحقاق مشتق من الأداء والبنود — تبويب داخل التسويات لا شاشة</w:t>
            </w:r>
          </w:p>
          <w:p>
            <w:pPr>
              <w:bidi w:val="false"/>
              <w:spacing w:after="20" w:line="280"/>
              <w:jc w:val="left"/>
            </w:pPr>
            <w:r>
              <w:rPr>
                <w:b w:val="false"/>
                <w:bCs w:val="false"/>
                <w:color w:val="5A6B7B"/>
                <w:sz w:val="18"/>
                <w:szCs w:val="18"/>
                <w:rtl w:val="false"/>
              </w:rPr>
              <w:t xml:space="preserve">settlements.php</w:t>
            </w:r>
            <w:r>
              <w:rPr>
                <w:b w:val="false"/>
                <w:bCs w:val="false"/>
                <w:color w:val="5A6B7B"/>
                <w:sz w:val="18"/>
                <w:szCs w:val="18"/>
                <w:rtl/>
              </w:rPr>
              <w:t xml:space="preserve"> · </w:t>
            </w:r>
            <w:r>
              <w:rPr>
                <w:b w:val="false"/>
                <w:bCs w:val="false"/>
                <w:color w:val="5A6B7B"/>
                <w:sz w:val="18"/>
                <w:szCs w:val="18"/>
                <w:rtl w:val="false"/>
              </w:rPr>
              <w:t xml:space="preserve">SCR-0443</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التسويات وكشف الحساب</w:t>
            </w:r>
          </w:p>
          <w:p>
            <w:pPr>
              <w:bidi/>
              <w:spacing w:after="20" w:line="280"/>
              <w:jc w:val="right"/>
            </w:pPr>
            <w:r>
              <w:rPr>
                <w:b w:val="false"/>
                <w:bCs w:val="false"/>
                <w:color w:val="5A6B7B"/>
                <w:sz w:val="19"/>
                <w:szCs w:val="19"/>
                <w:rtl/>
              </w:rPr>
              <w:t xml:space="preserve">م17 · الاستحقاقات</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التسويات قائمة — وكشف الحساب التجاري تبويب فيها لا شاشة مالية</w:t>
            </w:r>
          </w:p>
          <w:p>
            <w:pPr>
              <w:bidi w:val="false"/>
              <w:spacing w:after="20" w:line="280"/>
              <w:jc w:val="left"/>
            </w:pPr>
            <w:r>
              <w:rPr>
                <w:b w:val="false"/>
                <w:bCs w:val="false"/>
                <w:color w:val="5A6B7B"/>
                <w:sz w:val="18"/>
                <w:szCs w:val="18"/>
                <w:rtl w:val="false"/>
              </w:rPr>
              <w:t xml:space="preserve">settlements.php</w:t>
            </w:r>
            <w:r>
              <w:rPr>
                <w:b w:val="false"/>
                <w:bCs w:val="false"/>
                <w:color w:val="5A6B7B"/>
                <w:sz w:val="18"/>
                <w:szCs w:val="18"/>
                <w:rtl/>
              </w:rPr>
              <w:t xml:space="preserve"> · </w:t>
            </w:r>
            <w:r>
              <w:rPr>
                <w:b w:val="false"/>
                <w:bCs w:val="false"/>
                <w:color w:val="5A6B7B"/>
                <w:sz w:val="18"/>
                <w:szCs w:val="18"/>
                <w:rtl w:val="false"/>
              </w:rPr>
              <w:t xml:space="preserve">SCR-0443</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طلبات الدفع وحالة الصرف</w:t>
            </w:r>
          </w:p>
          <w:p>
            <w:pPr>
              <w:bidi/>
              <w:spacing w:after="20" w:line="280"/>
              <w:jc w:val="right"/>
            </w:pPr>
            <w:r>
              <w:rPr>
                <w:b w:val="false"/>
                <w:bCs w:val="false"/>
                <w:color w:val="5A6B7B"/>
                <w:sz w:val="19"/>
                <w:szCs w:val="19"/>
                <w:rtl/>
              </w:rPr>
              <w:t xml:space="preserve">م18 · الاستحقاقات</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بند عمل مشترك</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الطلب يُنشأ هنا ويُنفَّذ في المالية — وحالة الصرف تعود إسقاطًا</w:t>
            </w:r>
          </w:p>
          <w:p>
            <w:pPr>
              <w:bidi w:val="false"/>
              <w:spacing w:after="20" w:line="280"/>
              <w:jc w:val="left"/>
            </w:pPr>
            <w:r>
              <w:rPr>
                <w:b w:val="false"/>
                <w:bCs w:val="false"/>
                <w:color w:val="5A6B7B"/>
                <w:sz w:val="18"/>
                <w:szCs w:val="18"/>
                <w:rtl w:val="false"/>
              </w:rPr>
              <w:t xml:space="preserve">payments_fin.php</w:t>
            </w:r>
            <w:r>
              <w:rPr>
                <w:b w:val="false"/>
                <w:bCs w:val="false"/>
                <w:color w:val="5A6B7B"/>
                <w:sz w:val="18"/>
                <w:szCs w:val="18"/>
                <w:rtl/>
              </w:rPr>
              <w:t xml:space="preserve"> · </w:t>
            </w:r>
            <w:r>
              <w:rPr>
                <w:b w:val="false"/>
                <w:bCs w:val="false"/>
                <w:color w:val="5A6B7B"/>
                <w:sz w:val="18"/>
                <w:szCs w:val="18"/>
                <w:rtl w:val="false"/>
              </w:rPr>
              <w:t xml:space="preserve">finance-owned</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المخالفات والجزاءات</w:t>
            </w:r>
          </w:p>
          <w:p>
            <w:pPr>
              <w:bidi/>
              <w:spacing w:after="20" w:line="280"/>
              <w:jc w:val="right"/>
            </w:pPr>
            <w:r>
              <w:rPr>
                <w:b w:val="false"/>
                <w:bCs w:val="false"/>
                <w:color w:val="5A6B7B"/>
                <w:sz w:val="19"/>
                <w:szCs w:val="19"/>
                <w:rtl/>
              </w:rPr>
              <w:t xml:space="preserve">م19 · التقييم والتصفية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A3151F"/>
                <w:sz w:val="21"/>
                <w:szCs w:val="21"/>
                <w:rtl/>
              </w:rPr>
              <w:t xml:space="preserve">قدرة مفقودة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القواعد موجودة والوقائع لا — لا سطح لتسجيل مخالفة على مورد</w:t>
            </w:r>
          </w:p>
          <w:p>
            <w:pPr>
              <w:bidi w:val="false"/>
              <w:spacing w:after="20" w:line="280"/>
              <w:jc w:val="left"/>
            </w:pPr>
            <w:r>
              <w:rPr>
                <w:b w:val="false"/>
                <w:bCs w:val="false"/>
                <w:color w:val="5A6B7B"/>
                <w:sz w:val="18"/>
                <w:szCs w:val="18"/>
                <w:rtl w:val="false"/>
              </w:rPr>
              <w:t xml:space="preserve">child</w:t>
            </w:r>
            <w:r>
              <w:rPr>
                <w:b w:val="false"/>
                <w:bCs w:val="false"/>
                <w:color w:val="5A6B7B"/>
                <w:sz w:val="18"/>
                <w:szCs w:val="18"/>
                <w:rtl/>
              </w:rPr>
              <w:t xml:space="preserve"> </w:t>
            </w:r>
            <w:r>
              <w:rPr>
                <w:b w:val="false"/>
                <w:bCs w:val="false"/>
                <w:color w:val="5A6B7B"/>
                <w:sz w:val="18"/>
                <w:szCs w:val="18"/>
                <w:rtl w:val="false"/>
              </w:rPr>
              <w:t xml:space="preserve">of</w:t>
            </w:r>
            <w:r>
              <w:rPr>
                <w:b w:val="false"/>
                <w:bCs w:val="false"/>
                <w:color w:val="5A6B7B"/>
                <w:sz w:val="18"/>
                <w:szCs w:val="18"/>
                <w:rtl/>
              </w:rPr>
              <w:t xml:space="preserve"> </w:t>
            </w:r>
            <w:r>
              <w:rPr>
                <w:b w:val="false"/>
                <w:bCs w:val="false"/>
                <w:color w:val="5A6B7B"/>
                <w:sz w:val="18"/>
                <w:szCs w:val="18"/>
                <w:rtl w:val="false"/>
              </w:rPr>
              <w:t xml:space="preserve">settlements</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تقييم المورد والأداء</w:t>
            </w:r>
          </w:p>
          <w:p>
            <w:pPr>
              <w:bidi/>
              <w:spacing w:after="20" w:line="280"/>
              <w:jc w:val="right"/>
            </w:pPr>
            <w:r>
              <w:rPr>
                <w:b w:val="false"/>
                <w:bCs w:val="false"/>
                <w:color w:val="5A6B7B"/>
                <w:sz w:val="19"/>
                <w:szCs w:val="19"/>
                <w:rtl/>
              </w:rPr>
              <w:t xml:space="preserve">م20 · التقييم والتصفية</w:t>
            </w:r>
          </w:p>
        </w:tc>
        <w:tc>
          <w:tcPr>
            <w:tcW w:type="dxa" w:w="2100"/>
            <w:tcMar>
              <w:top w:type="dxa" w:w="70"/>
              <w:left w:type="dxa" w:w="95"/>
              <w:bottom w:type="dxa" w:w="70"/>
              <w:right w:type="dxa" w:w="95"/>
            </w:tcMar>
            <w:vAlign w:val="center"/>
          </w:tcPr>
          <w:p>
            <w:pPr>
              <w:bidi/>
              <w:spacing w:after="20" w:line="280"/>
              <w:jc w:val="center"/>
            </w:pPr>
            <w:r>
              <w:rPr>
                <w:b/>
                <w:bCs/>
                <w:color w:val="1F6B3A"/>
                <w:sz w:val="21"/>
                <w:szCs w:val="21"/>
                <w:rtl/>
              </w:rPr>
              <w:t xml:space="preserve">شاشة قائمة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التقييم الدوري قائم — ويستقبل مشتقات المخاطر الثمانية عشر</w:t>
            </w:r>
          </w:p>
          <w:p>
            <w:pPr>
              <w:bidi w:val="false"/>
              <w:spacing w:after="20" w:line="280"/>
              <w:jc w:val="left"/>
            </w:pPr>
            <w:r>
              <w:rPr>
                <w:b w:val="false"/>
                <w:bCs w:val="false"/>
                <w:color w:val="5A6B7B"/>
                <w:sz w:val="18"/>
                <w:szCs w:val="18"/>
                <w:rtl w:val="false"/>
              </w:rPr>
              <w:t xml:space="preserve">supplier_evaluation.php</w:t>
            </w:r>
            <w:r>
              <w:rPr>
                <w:b w:val="false"/>
                <w:bCs w:val="false"/>
                <w:color w:val="5A6B7B"/>
                <w:sz w:val="18"/>
                <w:szCs w:val="18"/>
                <w:rtl/>
              </w:rPr>
              <w:t xml:space="preserve"> · </w:t>
            </w:r>
            <w:r>
              <w:rPr>
                <w:b w:val="false"/>
                <w:bCs w:val="false"/>
                <w:color w:val="5A6B7B"/>
                <w:sz w:val="18"/>
                <w:szCs w:val="18"/>
                <w:rtl w:val="false"/>
              </w:rPr>
              <w:t xml:space="preserve">SCR-0458</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الملاحق والتصفية والإغلاق</w:t>
            </w:r>
          </w:p>
          <w:p>
            <w:pPr>
              <w:bidi/>
              <w:spacing w:after="20" w:line="280"/>
              <w:jc w:val="right"/>
            </w:pPr>
            <w:r>
              <w:rPr>
                <w:b w:val="false"/>
                <w:bCs w:val="false"/>
                <w:color w:val="5A6B7B"/>
                <w:sz w:val="19"/>
                <w:szCs w:val="19"/>
                <w:rtl/>
              </w:rPr>
              <w:t xml:space="preserve">م21 · التقييم والتصفية</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دمج في شاشة قائمة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التصفية قائمة — والملاحق تُضاف سجلًّا تابعًا لعقد المورد</w:t>
            </w:r>
          </w:p>
          <w:p>
            <w:pPr>
              <w:bidi w:val="false"/>
              <w:spacing w:after="20" w:line="280"/>
              <w:jc w:val="left"/>
            </w:pPr>
            <w:r>
              <w:rPr>
                <w:b w:val="false"/>
                <w:bCs w:val="false"/>
                <w:color w:val="5A6B7B"/>
                <w:sz w:val="18"/>
                <w:szCs w:val="18"/>
                <w:rtl w:val="false"/>
              </w:rPr>
              <w:t xml:space="preserve">supplier_closure.php</w:t>
            </w:r>
            <w:r>
              <w:rPr>
                <w:b w:val="false"/>
                <w:bCs w:val="false"/>
                <w:color w:val="5A6B7B"/>
                <w:sz w:val="18"/>
                <w:szCs w:val="18"/>
                <w:rtl/>
              </w:rPr>
              <w:t xml:space="preserve"> · </w:t>
            </w:r>
            <w:r>
              <w:rPr>
                <w:b w:val="false"/>
                <w:bCs w:val="false"/>
                <w:color w:val="5A6B7B"/>
                <w:sz w:val="18"/>
                <w:szCs w:val="18"/>
                <w:rtl w:val="false"/>
              </w:rPr>
              <w:t xml:space="preserve">SCR-0454</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مصادر القدرة والتكامل</w:t>
            </w:r>
          </w:p>
          <w:p>
            <w:pPr>
              <w:bidi/>
              <w:spacing w:after="20" w:line="280"/>
              <w:jc w:val="right"/>
            </w:pPr>
            <w:r>
              <w:rPr>
                <w:b w:val="false"/>
                <w:bCs w:val="false"/>
                <w:color w:val="5A6B7B"/>
                <w:sz w:val="19"/>
                <w:szCs w:val="19"/>
                <w:rtl/>
              </w:rPr>
              <w:t xml:space="preserve">م22 · المرجعيات</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تقرير أو لوحة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قراءة تجميعية بين قدرة الموردين والأعيان المموَّلة</w:t>
            </w:r>
          </w:p>
          <w:p>
            <w:pPr>
              <w:bidi w:val="false"/>
              <w:spacing w:after="20" w:line="280"/>
              <w:jc w:val="left"/>
            </w:pPr>
            <w:r>
              <w:rPr>
                <w:b w:val="false"/>
                <w:bCs w:val="false"/>
                <w:color w:val="5A6B7B"/>
                <w:sz w:val="18"/>
                <w:szCs w:val="18"/>
                <w:rtl w:val="false"/>
              </w:rPr>
              <w:t xml:space="preserve">fin_assets</w:t>
            </w:r>
            <w:r>
              <w:rPr>
                <w:b w:val="false"/>
                <w:bCs w:val="false"/>
                <w:color w:val="5A6B7B"/>
                <w:sz w:val="18"/>
                <w:szCs w:val="18"/>
                <w:rtl/>
              </w:rPr>
              <w:t xml:space="preserve"> + </w:t>
            </w:r>
            <w:r>
              <w:rPr>
                <w:b w:val="false"/>
                <w:bCs w:val="false"/>
                <w:color w:val="5A6B7B"/>
                <w:sz w:val="18"/>
                <w:szCs w:val="18"/>
                <w:rtl w:val="false"/>
              </w:rPr>
              <w:t xml:space="preserve">supplier_capacity</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لوحة إدارة الموردين</w:t>
            </w:r>
          </w:p>
          <w:p>
            <w:pPr>
              <w:bidi/>
              <w:spacing w:after="20" w:line="280"/>
              <w:jc w:val="right"/>
            </w:pPr>
            <w:r>
              <w:rPr>
                <w:b w:val="false"/>
                <w:bCs w:val="false"/>
                <w:color w:val="5A6B7B"/>
                <w:sz w:val="19"/>
                <w:szCs w:val="19"/>
                <w:rtl/>
              </w:rPr>
              <w:t xml:space="preserve">م23 · المرجعيات</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A3151F"/>
                <w:sz w:val="21"/>
                <w:szCs w:val="21"/>
                <w:rtl/>
              </w:rPr>
              <w:t xml:space="preserve">قدرة مفقودة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لا لوحة إدارة للموردين في النظام كله — والإدارة الوحيدة تقريبًا بلا لوحة</w:t>
            </w:r>
          </w:p>
          <w:p>
            <w:pPr>
              <w:bidi w:val="false"/>
              <w:spacing w:after="20" w:line="280"/>
              <w:jc w:val="left"/>
            </w:pPr>
            <w:r>
              <w:rPr>
                <w:b w:val="false"/>
                <w:bCs w:val="false"/>
                <w:color w:val="5A6B7B"/>
                <w:sz w:val="18"/>
                <w:szCs w:val="18"/>
                <w:rtl w:val="false"/>
              </w:rPr>
              <w:t xml:space="preserve">build</w:t>
            </w:r>
            <w:r>
              <w:rPr>
                <w:b w:val="false"/>
                <w:bCs w:val="false"/>
                <w:color w:val="5A6B7B"/>
                <w:sz w:val="18"/>
                <w:szCs w:val="18"/>
                <w:rtl/>
              </w:rPr>
              <w:t xml:space="preserve"> </w:t>
            </w:r>
            <w:r>
              <w:rPr>
                <w:b w:val="false"/>
                <w:bCs w:val="false"/>
                <w:color w:val="5A6B7B"/>
                <w:sz w:val="18"/>
                <w:szCs w:val="18"/>
                <w:rtl w:val="false"/>
              </w:rPr>
              <w:t xml:space="preserve">dashboard</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القوائم المرجعية</w:t>
            </w:r>
          </w:p>
          <w:p>
            <w:pPr>
              <w:bidi/>
              <w:spacing w:after="20" w:line="280"/>
              <w:jc w:val="right"/>
            </w:pPr>
            <w:r>
              <w:rPr>
                <w:b w:val="false"/>
                <w:bCs w:val="false"/>
                <w:color w:val="5A6B7B"/>
                <w:sz w:val="19"/>
                <w:szCs w:val="19"/>
                <w:rtl/>
              </w:rPr>
              <w:t xml:space="preserve">م24 · المرجعيات</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مرجع لا شاشة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سبع وأربعون قائمة تغذّي البيانات المرجعية</w:t>
            </w:r>
          </w:p>
          <w:p>
            <w:pPr>
              <w:bidi w:val="false"/>
              <w:spacing w:after="20" w:line="280"/>
              <w:jc w:val="left"/>
            </w:pPr>
            <w:r>
              <w:rPr>
                <w:b w:val="false"/>
                <w:bCs w:val="false"/>
                <w:color w:val="5A6B7B"/>
                <w:sz w:val="18"/>
                <w:szCs w:val="18"/>
                <w:rtl w:val="false"/>
              </w:rPr>
              <w:t xml:space="preserve">lookup</w:t>
            </w:r>
            <w:r>
              <w:rPr>
                <w:b w:val="false"/>
                <w:bCs w:val="false"/>
                <w:color w:val="5A6B7B"/>
                <w:sz w:val="18"/>
                <w:szCs w:val="18"/>
                <w:rtl/>
              </w:rPr>
              <w:t xml:space="preserve"> </w:t>
            </w:r>
            <w:r>
              <w:rPr>
                <w:b w:val="false"/>
                <w:bCs w:val="false"/>
                <w:color w:val="5A6B7B"/>
                <w:sz w:val="18"/>
                <w:szCs w:val="18"/>
                <w:rtl w:val="false"/>
              </w:rPr>
              <w:t xml:space="preserve">lists</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القاموس وخريطة الترحيل</w:t>
            </w:r>
          </w:p>
          <w:p>
            <w:pPr>
              <w:bidi/>
              <w:spacing w:after="20" w:line="280"/>
              <w:jc w:val="right"/>
            </w:pPr>
            <w:r>
              <w:rPr>
                <w:b w:val="false"/>
                <w:bCs w:val="false"/>
                <w:color w:val="5A6B7B"/>
                <w:sz w:val="19"/>
                <w:szCs w:val="19"/>
                <w:rtl/>
              </w:rPr>
              <w:t xml:space="preserve">م25 · المرجعيات</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مرجع لا شاشة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تغذّي سجل الحقول والأسماء التقنية</w:t>
            </w:r>
          </w:p>
          <w:p>
            <w:pPr>
              <w:bidi w:val="false"/>
              <w:spacing w:after="20" w:line="280"/>
              <w:jc w:val="left"/>
            </w:pPr>
            <w:r>
              <w:rPr>
                <w:b w:val="false"/>
                <w:bCs w:val="false"/>
                <w:color w:val="5A6B7B"/>
                <w:sz w:val="18"/>
                <w:szCs w:val="18"/>
                <w:rtl w:val="false"/>
              </w:rPr>
              <w:t xml:space="preserve">feeds</w:t>
            </w:r>
            <w:r>
              <w:rPr>
                <w:b w:val="false"/>
                <w:bCs w:val="false"/>
                <w:color w:val="5A6B7B"/>
                <w:sz w:val="18"/>
                <w:szCs w:val="18"/>
                <w:rtl/>
              </w:rPr>
              <w:t xml:space="preserve"> </w:t>
            </w:r>
            <w:r>
              <w:rPr>
                <w:b w:val="false"/>
                <w:bCs w:val="false"/>
                <w:color w:val="5A6B7B"/>
                <w:sz w:val="18"/>
                <w:szCs w:val="18"/>
                <w:rtl w:val="false"/>
              </w:rPr>
              <w:t xml:space="preserve">field</w:t>
            </w:r>
            <w:r>
              <w:rPr>
                <w:b w:val="false"/>
                <w:bCs w:val="false"/>
                <w:color w:val="5A6B7B"/>
                <w:sz w:val="18"/>
                <w:szCs w:val="18"/>
                <w:rtl/>
              </w:rPr>
              <w:t xml:space="preserve"> </w:t>
            </w:r>
            <w:r>
              <w:rPr>
                <w:b w:val="false"/>
                <w:bCs w:val="false"/>
                <w:color w:val="5A6B7B"/>
                <w:sz w:val="18"/>
                <w:szCs w:val="18"/>
                <w:rtl w:val="false"/>
              </w:rPr>
              <w:t xml:space="preserve">registry</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تتبع التعبئة والترحيل</w:t>
            </w:r>
          </w:p>
          <w:p>
            <w:pPr>
              <w:bidi/>
              <w:spacing w:after="20" w:line="280"/>
              <w:jc w:val="right"/>
            </w:pPr>
            <w:r>
              <w:rPr>
                <w:b w:val="false"/>
                <w:bCs w:val="false"/>
                <w:color w:val="5A6B7B"/>
                <w:sz w:val="19"/>
                <w:szCs w:val="19"/>
                <w:rtl/>
              </w:rPr>
              <w:t xml:space="preserve">م26 · المرجعيات</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أثر تدقيقي</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أثر ترحيل يُحفظ ولا يُعرض</w:t>
            </w:r>
          </w:p>
          <w:p>
            <w:pPr>
              <w:bidi w:val="false"/>
              <w:spacing w:after="20" w:line="280"/>
              <w:jc w:val="left"/>
            </w:pPr>
            <w:r>
              <w:rPr>
                <w:b w:val="false"/>
                <w:bCs w:val="false"/>
                <w:color w:val="5A6B7B"/>
                <w:sz w:val="18"/>
                <w:szCs w:val="18"/>
                <w:rtl w:val="false"/>
              </w:rPr>
              <w:t xml:space="preserve">migration</w:t>
            </w:r>
            <w:r>
              <w:rPr>
                <w:b w:val="false"/>
                <w:bCs w:val="false"/>
                <w:color w:val="5A6B7B"/>
                <w:sz w:val="18"/>
                <w:szCs w:val="18"/>
                <w:rtl/>
              </w:rPr>
              <w:t xml:space="preserve"> </w:t>
            </w:r>
            <w:r>
              <w:rPr>
                <w:b w:val="false"/>
                <w:bCs w:val="false"/>
                <w:color w:val="5A6B7B"/>
                <w:sz w:val="18"/>
                <w:szCs w:val="18"/>
                <w:rtl w:val="false"/>
              </w:rPr>
              <w:t xml:space="preserve">trace</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تخصيص الدفع على الإقفالات</w:t>
            </w:r>
          </w:p>
          <w:p>
            <w:pPr>
              <w:bidi/>
              <w:spacing w:after="20" w:line="280"/>
              <w:jc w:val="right"/>
            </w:pPr>
            <w:r>
              <w:rPr>
                <w:b w:val="false"/>
                <w:bCs w:val="false"/>
                <w:color w:val="5A6B7B"/>
                <w:sz w:val="19"/>
                <w:szCs w:val="19"/>
                <w:rtl/>
              </w:rPr>
              <w:t xml:space="preserve">م27 · الاستحقاقات</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إسقاط قراءة</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التخصيص قاعدة مالية — ويُقرأ أثره في كشف حساب المورد</w:t>
            </w:r>
          </w:p>
          <w:p>
            <w:pPr>
              <w:bidi w:val="false"/>
              <w:spacing w:after="20" w:line="280"/>
              <w:jc w:val="left"/>
            </w:pPr>
            <w:r>
              <w:rPr>
                <w:b w:val="false"/>
                <w:bCs w:val="false"/>
                <w:color w:val="5A6B7B"/>
                <w:sz w:val="18"/>
                <w:szCs w:val="18"/>
                <w:rtl w:val="false"/>
              </w:rPr>
              <w:t xml:space="preserve">finance</w:t>
            </w:r>
            <w:r>
              <w:rPr>
                <w:b w:val="false"/>
                <w:bCs w:val="false"/>
                <w:color w:val="5A6B7B"/>
                <w:sz w:val="18"/>
                <w:szCs w:val="18"/>
                <w:rtl/>
              </w:rPr>
              <w:t xml:space="preserve"> </w:t>
            </w:r>
            <w:r>
              <w:rPr>
                <w:b w:val="false"/>
                <w:bCs w:val="false"/>
                <w:color w:val="5A6B7B"/>
                <w:sz w:val="18"/>
                <w:szCs w:val="18"/>
                <w:rtl w:val="false"/>
              </w:rPr>
              <w:t xml:space="preserve">allocation</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خريطة الترحيل</w:t>
            </w:r>
          </w:p>
          <w:p>
            <w:pPr>
              <w:bidi/>
              <w:spacing w:after="20" w:line="280"/>
              <w:jc w:val="right"/>
            </w:pPr>
            <w:r>
              <w:rPr>
                <w:b w:val="false"/>
                <w:bCs w:val="false"/>
                <w:color w:val="5A6B7B"/>
                <w:sz w:val="19"/>
                <w:szCs w:val="19"/>
                <w:rtl/>
              </w:rPr>
              <w:t xml:space="preserve">م28 · المرجعيات</w:t>
            </w:r>
          </w:p>
        </w:tc>
        <w:tc>
          <w:tcPr>
            <w:tcW w:type="dxa" w:w="2100"/>
            <w:tcMar>
              <w:top w:type="dxa" w:w="70"/>
              <w:left w:type="dxa" w:w="95"/>
              <w:bottom w:type="dxa" w:w="70"/>
              <w:right w:type="dxa" w:w="95"/>
            </w:tcMar>
            <w:vAlign w:val="center"/>
          </w:tcPr>
          <w:p>
            <w:pPr>
              <w:bidi/>
              <w:spacing w:after="20" w:line="280"/>
              <w:jc w:val="center"/>
            </w:pPr>
            <w:r>
              <w:rPr>
                <w:b/>
                <w:bCs/>
                <w:color w:val="1F3B57"/>
                <w:sz w:val="21"/>
                <w:szCs w:val="21"/>
                <w:rtl/>
              </w:rPr>
              <w:t xml:space="preserve">مرجع لا شاشة</w:t>
            </w:r>
          </w:p>
        </w:tc>
        <w:tc>
          <w:tcPr>
            <w:tcW w:type="dxa" w:w="5200"/>
            <w:tcMar>
              <w:top w:type="dxa" w:w="70"/>
              <w:left w:type="dxa" w:w="95"/>
              <w:bottom w:type="dxa" w:w="70"/>
              <w:right w:type="dxa" w:w="95"/>
            </w:tcMar>
            <w:vAlign w:val="center"/>
          </w:tcPr>
          <w:p>
            <w:pPr>
              <w:bidi/>
              <w:spacing w:after="20" w:line="280"/>
              <w:jc w:val="right"/>
            </w:pPr>
            <w:r>
              <w:rPr>
                <w:b w:val="false"/>
                <w:bCs w:val="false"/>
                <w:sz w:val="21"/>
                <w:szCs w:val="21"/>
                <w:rtl/>
              </w:rPr>
              <w:t xml:space="preserve">تغذّي دفتر التصحيح</w:t>
            </w:r>
          </w:p>
          <w:p>
            <w:pPr>
              <w:bidi w:val="false"/>
              <w:spacing w:after="20" w:line="280"/>
              <w:jc w:val="left"/>
            </w:pPr>
            <w:r>
              <w:rPr>
                <w:b w:val="false"/>
                <w:bCs w:val="false"/>
                <w:color w:val="5A6B7B"/>
                <w:sz w:val="18"/>
                <w:szCs w:val="18"/>
                <w:rtl w:val="false"/>
              </w:rPr>
              <w:t xml:space="preserve">feeds</w:t>
            </w:r>
            <w:r>
              <w:rPr>
                <w:b w:val="false"/>
                <w:bCs w:val="false"/>
                <w:color w:val="5A6B7B"/>
                <w:sz w:val="18"/>
                <w:szCs w:val="18"/>
                <w:rtl/>
              </w:rPr>
              <w:t xml:space="preserve"> </w:t>
            </w:r>
            <w:r>
              <w:rPr>
                <w:b w:val="false"/>
                <w:bCs w:val="false"/>
                <w:color w:val="5A6B7B"/>
                <w:sz w:val="18"/>
                <w:szCs w:val="18"/>
                <w:rtl w:val="false"/>
              </w:rPr>
              <w:t xml:space="preserve">INJ-FIX-02</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تقرير المراجعة والقبول</w:t>
            </w:r>
          </w:p>
          <w:p>
            <w:pPr>
              <w:bidi/>
              <w:spacing w:after="20" w:line="280"/>
              <w:jc w:val="right"/>
            </w:pPr>
            <w:r>
              <w:rPr>
                <w:b w:val="false"/>
                <w:bCs w:val="false"/>
                <w:color w:val="5A6B7B"/>
                <w:sz w:val="19"/>
                <w:szCs w:val="19"/>
                <w:rtl/>
              </w:rPr>
              <w:t xml:space="preserve">م29 · المرجعيات</w:t>
            </w:r>
          </w:p>
        </w:tc>
        <w:tc>
          <w:tcPr>
            <w:tcW w:type="dxa" w:w="2100"/>
            <w:shd w:fill="F2F6FA" w:color="auto" w:val="clear"/>
            <w:tcMar>
              <w:top w:type="dxa" w:w="70"/>
              <w:left w:type="dxa" w:w="95"/>
              <w:bottom w:type="dxa" w:w="70"/>
              <w:right w:type="dxa" w:w="95"/>
            </w:tcMar>
            <w:vAlign w:val="center"/>
          </w:tcPr>
          <w:p>
            <w:pPr>
              <w:bidi/>
              <w:spacing w:after="20" w:line="280"/>
              <w:jc w:val="center"/>
            </w:pPr>
            <w:r>
              <w:rPr>
                <w:b/>
                <w:bCs/>
                <w:color w:val="1F3B57"/>
                <w:sz w:val="21"/>
                <w:szCs w:val="21"/>
                <w:rtl/>
              </w:rPr>
              <w:t xml:space="preserve">أثر تدقيقي</w:t>
            </w:r>
          </w:p>
        </w:tc>
        <w:tc>
          <w:tcPr>
            <w:tcW w:type="dxa" w:w="52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دليل قبول لا سطح</w:t>
            </w:r>
          </w:p>
          <w:p>
            <w:pPr>
              <w:bidi w:val="false"/>
              <w:spacing w:after="20" w:line="280"/>
              <w:jc w:val="left"/>
            </w:pPr>
            <w:r>
              <w:rPr>
                <w:b w:val="false"/>
                <w:bCs w:val="false"/>
                <w:color w:val="5A6B7B"/>
                <w:sz w:val="18"/>
                <w:szCs w:val="18"/>
                <w:rtl w:val="false"/>
              </w:rPr>
              <w:t xml:space="preserve">acceptance</w:t>
            </w:r>
            <w:r>
              <w:rPr>
                <w:b w:val="false"/>
                <w:bCs w:val="false"/>
                <w:color w:val="5A6B7B"/>
                <w:sz w:val="18"/>
                <w:szCs w:val="18"/>
                <w:rtl/>
              </w:rPr>
              <w:t xml:space="preserve"> </w:t>
            </w:r>
            <w:r>
              <w:rPr>
                <w:b w:val="false"/>
                <w:bCs w:val="false"/>
                <w:color w:val="5A6B7B"/>
                <w:sz w:val="18"/>
                <w:szCs w:val="18"/>
                <w:rtl w:val="false"/>
              </w:rPr>
              <w:t xml:space="preserve">evidence</w:t>
            </w:r>
          </w:p>
        </w:tc>
      </w:tr>
    </w:tbl>
    <w:p>
      <w:r>
        <w:br w:type="page"/>
      </w:r>
    </w:p>
    <w:p>
      <w:pPr>
        <w:pStyle w:val="Heading1"/>
        <w:keepNext/>
        <w:bidi/>
        <w:spacing w:after="180" w:before="360"/>
        <w:jc w:val="right"/>
      </w:pPr>
      <w:r>
        <w:rPr>
          <w:b/>
          <w:bCs/>
          <w:rtl/>
        </w:rPr>
        <w:t xml:space="preserve">البند الرابع والبند التاسع عشر — حكم الأعمدة ومصادرها</w:t>
      </w:r>
    </w:p>
    <w:p>
      <w:pPr>
        <w:bidi/>
        <w:spacing w:after="130" w:line="330"/>
        <w:jc w:val="right"/>
      </w:pPr>
      <w:r>
        <w:rPr>
          <w:b w:val="false"/>
          <w:bCs w:val="false"/>
          <w:i w:val="false"/>
          <w:iCs w:val="false"/>
          <w:sz w:val="24"/>
          <w:szCs w:val="24"/>
          <w:rtl/>
        </w:rPr>
        <w:t xml:space="preserve">العمود لا يعني خانة إدخال. ولكل عمود حكم مصدرٍ واحد، والبيان يُدخل مرة واحدة في بيته ويُقرأ في بقية الإدارات بالإشارة. والمرجع الحاكم نفسه يعلن هذا الفصل برموزه: العمود الموسوم بسهم قراءةٍ محسوبٌ أو مستورد، والعمود الموسوم بحثًا مرجعٌ من سجل أمّ.</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350"/>
        <w:gridCol w:w="4550"/>
        <w:gridCol w:w="2900"/>
      </w:tblGrid>
      <w:tr>
        <w:trPr>
          <w:cantSplit/>
          <w:tblHeader/>
        </w:trPr>
        <w:tc>
          <w:tcPr>
            <w:tcW w:type="dxa" w:w="23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حكم العمود</w:t>
            </w:r>
          </w:p>
        </w:tc>
        <w:tc>
          <w:tcPr>
            <w:tcW w:type="dxa" w:w="45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متى يُطبَّق</w:t>
            </w:r>
          </w:p>
        </w:tc>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أثره في الواجهة</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MANUAL_INPUT</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بيانٌ يُنشأ في هذه الإدارة أول مرة ولا مصدر له سواها.</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خانة إدخال مفتوحة.</w:t>
            </w:r>
          </w:p>
        </w:tc>
      </w:tr>
      <w:tr>
        <w:trPr>
          <w:cantSplit/>
        </w:trPr>
        <w:tc>
          <w:tcPr>
            <w:tcW w:type="dxa" w:w="2350"/>
            <w:shd w:fill="F2F6FA" w:color="auto" w:val="clear"/>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LOOKUP_FROM_MASTER</w:t>
            </w:r>
          </w:p>
        </w:tc>
        <w:tc>
          <w:tcPr>
            <w:tcW w:type="dxa" w:w="455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بيانٌ مصدره سجل أمٌّ داخل الإدارة أو خارجها.</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اختيار من السجل — لا كتابة حرة.</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DERIVED</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قيمة محسوبة من حقول أخرى أو من سجل تابع.</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تُعرض ولا تُدخل — والحساب في طبقة الخدمة.</w:t>
            </w:r>
          </w:p>
        </w:tc>
      </w:tr>
      <w:tr>
        <w:trPr>
          <w:cantSplit/>
        </w:trPr>
        <w:tc>
          <w:tcPr>
            <w:tcW w:type="dxa" w:w="2350"/>
            <w:shd w:fill="F2F6FA" w:color="auto" w:val="clear"/>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READ_ONLY_FROM_OTHER_DOMAIN</w:t>
            </w:r>
          </w:p>
        </w:tc>
        <w:tc>
          <w:tcPr>
            <w:tcW w:type="dxa" w:w="455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بيانٌ يملكه نطاق آخر ويحتاج هذا النطاق رؤيته.</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إسقاط قراءة موسوم بمالكه.</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SYSTEM_GENERATED</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معرّف أو ختم زمني أو رقم تسلسلي.</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يولّده النظام ولا يُعرض للتحرير.</w:t>
            </w:r>
          </w:p>
        </w:tc>
      </w:tr>
      <w:tr>
        <w:trPr>
          <w:cantSplit/>
        </w:trPr>
        <w:tc>
          <w:tcPr>
            <w:tcW w:type="dxa" w:w="2350"/>
            <w:shd w:fill="F2F6FA" w:color="auto" w:val="clear"/>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AUDIT_ONLY</w:t>
            </w:r>
          </w:p>
        </w:tc>
        <w:tc>
          <w:tcPr>
            <w:tcW w:type="dxa" w:w="455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أثر تدقيقي: المُنشئ والمراجع والمعتمِد وتواريخها.</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يُحفظ ويُعرض في سجل الأثر لا في النموذج.</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SENSITIVE</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حقلٌ يخضع لسياسة إظهار وحجب.</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يُوسم في سجل الحقول ويُنفَّذ حجبه في الشاشة والبحث والتصدير معًا.</w:t>
            </w:r>
          </w:p>
        </w:tc>
      </w:tr>
      <w:tr>
        <w:trPr>
          <w:cantSplit/>
        </w:trPr>
        <w:tc>
          <w:tcPr>
            <w:tcW w:type="dxa" w:w="2350"/>
            <w:shd w:fill="F2F6FA" w:color="auto" w:val="clear"/>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REFERENCE_ONLY</w:t>
            </w:r>
          </w:p>
        </w:tc>
        <w:tc>
          <w:tcPr>
            <w:tcW w:type="dxa" w:w="455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قائمة أو تصنيف مرجعي.</w:t>
            </w:r>
          </w:p>
        </w:tc>
        <w:tc>
          <w:tcPr>
            <w:tcW w:type="dxa" w:w="2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بيت البيانات المرجعية — لا يتكرر في الشاشات.</w:t>
            </w:r>
          </w:p>
        </w:tc>
      </w:tr>
      <w:tr>
        <w:trPr>
          <w:cantSplit/>
        </w:trPr>
        <w:tc>
          <w:tcPr>
            <w:tcW w:type="dxa" w:w="2350"/>
            <w:tcMar>
              <w:top w:type="dxa" w:w="70"/>
              <w:left w:type="dxa" w:w="95"/>
              <w:bottom w:type="dxa" w:w="70"/>
              <w:right w:type="dxa" w:w="95"/>
            </w:tcMar>
            <w:vAlign w:val="center"/>
          </w:tcPr>
          <w:p>
            <w:pPr>
              <w:bidi w:val="false"/>
              <w:spacing w:after="20" w:line="280"/>
              <w:jc w:val="left"/>
            </w:pPr>
            <w:r>
              <w:rPr>
                <w:b/>
                <w:bCs/>
                <w:color w:val="1F3B57"/>
                <w:sz w:val="18"/>
                <w:szCs w:val="18"/>
                <w:rtl w:val="false"/>
              </w:rPr>
              <w:t xml:space="preserve">DEPRECATED_DUPLICATE</w:t>
            </w:r>
          </w:p>
        </w:tc>
        <w:tc>
          <w:tcPr>
            <w:tcW w:type="dxa" w:w="4550"/>
            <w:tcMar>
              <w:top w:type="dxa" w:w="70"/>
              <w:left w:type="dxa" w:w="95"/>
              <w:bottom w:type="dxa" w:w="70"/>
              <w:right w:type="dxa" w:w="95"/>
            </w:tcMar>
            <w:vAlign w:val="center"/>
          </w:tcPr>
          <w:p>
            <w:pPr>
              <w:bidi/>
              <w:spacing w:after="20" w:line="280"/>
              <w:jc w:val="right"/>
            </w:pPr>
            <w:r>
              <w:rPr>
                <w:b w:val="false"/>
                <w:bCs w:val="false"/>
                <w:sz w:val="21"/>
                <w:szCs w:val="21"/>
                <w:rtl/>
              </w:rPr>
              <w:t xml:space="preserve">عمود يكرر بيانًا موجودًا باسم آخر.</w:t>
            </w:r>
          </w:p>
        </w:tc>
        <w:tc>
          <w:tcPr>
            <w:tcW w:type="dxa" w:w="2900"/>
            <w:tcMar>
              <w:top w:type="dxa" w:w="70"/>
              <w:left w:type="dxa" w:w="95"/>
              <w:bottom w:type="dxa" w:w="70"/>
              <w:right w:type="dxa" w:w="95"/>
            </w:tcMar>
            <w:vAlign w:val="center"/>
          </w:tcPr>
          <w:p>
            <w:pPr>
              <w:bidi/>
              <w:spacing w:after="20" w:line="280"/>
              <w:jc w:val="right"/>
            </w:pPr>
            <w:r>
              <w:rPr>
                <w:b w:val="false"/>
                <w:bCs w:val="false"/>
                <w:sz w:val="20"/>
                <w:szCs w:val="20"/>
                <w:rtl/>
              </w:rPr>
              <w:t xml:space="preserve">يُوسم متقاعدًا بعد إثبات التكافؤ.</w:t>
            </w:r>
          </w:p>
        </w:tc>
      </w:tr>
    </w:tbl>
    <w:p>
      <w:pPr>
        <w:bidi/>
        <w:spacing w:before="120"/>
        <w:jc w:val="right"/>
      </w:pPr>
      <w:r>
        <w:rPr>
          <w:b w:val="false"/>
          <w:bCs w:val="false"/>
          <w:i w:val="false"/>
          <w:iCs w:val="false"/>
          <w:sz w:val="24"/>
          <w:szCs w:val="24"/>
          <w:rtl/>
        </w:rPr>
        <w:t xml:space="preserve">وشرط القبول أن يصير لكل عمود في المرجع الحاكم هدفٌ في النظام أو سببٌ موثق لعدم ظهوره — بلا استثناء واحد.</w:t>
      </w:r>
    </w:p>
    <w:p>
      <w:r>
        <w:br w:type="page"/>
      </w:r>
    </w:p>
    <w:p>
      <w:pPr>
        <w:pStyle w:val="Heading1"/>
        <w:keepNext/>
        <w:bidi/>
        <w:spacing w:after="180" w:before="360"/>
        <w:jc w:val="right"/>
      </w:pPr>
      <w:r>
        <w:rPr>
          <w:b/>
          <w:bCs/>
          <w:rtl/>
        </w:rPr>
        <w:t xml:space="preserve">البند الخامس والسادس والسابع — دورة العمل الحاكمة والبنية المعلوماتية</w:t>
      </w:r>
    </w:p>
    <w:p>
      <w:pPr>
        <w:bidi/>
        <w:spacing w:after="130" w:line="330"/>
        <w:jc w:val="right"/>
      </w:pPr>
      <w:r>
        <w:rPr>
          <w:b w:val="false"/>
          <w:bCs w:val="false"/>
          <w:i w:val="false"/>
          <w:iCs w:val="false"/>
          <w:sz w:val="24"/>
          <w:szCs w:val="24"/>
          <w:rtl/>
        </w:rPr>
        <w:t xml:space="preserve">بنية المعلومات تُعاد من ترتيب المرجع الحاكم لا من ترتيب التنقّل القديم، وأسماء الأقسام تُنتج من عناوين الدورة نفسها: اسمٌ مؤسسيٌّ يصف السجل أو المرحلة، لا اسمٌ عامٌّ ولا محادثيّ.</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200"/>
        <w:gridCol w:w="5600"/>
        <w:gridCol w:w="2000"/>
      </w:tblGrid>
      <w:tr>
        <w:trPr>
          <w:cantSplit/>
          <w:tblHeader/>
        </w:trPr>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المرحلة في المرجع</w:t>
            </w:r>
          </w:p>
        </w:tc>
        <w:tc>
          <w:tcPr>
            <w:tcW w:type="dxa" w:w="5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سجلاتها</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مرجعها</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التأسيس</w:t>
            </w:r>
          </w:p>
        </w:tc>
        <w:tc>
          <w:tcPr>
            <w:tcW w:type="dxa" w:w="5600"/>
            <w:tcMar>
              <w:top w:type="dxa" w:w="70"/>
              <w:left w:type="dxa" w:w="95"/>
              <w:bottom w:type="dxa" w:w="70"/>
              <w:right w:type="dxa" w:w="95"/>
            </w:tcMar>
            <w:vAlign w:val="center"/>
          </w:tcPr>
          <w:p>
            <w:pPr>
              <w:bidi/>
              <w:spacing w:after="20" w:line="280"/>
              <w:jc w:val="right"/>
            </w:pPr>
            <w:r>
              <w:rPr>
                <w:b w:val="false"/>
                <w:bCs w:val="false"/>
                <w:sz w:val="20"/>
                <w:szCs w:val="20"/>
                <w:rtl/>
              </w:rPr>
              <w:t xml:space="preserve">سجل الموردين · جهات الاتصال والمفوضون · التأهيل القانوني والائتماني · المعدات المقدَّمة تحت العقد</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م01 … م04</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التعاقد</w:t>
            </w:r>
          </w:p>
        </w:tc>
        <w:tc>
          <w:tcPr>
            <w:tcW w:type="dxa" w:w="5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احتياجات التغطية · الترشيح ومراجعة التعاقد · سجل عقود الموردين · بنود العقود · مصفوفة المسؤوليات</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م05 … م09</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الحصص والتغطية</w:t>
            </w:r>
          </w:p>
        </w:tc>
        <w:tc>
          <w:tcPr>
            <w:tcW w:type="dxa" w:w="5600"/>
            <w:tcMar>
              <w:top w:type="dxa" w:w="70"/>
              <w:left w:type="dxa" w:w="95"/>
              <w:bottom w:type="dxa" w:w="70"/>
              <w:right w:type="dxa" w:w="95"/>
            </w:tcMar>
            <w:vAlign w:val="center"/>
          </w:tcPr>
          <w:p>
            <w:pPr>
              <w:bidi/>
              <w:spacing w:after="20" w:line="280"/>
              <w:jc w:val="right"/>
            </w:pPr>
            <w:r>
              <w:rPr>
                <w:b w:val="false"/>
                <w:bCs w:val="false"/>
                <w:sz w:val="20"/>
                <w:szCs w:val="20"/>
                <w:rtl/>
              </w:rPr>
              <w:t xml:space="preserve">الحصص والحاويات · توزيع الخانات على المعدات · الجاهزية والإحلال · المستهدفات · الأداء والوحدات المعتمدة</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م10 … م14</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الاستحقاقات والتسويات</w:t>
            </w:r>
          </w:p>
        </w:tc>
        <w:tc>
          <w:tcPr>
            <w:tcW w:type="dxa" w:w="5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السلف والمصروفات النيابية · الاستحقاقات · التسويات وكشف الحساب · طلبات الدفع وحالة الصرف · تخصيص الدفع</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م15 … م18 · م27</w:t>
            </w:r>
          </w:p>
        </w:tc>
      </w:tr>
      <w:tr>
        <w:trPr>
          <w:cantSplit/>
        </w:trPr>
        <w:tc>
          <w:tcPr>
            <w:tcW w:type="dxa" w:w="2200"/>
            <w:tcMar>
              <w:top w:type="dxa" w:w="70"/>
              <w:left w:type="dxa" w:w="95"/>
              <w:bottom w:type="dxa" w:w="70"/>
              <w:right w:type="dxa" w:w="95"/>
            </w:tcMar>
            <w:vAlign w:val="center"/>
          </w:tcPr>
          <w:p>
            <w:pPr>
              <w:bidi/>
              <w:spacing w:after="20" w:line="280"/>
              <w:jc w:val="right"/>
            </w:pPr>
            <w:r>
              <w:rPr>
                <w:b/>
                <w:bCs/>
                <w:sz w:val="21"/>
                <w:szCs w:val="21"/>
                <w:rtl/>
              </w:rPr>
              <w:t xml:space="preserve">التقييم والتصفية والإغلاق</w:t>
            </w:r>
          </w:p>
        </w:tc>
        <w:tc>
          <w:tcPr>
            <w:tcW w:type="dxa" w:w="5600"/>
            <w:tcMar>
              <w:top w:type="dxa" w:w="70"/>
              <w:left w:type="dxa" w:w="95"/>
              <w:bottom w:type="dxa" w:w="70"/>
              <w:right w:type="dxa" w:w="95"/>
            </w:tcMar>
            <w:vAlign w:val="center"/>
          </w:tcPr>
          <w:p>
            <w:pPr>
              <w:bidi/>
              <w:spacing w:after="20" w:line="280"/>
              <w:jc w:val="right"/>
            </w:pPr>
            <w:r>
              <w:rPr>
                <w:b w:val="false"/>
                <w:bCs w:val="false"/>
                <w:sz w:val="20"/>
                <w:szCs w:val="20"/>
                <w:rtl/>
              </w:rPr>
              <w:t xml:space="preserve">المخالفات والجزاءات · تقييم المورد · الملاحق والتصفية والإغلاق</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م19 … م21</w:t>
            </w:r>
          </w:p>
        </w:tc>
      </w:tr>
      <w:tr>
        <w:trPr>
          <w:cantSplit/>
        </w:trPr>
        <w:tc>
          <w:tcPr>
            <w:tcW w:type="dxa" w:w="2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المرجعيات والحوكمة</w:t>
            </w:r>
          </w:p>
        </w:tc>
        <w:tc>
          <w:tcPr>
            <w:tcW w:type="dxa" w:w="5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مصادر القدرة · لوحة الإدارة · القوائم · القاموس · خرائط الترحيل · تقارير المراجعة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9"/>
                <w:szCs w:val="19"/>
                <w:rtl/>
              </w:rPr>
              <w:t xml:space="preserve">م22 … م29</w:t>
            </w:r>
          </w:p>
        </w:tc>
      </w:tr>
    </w:tbl>
    <w:p>
      <w:pPr>
        <w:pStyle w:val="Heading2"/>
        <w:keepNext/>
        <w:bidi/>
        <w:spacing w:after="140" w:before="280"/>
        <w:jc w:val="right"/>
      </w:pPr>
      <w:r>
        <w:rPr>
          <w:b/>
          <w:bCs/>
          <w:rtl/>
        </w:rPr>
        <w:t xml:space="preserve">البند العشرون — التنقّل ناتجٌ من الدورة لا جدولٌ يدوي</w:t>
      </w:r>
    </w:p>
    <w:p>
      <w:pPr>
        <w:bidi/>
        <w:spacing w:after="130" w:line="330"/>
        <w:jc w:val="right"/>
      </w:pPr>
      <w:r>
        <w:rPr>
          <w:b w:val="false"/>
          <w:bCs w:val="false"/>
          <w:i w:val="false"/>
          <w:iCs w:val="false"/>
          <w:sz w:val="24"/>
          <w:szCs w:val="24"/>
          <w:rtl/>
        </w:rPr>
        <w:t xml:space="preserve">الترتيب لا يُكتب يدويًّا في ثلاثة مواضع. الأصل هو تسلسل الدورة، ويُشتق منه إسقاط التنقّل آليًّا: مرحلة الدورة تصير مجموعة، والكيان الرئيسي يصير شاشة، وترتيبه المستندي يصير رقم ترتيبه، وتوابعه تصير تبويبات داخله. والتنقّل المستهدف النهائي — بعد الدمج المعياري — مذكور كاملًا في باب تقليل الأقسام أدناه، وهو المعتمد لا غيره.</w:t>
      </w:r>
    </w:p>
    <w:p>
      <w:pPr>
        <w:pStyle w:val="Heading2"/>
        <w:keepNext/>
        <w:bidi/>
        <w:spacing w:after="140" w:before="280"/>
        <w:jc w:val="right"/>
      </w:pPr>
      <w:r>
        <w:rPr>
          <w:b/>
          <w:bCs/>
          <w:rtl/>
        </w:rPr>
        <w:t xml:space="preserve">الملفات الأمّ وتبويباتها</w:t>
      </w:r>
    </w:p>
    <w:p>
      <w:pPr>
        <w:bidi/>
        <w:spacing w:after="130" w:line="330"/>
        <w:jc w:val="right"/>
      </w:pPr>
      <w:r>
        <w:rPr>
          <w:b w:val="false"/>
          <w:bCs w:val="false"/>
          <w:i w:val="false"/>
          <w:iCs w:val="false"/>
          <w:sz w:val="24"/>
          <w:szCs w:val="24"/>
          <w:rtl/>
        </w:rPr>
        <w:t xml:space="preserve">السجل الرئيسي يصير ملفًّا أمًّا، وتوابعه تبويبات داخله بدل أن تكون شاشات متفرقة في التنقّل — بلا حذف مسار واحد، فكل مسارٍ قديم يُحوَّل إلى تبويبه.</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6300"/>
        <w:gridCol w:w="3500"/>
      </w:tblGrid>
      <w:tr>
        <w:trPr>
          <w:cantSplit/>
          <w:tblHeader/>
        </w:trPr>
        <w:tc>
          <w:tcPr>
            <w:tcW w:type="dxa" w:w="6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التبويب</w:t>
            </w:r>
          </w:p>
        </w:tc>
        <w:tc>
          <w:tcPr>
            <w:tcW w:type="dxa" w:w="3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مساره القائم</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ملف المورد — جهات الاتصال والمفوضون</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supplier_profile.php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ملف المورد — التأهيل والوثائق</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supplier_documents.php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ملف المورد — الحساب البنكي</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supplier_bank.php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ملف المورد — المعدات المقدَّمة</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equipment_plan.php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عقد المورد — البنود والأسعار</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supplier_contract_lines.php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عقد المورد — مصفوفة المسؤوليات</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supplier_rules.php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عقد المورد — الحصص المرتبطة</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shares_coverage.php</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عقد المورد — الملاحق والإغلاق</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supplier_closure.php</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التسويات — الاستحقاقات</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entitlements</w:t>
            </w:r>
            <w:r>
              <w:rPr>
                <w:b w:val="false"/>
                <w:bCs w:val="false"/>
                <w:color w:val="2E4A63"/>
                <w:sz w:val="18"/>
                <w:szCs w:val="18"/>
                <w:rtl/>
              </w:rPr>
              <w:t xml:space="preserve"> </w:t>
            </w:r>
            <w:r>
              <w:rPr>
                <w:b w:val="false"/>
                <w:bCs w:val="false"/>
                <w:color w:val="2E4A63"/>
                <w:sz w:val="18"/>
                <w:szCs w:val="18"/>
                <w:rtl w:val="false"/>
              </w:rPr>
              <w:t xml:space="preserve">tab</w:t>
            </w:r>
          </w:p>
        </w:tc>
      </w:tr>
      <w:tr>
        <w:trPr>
          <w:cantSplit/>
        </w:trPr>
        <w:tc>
          <w:tcPr>
            <w:tcW w:type="dxa" w:w="63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التسويات — كشف الحساب التجاري</w:t>
            </w:r>
          </w:p>
        </w:tc>
        <w:tc>
          <w:tcPr>
            <w:tcW w:type="dxa" w:w="35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statement</w:t>
            </w:r>
            <w:r>
              <w:rPr>
                <w:b w:val="false"/>
                <w:bCs w:val="false"/>
                <w:color w:val="2E4A63"/>
                <w:sz w:val="18"/>
                <w:szCs w:val="18"/>
                <w:rtl/>
              </w:rPr>
              <w:t xml:space="preserve"> </w:t>
            </w:r>
            <w:r>
              <w:rPr>
                <w:b w:val="false"/>
                <w:bCs w:val="false"/>
                <w:color w:val="2E4A63"/>
                <w:sz w:val="18"/>
                <w:szCs w:val="18"/>
                <w:rtl w:val="false"/>
              </w:rPr>
              <w:t xml:space="preserve">tab</w:t>
            </w:r>
          </w:p>
        </w:tc>
      </w:tr>
      <w:tr>
        <w:trPr>
          <w:cantSplit/>
        </w:trPr>
        <w:tc>
          <w:tcPr>
            <w:tcW w:type="dxa" w:w="6300"/>
            <w:tcMar>
              <w:top w:type="dxa" w:w="70"/>
              <w:left w:type="dxa" w:w="95"/>
              <w:bottom w:type="dxa" w:w="70"/>
              <w:right w:type="dxa" w:w="95"/>
            </w:tcMar>
            <w:vAlign w:val="center"/>
          </w:tcPr>
          <w:p>
            <w:pPr>
              <w:bidi/>
              <w:spacing w:after="20" w:line="280"/>
              <w:jc w:val="right"/>
            </w:pPr>
            <w:r>
              <w:rPr>
                <w:b w:val="false"/>
                <w:bCs w:val="false"/>
                <w:sz w:val="21"/>
                <w:szCs w:val="21"/>
                <w:rtl/>
              </w:rPr>
              <w:t xml:space="preserve">التسويات — الواقعة النيابية والخصومات</w:t>
            </w:r>
          </w:p>
        </w:tc>
        <w:tc>
          <w:tcPr>
            <w:tcW w:type="dxa" w:w="35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on-behalf</w:t>
            </w:r>
            <w:r>
              <w:rPr>
                <w:b w:val="false"/>
                <w:bCs w:val="false"/>
                <w:color w:val="2E4A63"/>
                <w:sz w:val="18"/>
                <w:szCs w:val="18"/>
                <w:rtl/>
              </w:rPr>
              <w:t xml:space="preserve"> </w:t>
            </w:r>
            <w:r>
              <w:rPr>
                <w:b w:val="false"/>
                <w:bCs w:val="false"/>
                <w:color w:val="2E4A63"/>
                <w:sz w:val="18"/>
                <w:szCs w:val="18"/>
                <w:rtl w:val="false"/>
              </w:rPr>
              <w:t xml:space="preserve">tab</w:t>
            </w:r>
          </w:p>
        </w:tc>
      </w:tr>
    </w:tbl>
    <w:p>
      <w:r>
        <w:br w:type="page"/>
      </w:r>
    </w:p>
    <w:p>
      <w:pPr>
        <w:pStyle w:val="Heading1"/>
        <w:keepNext/>
        <w:bidi/>
        <w:spacing w:after="180" w:before="360"/>
        <w:jc w:val="right"/>
      </w:pPr>
      <w:r>
        <w:rPr>
          <w:b/>
          <w:bCs/>
          <w:rtl/>
        </w:rPr>
        <w:t xml:space="preserve">البند الثامن والتاسع والعاشر — الهرم التعاقدي وقواعد التغطية</w:t>
      </w:r>
    </w:p>
    <w:p>
      <w:pPr>
        <w:bidi/>
        <w:spacing w:after="130" w:line="330"/>
        <w:jc w:val="right"/>
      </w:pPr>
      <w:r>
        <w:rPr>
          <w:b w:val="false"/>
          <w:bCs w:val="false"/>
          <w:i w:val="false"/>
          <w:iCs w:val="false"/>
          <w:sz w:val="24"/>
          <w:szCs w:val="24"/>
          <w:rtl/>
        </w:rPr>
        <w:t xml:space="preserve">الهرم الحاكم لا يُعكس بحال: عقد العميل ثم الالتزام التعاقدي ثم احتياج التغطية ثم عقد المورد ثم حصته ثم الوحدات التعاقدية ثم إسناد المعدات ثم التنفيذ ثم الاستحقاق والتسوية. ولا يجوز أن يصير المسار: مورد ثم معدة ثم عقد.</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100"/>
        <w:gridCol w:w="6700"/>
      </w:tblGrid>
      <w:tr>
        <w:trPr>
          <w:cantSplit/>
          <w:tblHeader/>
        </w:trPr>
        <w:tc>
          <w:tcPr>
            <w:tcW w:type="dxa" w:w="3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6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إنفاذها</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لا حصة مورد بلا التزام عقد عميل</w:t>
            </w:r>
          </w:p>
        </w:tc>
        <w:tc>
          <w:tcPr>
            <w:tcW w:type="dxa" w:w="6700"/>
            <w:tcMar>
              <w:top w:type="dxa" w:w="70"/>
              <w:left w:type="dxa" w:w="95"/>
              <w:bottom w:type="dxa" w:w="70"/>
              <w:right w:type="dxa" w:w="95"/>
            </w:tcMar>
            <w:vAlign w:val="center"/>
          </w:tcPr>
          <w:p>
            <w:pPr>
              <w:bidi/>
              <w:spacing w:after="20" w:line="280"/>
              <w:jc w:val="right"/>
            </w:pPr>
            <w:r>
              <w:rPr>
                <w:b w:val="false"/>
                <w:bCs w:val="false"/>
                <w:sz w:val="21"/>
                <w:szCs w:val="21"/>
                <w:rtl/>
              </w:rPr>
              <w:t xml:space="preserve">حارس يمنع إنشاء حصة بلا مرجع التزامٍ نافذ.</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الوحدة التعاقدية ثابتة والمعدة متغيرة</w:t>
            </w:r>
          </w:p>
        </w:tc>
        <w:tc>
          <w:tcPr>
            <w:tcW w:type="dxa" w:w="67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الاستبدال يسجَّل واقعة إحلال ولا ينشئ حصة جديدة.</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المعدة تنفّذ الحصة ولا تنشئها</w:t>
            </w:r>
          </w:p>
        </w:tc>
        <w:tc>
          <w:tcPr>
            <w:tcW w:type="dxa" w:w="6700"/>
            <w:tcMar>
              <w:top w:type="dxa" w:w="70"/>
              <w:left w:type="dxa" w:w="95"/>
              <w:bottom w:type="dxa" w:w="70"/>
              <w:right w:type="dxa" w:w="95"/>
            </w:tcMar>
            <w:vAlign w:val="center"/>
          </w:tcPr>
          <w:p>
            <w:pPr>
              <w:bidi/>
              <w:spacing w:after="20" w:line="280"/>
              <w:jc w:val="right"/>
            </w:pPr>
            <w:r>
              <w:rPr>
                <w:b w:val="false"/>
                <w:bCs w:val="false"/>
                <w:sz w:val="21"/>
                <w:szCs w:val="21"/>
                <w:rtl/>
              </w:rPr>
              <w:t xml:space="preserve">إسناد معدة إضافية لا يرفع حصة المورد ولا المستهدف.</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الاحتياطي لا يزيد المستهدف</w:t>
            </w:r>
          </w:p>
        </w:tc>
        <w:tc>
          <w:tcPr>
            <w:tcW w:type="dxa" w:w="67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المعدة الاحتياطية تُحسب تغطيةً لا طاقةً إضافية.</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لا اسم فني في التنقّل</w:t>
            </w:r>
          </w:p>
        </w:tc>
        <w:tc>
          <w:tcPr>
            <w:tcW w:type="dxa" w:w="6700"/>
            <w:tcMar>
              <w:top w:type="dxa" w:w="70"/>
              <w:left w:type="dxa" w:w="95"/>
              <w:bottom w:type="dxa" w:w="70"/>
              <w:right w:type="dxa" w:w="95"/>
            </w:tcMar>
            <w:vAlign w:val="center"/>
          </w:tcPr>
          <w:p>
            <w:pPr>
              <w:bidi/>
              <w:spacing w:after="20" w:line="280"/>
              <w:jc w:val="right"/>
            </w:pPr>
            <w:r>
              <w:rPr>
                <w:b w:val="false"/>
                <w:bCs w:val="false"/>
                <w:sz w:val="21"/>
                <w:szCs w:val="21"/>
                <w:rtl/>
              </w:rPr>
              <w:t xml:space="preserve">لا يظهر بندٌ باسم الحاوية أو الخانة — ومنافذ الدخول هي ملف عقد العميل وملف المورد وصندوق الاستثناءات.</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لغة الواجهة لغة عمل</w:t>
            </w:r>
          </w:p>
        </w:tc>
        <w:tc>
          <w:tcPr>
            <w:tcW w:type="dxa" w:w="67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التزام · حصة مورد · وحدة تعاقدية · معدات مخصَّصة · فجوة تغطية.</w:t>
            </w:r>
          </w:p>
        </w:tc>
      </w:tr>
    </w:tbl>
    <w:p>
      <w:r>
        <w:br w:type="page"/>
      </w:r>
    </w:p>
    <w:p>
      <w:pPr>
        <w:pStyle w:val="Heading1"/>
        <w:keepNext/>
        <w:bidi/>
        <w:spacing w:after="180" w:before="360"/>
        <w:jc w:val="right"/>
      </w:pPr>
      <w:r>
        <w:rPr>
          <w:b/>
          <w:bCs/>
          <w:rtl/>
        </w:rPr>
        <w:t xml:space="preserve">البند الحادي عشر إلى الرابع عشر والحادي والعشرون — الحدود والملكية</w:t>
      </w:r>
    </w:p>
    <w:p>
      <w:pPr>
        <w:bidi/>
        <w:spacing w:after="130" w:line="330"/>
        <w:jc w:val="right"/>
      </w:pPr>
      <w:r>
        <w:rPr>
          <w:b w:val="false"/>
          <w:bCs w:val="false"/>
          <w:i w:val="false"/>
          <w:iCs w:val="false"/>
          <w:sz w:val="24"/>
          <w:szCs w:val="24"/>
          <w:rtl/>
        </w:rPr>
        <w:t xml:space="preserve">لكل شاشة مالكٌ واحد، وحق القراءة لا ينقل الملكية. وما تحتاجه الإدارة من إدارة أخرى يأتي إسقاطَ قراءةٍ أو بندَ عملٍ مشتركًا أو إشرافًا رقابيًّا — لا بتسريب إدارة كاملة إلى إدارة أخرى.</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100"/>
        <w:gridCol w:w="2300"/>
        <w:gridCol w:w="4400"/>
      </w:tblGrid>
      <w:tr>
        <w:trPr>
          <w:cantSplit/>
          <w:tblHeader/>
        </w:trPr>
        <w:tc>
          <w:tcPr>
            <w:tcW w:type="dxa" w:w="3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المفهوم</w:t>
            </w:r>
          </w:p>
        </w:tc>
        <w:tc>
          <w:tcPr>
            <w:tcW w:type="dxa" w:w="2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بيته</w:t>
            </w:r>
          </w:p>
        </w:tc>
        <w:tc>
          <w:tcPr>
            <w:tcW w:type="dxa" w:w="4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كيف يظهر هنا</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تنفيذ الصرف ومرجع الحركة</w:t>
            </w:r>
          </w:p>
          <w:p>
            <w:pPr>
              <w:bidi w:val="false"/>
              <w:spacing w:after="20" w:line="280"/>
              <w:jc w:val="left"/>
            </w:pPr>
            <w:r>
              <w:rPr>
                <w:b w:val="false"/>
                <w:bCs w:val="false"/>
                <w:color w:val="5A6B7B"/>
                <w:sz w:val="17"/>
                <w:szCs w:val="17"/>
                <w:rtl w:val="false"/>
              </w:rPr>
              <w:t xml:space="preserve">tre_pay_batch</w:t>
            </w:r>
            <w:r>
              <w:rPr>
                <w:b w:val="false"/>
                <w:bCs w:val="false"/>
                <w:color w:val="5A6B7B"/>
                <w:sz w:val="17"/>
                <w:szCs w:val="17"/>
                <w:rtl/>
              </w:rPr>
              <w:t xml:space="preserve"> · </w:t>
            </w:r>
            <w:r>
              <w:rPr>
                <w:b w:val="false"/>
                <w:bCs w:val="false"/>
                <w:color w:val="5A6B7B"/>
                <w:sz w:val="17"/>
                <w:szCs w:val="17"/>
                <w:rtl w:val="false"/>
              </w:rPr>
              <w:t xml:space="preserve">tre_exec_log</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الخزينة والبنوك</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ممنوعة في مساحة الموردين — وتعود حالة الصرف ومرجعه إسقاطًا</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طلب الدفع والاعتماد المالي</w:t>
            </w:r>
          </w:p>
          <w:p>
            <w:pPr>
              <w:bidi w:val="false"/>
              <w:spacing w:after="20" w:line="280"/>
              <w:jc w:val="left"/>
            </w:pPr>
            <w:r>
              <w:rPr>
                <w:b w:val="false"/>
                <w:bCs w:val="false"/>
                <w:color w:val="5A6B7B"/>
                <w:sz w:val="17"/>
                <w:szCs w:val="17"/>
                <w:rtl w:val="false"/>
              </w:rPr>
              <w:t xml:space="preserve">payments_fin.php</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المالية والمحاسبة</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يُنشأ هنا ويُعتمد هناك — ولا يُنفَّذ نقدًا من الموردين</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الذمم المحاسبية</w:t>
            </w:r>
          </w:p>
          <w:p>
            <w:pPr>
              <w:bidi w:val="false"/>
              <w:spacing w:after="20" w:line="280"/>
              <w:jc w:val="left"/>
            </w:pPr>
            <w:r>
              <w:rPr>
                <w:b w:val="false"/>
                <w:bCs w:val="false"/>
                <w:color w:val="5A6B7B"/>
                <w:sz w:val="17"/>
                <w:szCs w:val="17"/>
                <w:rtl w:val="false"/>
              </w:rPr>
              <w:t xml:space="preserve">ap_aging</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المالية والمحاسبة</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ممنوعة — والرصيد التجاري يُقرأ من كشف حساب المورد</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القيد ودفتر الأستاذ</w:t>
            </w:r>
          </w:p>
          <w:p>
            <w:pPr>
              <w:bidi w:val="false"/>
              <w:spacing w:after="20" w:line="280"/>
              <w:jc w:val="left"/>
            </w:pPr>
            <w:r>
              <w:rPr>
                <w:b w:val="false"/>
                <w:bCs w:val="false"/>
                <w:color w:val="5A6B7B"/>
                <w:sz w:val="17"/>
                <w:szCs w:val="17"/>
                <w:rtl w:val="false"/>
              </w:rPr>
              <w:t xml:space="preserve">journal</w:t>
            </w:r>
            <w:r>
              <w:rPr>
                <w:b w:val="false"/>
                <w:bCs w:val="false"/>
                <w:color w:val="5A6B7B"/>
                <w:sz w:val="17"/>
                <w:szCs w:val="17"/>
                <w:rtl/>
              </w:rPr>
              <w:t xml:space="preserve"> · </w:t>
            </w:r>
            <w:r>
              <w:rPr>
                <w:b w:val="false"/>
                <w:bCs w:val="false"/>
                <w:color w:val="5A6B7B"/>
                <w:sz w:val="17"/>
                <w:szCs w:val="17"/>
                <w:rtl w:val="false"/>
              </w:rPr>
              <w:t xml:space="preserve">posting</w:t>
            </w:r>
            <w:r>
              <w:rPr>
                <w:b w:val="false"/>
                <w:bCs w:val="false"/>
                <w:color w:val="5A6B7B"/>
                <w:sz w:val="17"/>
                <w:szCs w:val="17"/>
                <w:rtl/>
              </w:rPr>
              <w:t xml:space="preserve"> </w:t>
            </w:r>
            <w:r>
              <w:rPr>
                <w:b w:val="false"/>
                <w:bCs w:val="false"/>
                <w:color w:val="5A6B7B"/>
                <w:sz w:val="17"/>
                <w:szCs w:val="17"/>
                <w:rtl w:val="false"/>
              </w:rPr>
              <w:t xml:space="preserve">engine</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المحاسبة العامة</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ممنوعة — ولا يُنشئ القيدَ إلا محرّك الترحيل بعد الإجازة</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سجل المعدات ووثائقها</w:t>
            </w:r>
          </w:p>
          <w:p>
            <w:pPr>
              <w:bidi w:val="false"/>
              <w:spacing w:after="20" w:line="280"/>
              <w:jc w:val="left"/>
            </w:pPr>
            <w:r>
              <w:rPr>
                <w:b w:val="false"/>
                <w:bCs w:val="false"/>
                <w:color w:val="5A6B7B"/>
                <w:sz w:val="17"/>
                <w:szCs w:val="17"/>
                <w:rtl w:val="false"/>
              </w:rPr>
              <w:t xml:space="preserve">equipments.php</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إدارة الأسطول</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قراءة سياقية — والمملوك هنا صفة المورد تجاه المعدة</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إسناد المعدات على الخانات</w:t>
            </w:r>
          </w:p>
          <w:p>
            <w:pPr>
              <w:bidi w:val="false"/>
              <w:spacing w:after="20" w:line="280"/>
              <w:jc w:val="left"/>
            </w:pPr>
            <w:r>
              <w:rPr>
                <w:b w:val="false"/>
                <w:bCs w:val="false"/>
                <w:color w:val="5A6B7B"/>
                <w:sz w:val="17"/>
                <w:szCs w:val="17"/>
                <w:rtl w:val="false"/>
              </w:rPr>
              <w:t xml:space="preserve">equipment_quota.php</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إدارة التشغيل</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قراءة سياقية للتحقق من التغطية — والإنشاء بيته التشغيل</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الوحدات المنفَّذة والساعات</w:t>
            </w:r>
          </w:p>
          <w:p>
            <w:pPr>
              <w:bidi w:val="false"/>
              <w:spacing w:after="20" w:line="280"/>
              <w:jc w:val="left"/>
            </w:pPr>
            <w:r>
              <w:rPr>
                <w:b w:val="false"/>
                <w:bCs w:val="false"/>
                <w:color w:val="5A6B7B"/>
                <w:sz w:val="17"/>
                <w:szCs w:val="17"/>
                <w:rtl w:val="false"/>
              </w:rPr>
              <w:t xml:space="preserve">timesheet.php</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إدارة الموقع</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قراءة الوحدات المعتمدة — ولا إدخال ساعة في الموردين</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عقد العميل والتزامه</w:t>
            </w:r>
          </w:p>
          <w:p>
            <w:pPr>
              <w:bidi w:val="false"/>
              <w:spacing w:after="20" w:line="280"/>
              <w:jc w:val="left"/>
            </w:pPr>
            <w:r>
              <w:rPr>
                <w:b w:val="false"/>
                <w:bCs w:val="false"/>
                <w:color w:val="5A6B7B"/>
                <w:sz w:val="17"/>
                <w:szCs w:val="17"/>
                <w:rtl w:val="false"/>
              </w:rPr>
              <w:t xml:space="preserve">contract_coverage.php</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المبيعات والعقود</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قراءة جانب الطلب فقط: الالتزام والحاوية والمستهدف — بلا تسعير بيع</w:t>
            </w:r>
          </w:p>
        </w:tc>
      </w:tr>
      <w:tr>
        <w:trPr>
          <w:cantSplit/>
        </w:trPr>
        <w:tc>
          <w:tcPr>
            <w:tcW w:type="dxa" w:w="3100"/>
            <w:tcMar>
              <w:top w:type="dxa" w:w="70"/>
              <w:left w:type="dxa" w:w="95"/>
              <w:bottom w:type="dxa" w:w="70"/>
              <w:right w:type="dxa" w:w="95"/>
            </w:tcMar>
            <w:vAlign w:val="center"/>
          </w:tcPr>
          <w:p>
            <w:pPr>
              <w:bidi/>
              <w:spacing w:after="20" w:line="280"/>
              <w:jc w:val="right"/>
            </w:pPr>
            <w:r>
              <w:rPr>
                <w:b/>
                <w:bCs/>
                <w:sz w:val="21"/>
                <w:szCs w:val="21"/>
                <w:rtl/>
              </w:rPr>
              <w:t xml:space="preserve">سجل المشغّلين</w:t>
            </w:r>
          </w:p>
          <w:p>
            <w:pPr>
              <w:bidi w:val="false"/>
              <w:spacing w:after="20" w:line="280"/>
              <w:jc w:val="left"/>
            </w:pPr>
            <w:r>
              <w:rPr>
                <w:b w:val="false"/>
                <w:bCs w:val="false"/>
                <w:color w:val="5A6B7B"/>
                <w:sz w:val="17"/>
                <w:szCs w:val="17"/>
                <w:rtl w:val="false"/>
              </w:rPr>
              <w:t xml:space="preserve">equipment_operators.php</w:t>
            </w:r>
          </w:p>
        </w:tc>
        <w:tc>
          <w:tcPr>
            <w:tcW w:type="dxa" w:w="2300"/>
            <w:tcMar>
              <w:top w:type="dxa" w:w="70"/>
              <w:left w:type="dxa" w:w="95"/>
              <w:bottom w:type="dxa" w:w="70"/>
              <w:right w:type="dxa" w:w="95"/>
            </w:tcMar>
            <w:vAlign w:val="center"/>
          </w:tcPr>
          <w:p>
            <w:pPr>
              <w:bidi/>
              <w:spacing w:after="20" w:line="280"/>
              <w:jc w:val="center"/>
            </w:pPr>
            <w:r>
              <w:rPr>
                <w:b w:val="false"/>
                <w:bCs w:val="false"/>
                <w:sz w:val="20"/>
                <w:szCs w:val="20"/>
                <w:rtl/>
              </w:rPr>
              <w:t xml:space="preserve">الموارد البشرية</w:t>
            </w:r>
          </w:p>
        </w:tc>
        <w:tc>
          <w:tcPr>
            <w:tcW w:type="dxa" w:w="4400"/>
            <w:tcMar>
              <w:top w:type="dxa" w:w="70"/>
              <w:left w:type="dxa" w:w="95"/>
              <w:bottom w:type="dxa" w:w="70"/>
              <w:right w:type="dxa" w:w="95"/>
            </w:tcMar>
            <w:vAlign w:val="center"/>
          </w:tcPr>
          <w:p>
            <w:pPr>
              <w:bidi/>
              <w:spacing w:after="20" w:line="280"/>
              <w:jc w:val="right"/>
            </w:pPr>
            <w:r>
              <w:rPr>
                <w:b w:val="false"/>
                <w:bCs w:val="false"/>
                <w:sz w:val="20"/>
                <w:szCs w:val="20"/>
                <w:rtl/>
              </w:rPr>
              <w:t xml:space="preserve">ممنوعة — ومورد المشغّلين يُقاس بحصته لا بسجل الأفراد</w:t>
            </w:r>
          </w:p>
        </w:tc>
      </w:tr>
      <w:tr>
        <w:trPr>
          <w:cantSplit/>
        </w:trPr>
        <w:tc>
          <w:tcPr>
            <w:tcW w:type="dxa" w:w="31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سعر المورد التعاقدي وشروطه</w:t>
            </w:r>
          </w:p>
          <w:p>
            <w:pPr>
              <w:bidi w:val="false"/>
              <w:spacing w:after="20" w:line="280"/>
              <w:jc w:val="left"/>
            </w:pPr>
            <w:r>
              <w:rPr>
                <w:b w:val="false"/>
                <w:bCs w:val="false"/>
                <w:color w:val="5A6B7B"/>
                <w:sz w:val="17"/>
                <w:szCs w:val="17"/>
                <w:rtl w:val="false"/>
              </w:rPr>
              <w:t xml:space="preserve">supplier_contract_lines.php</w:t>
            </w:r>
          </w:p>
        </w:tc>
        <w:tc>
          <w:tcPr>
            <w:tcW w:type="dxa" w:w="2300"/>
            <w:shd w:fill="F2F6FA" w:color="auto" w:val="clear"/>
            <w:tcMar>
              <w:top w:type="dxa" w:w="70"/>
              <w:left w:type="dxa" w:w="95"/>
              <w:bottom w:type="dxa" w:w="70"/>
              <w:right w:type="dxa" w:w="95"/>
            </w:tcMar>
            <w:vAlign w:val="center"/>
          </w:tcPr>
          <w:p>
            <w:pPr>
              <w:bidi/>
              <w:spacing w:after="20" w:line="280"/>
              <w:jc w:val="center"/>
            </w:pPr>
            <w:r>
              <w:rPr>
                <w:b w:val="false"/>
                <w:bCs w:val="false"/>
                <w:sz w:val="20"/>
                <w:szCs w:val="20"/>
                <w:rtl/>
              </w:rPr>
              <w:t xml:space="preserve">إدارة الموردين</w:t>
            </w:r>
          </w:p>
        </w:tc>
        <w:tc>
          <w:tcPr>
            <w:tcW w:type="dxa" w:w="4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مملوكٌ هنا لا في المالية — والمالية تحوّله إلى استحقاق وقيد ولا تملكه</w:t>
            </w:r>
          </w:p>
        </w:tc>
      </w:tr>
    </w:tbl>
    <w:p>
      <w:pPr>
        <w:bidi/>
        <w:spacing w:before="130"/>
        <w:jc w:val="right"/>
      </w:pPr>
      <w:r>
        <w:rPr>
          <w:b w:val="false"/>
          <w:bCs w:val="false"/>
          <w:i w:val="false"/>
          <w:iCs w:val="false"/>
          <w:sz w:val="24"/>
          <w:szCs w:val="24"/>
          <w:rtl/>
        </w:rPr>
        <w:t xml:space="preserve">والبوابة المستقلة: صفر شاشة مالية أصلية داخل هذه الإدارة، وصفر شاشة لهذه الإدارة أصلية داخل المالية. والأداء التشغيلي لا يُعاد تخزينه ولا إدخاله هنا — فالواقعة بيتها التايم شيت، والقيدُ والذمةُ بيتهما المالية، والمعدة بيتها الأسطول. أما السعر فتمييزٌ لا بد منه: سعرُ البيع التعاقدي وشروطه ونسخُه وآلياتُ تعديله بيتها المبيعات، وسعرُ المورد التعاقدي وشروطه بيتها إدارة الموردين — والمالية تُحوِّلهما إلى أثرٍ محاسبيٍّ وقيدٍ وذمة، ولا تملكهما. فاستعمالُ الرقم في الحساب لا يُنشئ ملكيةً له.</w:t>
      </w:r>
    </w:p>
    <w:p>
      <w:r>
        <w:br w:type="page"/>
      </w:r>
    </w:p>
    <w:p>
      <w:pPr>
        <w:pStyle w:val="Heading1"/>
        <w:keepNext/>
        <w:bidi/>
        <w:spacing w:after="180" w:before="360"/>
        <w:jc w:val="right"/>
      </w:pPr>
      <w:r>
        <w:rPr>
          <w:b/>
          <w:bCs/>
          <w:rtl/>
        </w:rPr>
        <w:t xml:space="preserve">البند الخامس عشر والسادس عشر — الدمج والتقاعد بلا كسر</w:t>
      </w:r>
    </w:p>
    <w:p>
      <w:pPr>
        <w:bidi/>
        <w:spacing w:after="130" w:line="330"/>
        <w:jc w:val="right"/>
      </w:pPr>
      <w:r>
        <w:rPr>
          <w:b w:val="false"/>
          <w:bCs w:val="false"/>
          <w:i w:val="false"/>
          <w:iCs w:val="false"/>
          <w:sz w:val="24"/>
          <w:szCs w:val="24"/>
          <w:rtl/>
        </w:rPr>
        <w:t xml:space="preserve">إذا قابلت الورقةُ شاشةً قائمة سيئة الاسم أو الموضع فالحكم تغيير الاسم والموضع لا إنشاء نسخة. وإذا تكافأت شاشتان فالمسار ثمانِ خطوات لا تُختصر: تحديد الكنسية، ثم إثبات تكافؤ البيانات والأفعال، ثم ترحيل الروابط، ثم المنظورات المحفوظة، ثم الصلاحيات، ثم تحويل القديم، ثم جعله قراءةً فقط، ثم تقاعده بعد فترة إثبات. ولا حذف مباشر.</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000"/>
        <w:gridCol w:w="3300"/>
        <w:gridCol w:w="3500"/>
      </w:tblGrid>
      <w:tr>
        <w:trPr>
          <w:cantSplit/>
          <w:tblHeader/>
        </w:trPr>
        <w:tc>
          <w:tcPr>
            <w:tcW w:type="dxa" w:w="3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الازدواج</w:t>
            </w:r>
          </w:p>
        </w:tc>
        <w:tc>
          <w:tcPr>
            <w:tcW w:type="dxa" w:w="3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وصفه</w:t>
            </w:r>
          </w:p>
        </w:tc>
        <w:tc>
          <w:tcPr>
            <w:tcW w:type="dxa" w:w="3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أداء الموردين وجاهزيتهم</w:t>
            </w:r>
          </w:p>
          <w:p>
            <w:pPr>
              <w:bidi w:val="false"/>
              <w:spacing w:after="20" w:line="280"/>
              <w:jc w:val="left"/>
            </w:pPr>
            <w:r>
              <w:rPr>
                <w:b w:val="false"/>
                <w:bCs w:val="false"/>
                <w:color w:val="5A6B7B"/>
                <w:sz w:val="17"/>
                <w:szCs w:val="17"/>
                <w:rtl w:val="false"/>
              </w:rPr>
              <w:t xml:space="preserve">supplier_capacity.php</w:t>
            </w:r>
            <w:r>
              <w:rPr>
                <w:b w:val="false"/>
                <w:bCs w:val="false"/>
                <w:color w:val="5A6B7B"/>
                <w:sz w:val="17"/>
                <w:szCs w:val="17"/>
                <w:rtl/>
              </w:rPr>
              <w:t xml:space="preserve"> · 3 </w:t>
            </w:r>
            <w:r>
              <w:rPr>
                <w:b w:val="false"/>
                <w:bCs w:val="false"/>
                <w:color w:val="5A6B7B"/>
                <w:sz w:val="17"/>
                <w:szCs w:val="17"/>
                <w:rtl w:val="false"/>
              </w:rPr>
              <w:t xml:space="preserve">views</w:t>
            </w:r>
          </w:p>
        </w:tc>
        <w:tc>
          <w:tcPr>
            <w:tcW w:type="dxa" w:w="3300"/>
            <w:tcMar>
              <w:top w:type="dxa" w:w="70"/>
              <w:left w:type="dxa" w:w="95"/>
              <w:bottom w:type="dxa" w:w="70"/>
              <w:right w:type="dxa" w:w="95"/>
            </w:tcMar>
            <w:vAlign w:val="center"/>
          </w:tcPr>
          <w:p>
            <w:pPr>
              <w:bidi/>
              <w:spacing w:after="20" w:line="280"/>
              <w:jc w:val="right"/>
            </w:pPr>
            <w:r>
              <w:rPr>
                <w:b w:val="false"/>
                <w:bCs w:val="false"/>
                <w:sz w:val="20"/>
                <w:szCs w:val="20"/>
                <w:rtl/>
              </w:rPr>
              <w:t xml:space="preserve">ثلاثة منظورات فرعية على مسار طاقة المورد تحمل اسمًا مختلفًا عن أصلها</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المسار الأصل هو الكنسي والمنظورات تُسمّى بأسمائها</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دفتر استهلاك حصص الموردين</w:t>
            </w:r>
          </w:p>
          <w:p>
            <w:pPr>
              <w:bidi w:val="false"/>
              <w:spacing w:after="20" w:line="280"/>
              <w:jc w:val="left"/>
            </w:pPr>
            <w:r>
              <w:rPr>
                <w:b w:val="false"/>
                <w:bCs w:val="false"/>
                <w:color w:val="5A6B7B"/>
                <w:sz w:val="17"/>
                <w:szCs w:val="17"/>
                <w:rtl w:val="false"/>
              </w:rPr>
              <w:t xml:space="preserve">quota_ledger</w:t>
            </w:r>
            <w:r>
              <w:rPr>
                <w:b w:val="false"/>
                <w:bCs w:val="false"/>
                <w:color w:val="5A6B7B"/>
                <w:sz w:val="17"/>
                <w:szCs w:val="17"/>
                <w:rtl/>
              </w:rPr>
              <w:t xml:space="preserve"> → </w:t>
            </w:r>
            <w:r>
              <w:rPr>
                <w:b w:val="false"/>
                <w:bCs w:val="false"/>
                <w:color w:val="5A6B7B"/>
                <w:sz w:val="17"/>
                <w:szCs w:val="17"/>
                <w:rtl w:val="false"/>
              </w:rPr>
              <w:t xml:space="preserve">shares_coverage</w:t>
            </w:r>
            <w:r>
              <w:rPr>
                <w:b w:val="false"/>
                <w:bCs w:val="false"/>
                <w:color w:val="5A6B7B"/>
                <w:sz w:val="17"/>
                <w:szCs w:val="17"/>
                <w:rtl/>
              </w:rPr>
              <w:t xml:space="preserve"> </w:t>
            </w:r>
            <w:r>
              <w:rPr>
                <w:b w:val="false"/>
                <w:bCs w:val="false"/>
                <w:color w:val="5A6B7B"/>
                <w:sz w:val="17"/>
                <w:szCs w:val="17"/>
                <w:rtl w:val="false"/>
              </w:rPr>
              <w:t xml:space="preserve">view</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مسجَّل مسارًا مستقلًّا في الدورة بينما هو منظور فرعي لشاشة الحصص</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ليس قدرة مفقودة بل منظور محفوظ — يُسجَّل منظورًا</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عقود الموردين</w:t>
            </w:r>
          </w:p>
          <w:p>
            <w:pPr>
              <w:bidi w:val="false"/>
              <w:spacing w:after="20" w:line="280"/>
              <w:jc w:val="left"/>
            </w:pPr>
            <w:r>
              <w:rPr>
                <w:b w:val="false"/>
                <w:bCs w:val="false"/>
                <w:color w:val="5A6B7B"/>
                <w:sz w:val="17"/>
                <w:szCs w:val="17"/>
                <w:rtl w:val="false"/>
              </w:rPr>
              <w:t xml:space="preserve">supplier_contracts</w:t>
            </w:r>
            <w:r>
              <w:rPr>
                <w:b w:val="false"/>
                <w:bCs w:val="false"/>
                <w:color w:val="5A6B7B"/>
                <w:sz w:val="17"/>
                <w:szCs w:val="17"/>
                <w:rtl/>
              </w:rPr>
              <w:t xml:space="preserve"> </w:t>
            </w:r>
            <w:r>
              <w:rPr>
                <w:b w:val="false"/>
                <w:bCs w:val="false"/>
                <w:color w:val="5A6B7B"/>
                <w:sz w:val="17"/>
                <w:szCs w:val="17"/>
                <w:rtl w:val="false"/>
              </w:rPr>
              <w:t xml:space="preserve">vs</w:t>
            </w:r>
            <w:r>
              <w:rPr>
                <w:b w:val="false"/>
                <w:bCs w:val="false"/>
                <w:color w:val="5A6B7B"/>
                <w:sz w:val="17"/>
                <w:szCs w:val="17"/>
                <w:rtl/>
              </w:rPr>
              <w:t xml:space="preserve"> </w:t>
            </w:r>
            <w:r>
              <w:rPr>
                <w:b w:val="false"/>
                <w:bCs w:val="false"/>
                <w:color w:val="5A6B7B"/>
                <w:sz w:val="17"/>
                <w:szCs w:val="17"/>
                <w:rtl w:val="false"/>
              </w:rPr>
              <w:t xml:space="preserve">supplierscontracts</w:t>
            </w:r>
          </w:p>
        </w:tc>
        <w:tc>
          <w:tcPr>
            <w:tcW w:type="dxa" w:w="3300"/>
            <w:tcMar>
              <w:top w:type="dxa" w:w="70"/>
              <w:left w:type="dxa" w:w="95"/>
              <w:bottom w:type="dxa" w:w="70"/>
              <w:right w:type="dxa" w:w="95"/>
            </w:tcMar>
            <w:vAlign w:val="center"/>
          </w:tcPr>
          <w:p>
            <w:pPr>
              <w:bidi/>
              <w:spacing w:after="20" w:line="280"/>
              <w:jc w:val="right"/>
            </w:pPr>
            <w:r>
              <w:rPr>
                <w:b w:val="false"/>
                <w:bCs w:val="false"/>
                <w:sz w:val="20"/>
                <w:szCs w:val="20"/>
                <w:rtl/>
              </w:rPr>
              <w:t xml:space="preserve">اسم المسار في الدورة يخالف اسمه على القرص</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المسار على القرص هو الحقيقة ويُصحَّح الدفتر</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حصص الموردين</w:t>
            </w:r>
          </w:p>
          <w:p>
            <w:pPr>
              <w:bidi w:val="false"/>
              <w:spacing w:after="20" w:line="280"/>
              <w:jc w:val="left"/>
            </w:pPr>
            <w:r>
              <w:rPr>
                <w:b w:val="false"/>
                <w:bCs w:val="false"/>
                <w:color w:val="5A6B7B"/>
                <w:sz w:val="17"/>
                <w:szCs w:val="17"/>
                <w:rtl w:val="false"/>
              </w:rPr>
              <w:t xml:space="preserve">supplier_quota</w:t>
            </w:r>
            <w:r>
              <w:rPr>
                <w:b w:val="false"/>
                <w:bCs w:val="false"/>
                <w:color w:val="5A6B7B"/>
                <w:sz w:val="17"/>
                <w:szCs w:val="17"/>
                <w:rtl/>
              </w:rPr>
              <w:t xml:space="preserve"> </w:t>
            </w:r>
            <w:r>
              <w:rPr>
                <w:b w:val="false"/>
                <w:bCs w:val="false"/>
                <w:color w:val="5A6B7B"/>
                <w:sz w:val="17"/>
                <w:szCs w:val="17"/>
                <w:rtl w:val="false"/>
              </w:rPr>
              <w:t xml:space="preserve">vs</w:t>
            </w:r>
            <w:r>
              <w:rPr>
                <w:b w:val="false"/>
                <w:bCs w:val="false"/>
                <w:color w:val="5A6B7B"/>
                <w:sz w:val="17"/>
                <w:szCs w:val="17"/>
                <w:rtl/>
              </w:rPr>
              <w:t xml:space="preserve"> </w:t>
            </w:r>
            <w:r>
              <w:rPr>
                <w:b w:val="false"/>
                <w:bCs w:val="false"/>
                <w:color w:val="5A6B7B"/>
                <w:sz w:val="17"/>
                <w:szCs w:val="17"/>
                <w:rtl w:val="false"/>
              </w:rPr>
              <w:t xml:space="preserve">shares_coverage</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اسم المسار في الدورة يخالف اسمه على القرص</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المسار على القرص هو الحقيقة ويُصحَّح الدفتر</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وثائق المورد وحسابه البنكي</w:t>
            </w:r>
          </w:p>
          <w:p>
            <w:pPr>
              <w:bidi w:val="false"/>
              <w:spacing w:after="20" w:line="280"/>
              <w:jc w:val="left"/>
            </w:pPr>
            <w:r>
              <w:rPr>
                <w:b w:val="false"/>
                <w:bCs w:val="false"/>
                <w:color w:val="5A6B7B"/>
                <w:sz w:val="17"/>
                <w:szCs w:val="17"/>
                <w:rtl w:val="false"/>
              </w:rPr>
              <w:t xml:space="preserve">supplier_documents</w:t>
            </w:r>
            <w:r>
              <w:rPr>
                <w:b w:val="false"/>
                <w:bCs w:val="false"/>
                <w:color w:val="5A6B7B"/>
                <w:sz w:val="17"/>
                <w:szCs w:val="17"/>
                <w:rtl/>
              </w:rPr>
              <w:t xml:space="preserve"> + </w:t>
            </w:r>
            <w:r>
              <w:rPr>
                <w:b w:val="false"/>
                <w:bCs w:val="false"/>
                <w:color w:val="5A6B7B"/>
                <w:sz w:val="17"/>
                <w:szCs w:val="17"/>
                <w:rtl w:val="false"/>
              </w:rPr>
              <w:t xml:space="preserve">supplier_bank</w:t>
            </w:r>
          </w:p>
        </w:tc>
        <w:tc>
          <w:tcPr>
            <w:tcW w:type="dxa" w:w="3300"/>
            <w:tcMar>
              <w:top w:type="dxa" w:w="70"/>
              <w:left w:type="dxa" w:w="95"/>
              <w:bottom w:type="dxa" w:w="70"/>
              <w:right w:type="dxa" w:w="95"/>
            </w:tcMar>
            <w:vAlign w:val="center"/>
          </w:tcPr>
          <w:p>
            <w:pPr>
              <w:bidi/>
              <w:spacing w:after="20" w:line="280"/>
              <w:jc w:val="right"/>
            </w:pPr>
            <w:r>
              <w:rPr>
                <w:b w:val="false"/>
                <w:bCs w:val="false"/>
                <w:sz w:val="20"/>
                <w:szCs w:val="20"/>
                <w:rtl/>
              </w:rPr>
              <w:t xml:space="preserve">سطحان يحملان الحساب البنكي معًا</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الوثائق والتأهيل سطح واحد والحساب تبويب فيه</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كشف حساب المورد الشهري</w:t>
            </w:r>
          </w:p>
          <w:p>
            <w:pPr>
              <w:bidi w:val="false"/>
              <w:spacing w:after="20" w:line="280"/>
              <w:jc w:val="left"/>
            </w:pPr>
            <w:r>
              <w:rPr>
                <w:b w:val="false"/>
                <w:bCs w:val="false"/>
                <w:color w:val="5A6B7B"/>
                <w:sz w:val="17"/>
                <w:szCs w:val="17"/>
                <w:rtl w:val="false"/>
              </w:rPr>
              <w:t xml:space="preserve">supplier_stmt</w:t>
            </w:r>
            <w:r>
              <w:rPr>
                <w:b w:val="false"/>
                <w:bCs w:val="false"/>
                <w:color w:val="5A6B7B"/>
                <w:sz w:val="17"/>
                <w:szCs w:val="17"/>
                <w:rtl/>
              </w:rPr>
              <w:t xml:space="preserve"> </w:t>
            </w:r>
            <w:r>
              <w:rPr>
                <w:b w:val="false"/>
                <w:bCs w:val="false"/>
                <w:color w:val="5A6B7B"/>
                <w:sz w:val="17"/>
                <w:szCs w:val="17"/>
                <w:rtl w:val="false"/>
              </w:rPr>
              <w:t xml:space="preserve">vs</w:t>
            </w:r>
            <w:r>
              <w:rPr>
                <w:b w:val="false"/>
                <w:bCs w:val="false"/>
                <w:color w:val="5A6B7B"/>
                <w:sz w:val="17"/>
                <w:szCs w:val="17"/>
                <w:rtl/>
              </w:rPr>
              <w:t xml:space="preserve"> </w:t>
            </w:r>
            <w:r>
              <w:rPr>
                <w:b w:val="false"/>
                <w:bCs w:val="false"/>
                <w:color w:val="5A6B7B"/>
                <w:sz w:val="17"/>
                <w:szCs w:val="17"/>
                <w:rtl w:val="false"/>
              </w:rPr>
              <w:t xml:space="preserve">supplier_statement_fin</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كشفان: تجاري في الموردين ومحاسبي في المالية بالاسم نفسه</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التجاري تبويب في التسويات والمحاسبي يبقى في المالية باسمه المميَّز</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موردو المشتريات</w:t>
            </w:r>
          </w:p>
          <w:p>
            <w:pPr>
              <w:bidi w:val="false"/>
              <w:spacing w:after="20" w:line="280"/>
              <w:jc w:val="left"/>
            </w:pPr>
            <w:r>
              <w:rPr>
                <w:b w:val="false"/>
                <w:bCs w:val="false"/>
                <w:color w:val="5A6B7B"/>
                <w:sz w:val="17"/>
                <w:szCs w:val="17"/>
                <w:rtl w:val="false"/>
              </w:rPr>
              <w:t xml:space="preserve">suppliers_proc.php</w:t>
            </w:r>
          </w:p>
        </w:tc>
        <w:tc>
          <w:tcPr>
            <w:tcW w:type="dxa" w:w="3300"/>
            <w:tcMar>
              <w:top w:type="dxa" w:w="70"/>
              <w:left w:type="dxa" w:w="95"/>
              <w:bottom w:type="dxa" w:w="70"/>
              <w:right w:type="dxa" w:w="95"/>
            </w:tcMar>
            <w:vAlign w:val="center"/>
          </w:tcPr>
          <w:p>
            <w:pPr>
              <w:bidi/>
              <w:spacing w:after="20" w:line="280"/>
              <w:jc w:val="right"/>
            </w:pPr>
            <w:r>
              <w:rPr>
                <w:b w:val="false"/>
                <w:bCs w:val="false"/>
                <w:sz w:val="20"/>
                <w:szCs w:val="20"/>
                <w:rtl/>
              </w:rPr>
              <w:t xml:space="preserve">سجل موردين ثانٍ داخل المشتريات</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سجل الموردين واحد — والمشتريات تقرأ ولا تنشئ</w:t>
            </w:r>
          </w:p>
        </w:tc>
      </w:tr>
    </w:tbl>
    <w:p>
      <w:pPr>
        <w:bidi/>
        <w:spacing w:before="130"/>
        <w:jc w:val="right"/>
      </w:pPr>
      <w:r>
        <w:rPr>
          <w:b w:val="false"/>
          <w:bCs w:val="false"/>
          <w:i w:val="false"/>
          <w:iCs w:val="false"/>
          <w:sz w:val="24"/>
          <w:szCs w:val="24"/>
          <w:rtl/>
        </w:rPr>
        <w:t xml:space="preserve">وأي تغيير في الواجهة أو البنية المعلوماتية لا يعيد كتابة بيانات العمل: المطلوب تغيير الإسقاط والمسار والمجموعة والتسمية وتوحيد المكوّن. ولا ترحيل بيانات إلا لضرورة بنيوية مثبتة، وحينها بعدٍّ قبليٍّ وبعديٍّ ومطابقةٍ وطريق رجوع.</w:t>
      </w:r>
    </w:p>
    <w:p>
      <w:r>
        <w:br w:type="page"/>
      </w:r>
    </w:p>
    <w:p>
      <w:pPr>
        <w:pStyle w:val="Heading1"/>
        <w:keepNext/>
        <w:bidi/>
        <w:spacing w:after="180" w:before="360"/>
        <w:jc w:val="right"/>
      </w:pPr>
      <w:r>
        <w:rPr>
          <w:b/>
          <w:bCs/>
          <w:rtl/>
        </w:rPr>
        <w:t xml:space="preserve">البند السابع عشر — قاموس المسميات الملزم</w:t>
      </w:r>
    </w:p>
    <w:p>
      <w:pPr>
        <w:bidi/>
        <w:spacing w:after="130" w:line="330"/>
        <w:jc w:val="right"/>
      </w:pPr>
      <w:r>
        <w:rPr>
          <w:b w:val="false"/>
          <w:bCs w:val="false"/>
          <w:i w:val="false"/>
          <w:iCs w:val="false"/>
          <w:sz w:val="24"/>
          <w:szCs w:val="24"/>
          <w:rtl/>
        </w:rPr>
        <w:t xml:space="preserve">لكل مفهوم سطرٌ واحد في القاموس يحمل: الاسم العربي المعياري، والاسم الإنجليزي، والاسم التقني، والمرادفات القديمة، والمالك، وموضع الظهور. وممنوع: اسمان لشاشة واحدة، واسمٌ تقنيٌّ في الواجهة، واسمٌ عامٌّ حيث يوجد اسم مؤسسيٌّ أدقّ، وعبارةٌ محادثية، واسمٌ داخليٌّ فنّي.</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100"/>
        <w:gridCol w:w="3100"/>
        <w:gridCol w:w="3600"/>
      </w:tblGrid>
      <w:tr>
        <w:trPr>
          <w:cantSplit/>
          <w:tblHeader/>
        </w:trPr>
        <w:tc>
          <w:tcPr>
            <w:tcW w:type="dxa" w:w="3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الاسم الحالي</w:t>
            </w:r>
          </w:p>
        </w:tc>
        <w:tc>
          <w:tcPr>
            <w:tcW w:type="dxa" w:w="3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الاسم الكنسي</w:t>
            </w:r>
          </w:p>
        </w:tc>
        <w:tc>
          <w:tcPr>
            <w:tcW w:type="dxa" w:w="3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المرادف المتقاعد</w:t>
            </w:r>
          </w:p>
        </w:tc>
      </w:tr>
      <w:tr>
        <w:trPr>
          <w:cantSplit/>
        </w:trPr>
        <w:tc>
          <w:tcPr>
            <w:tcW w:type="dxa" w:w="9800"/>
            <w:gridSpan w:val="3"/>
            <w:tcMar>
              <w:top w:type="dxa" w:w="70"/>
              <w:left w:type="dxa" w:w="95"/>
              <w:bottom w:type="dxa" w:w="70"/>
              <w:right w:type="dxa" w:w="95"/>
            </w:tcMar>
            <w:vAlign w:val="center"/>
          </w:tcPr>
          <w:p>
            <w:pPr>
              <w:bidi/>
              <w:spacing w:after="20" w:line="280"/>
              <w:jc w:val="right"/>
            </w:pPr>
            <w:r>
              <w:rPr>
                <w:b w:val="false"/>
                <w:bCs w:val="false"/>
                <w:sz w:val="21"/>
                <w:szCs w:val="21"/>
                <w:rtl/>
              </w:rPr>
              <w:t xml:space="preserve">يُستخرج القاموس كاملًا من عمود الأسماء في المرجع الحاكم ويُثبَّت في سجل الأسماء المعتمدة قبل تنفيذ أي إعادة تسمية.</w:t>
            </w:r>
          </w:p>
        </w:tc>
      </w:tr>
    </w:tbl>
    <w:p>
      <w:pPr>
        <w:pStyle w:val="Heading1"/>
        <w:keepNext/>
        <w:bidi/>
        <w:spacing w:after="180" w:before="360"/>
        <w:jc w:val="right"/>
      </w:pPr>
      <w:r>
        <w:rPr>
          <w:b/>
          <w:bCs/>
          <w:rtl/>
        </w:rPr>
        <w:t xml:space="preserve">البند الثامن عشر — دفتر المصالحة: عقد كل ورقة</w:t>
      </w:r>
    </w:p>
    <w:p>
      <w:pPr>
        <w:bidi/>
        <w:spacing w:after="130" w:line="330"/>
        <w:jc w:val="right"/>
      </w:pPr>
      <w:r>
        <w:rPr>
          <w:b w:val="false"/>
          <w:bCs w:val="false"/>
          <w:i w:val="false"/>
          <w:iCs w:val="false"/>
          <w:sz w:val="24"/>
          <w:szCs w:val="24"/>
          <w:rtl/>
        </w:rPr>
        <w:t xml:space="preserve">لكل ورقة سطرٌ في دفتر المصالحة يحمل عقدها كاملًا، ولا سطر بلا قرار. وهذه حقول العقد الملزمة: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4900"/>
        <w:gridCol w:w="4900"/>
      </w:tblGrid>
      <w:tr>
        <w:trPr>
          <w:cantSplit/>
          <w:tblHeader/>
        </w:trPr>
        <w:tc>
          <w:tcPr>
            <w:tcW w:type="dxa" w:w="4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حقول التعريف والمصدر</w:t>
            </w:r>
          </w:p>
        </w:tc>
        <w:tc>
          <w:tcPr>
            <w:tcW w:type="dxa" w:w="4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حقول القرار والأثر</w:t>
            </w:r>
          </w:p>
        </w:tc>
      </w:tr>
      <w:tr>
        <w:trPr>
          <w:cantSplit/>
        </w:trPr>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المصنَّف · اسم الورقة · ترتيبها · مرحلة العمل</w:t>
            </w:r>
          </w:p>
        </w:tc>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القرار في السطح · الملف الأمّ · قرار الترحيل</w:t>
            </w:r>
          </w:p>
        </w:tc>
      </w:tr>
      <w:tr>
        <w:trPr>
          <w:cantSplit/>
        </w:trPr>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المستند الداخل · المستند الناتج</w:t>
            </w:r>
          </w:p>
        </w:tc>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الاسم الكنسي المستهدف · المالك المستهدف</w:t>
            </w:r>
          </w:p>
        </w:tc>
      </w:tr>
      <w:tr>
        <w:trPr>
          <w:cantSplit/>
        </w:trPr>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المسار الحالي · اسم الشاشة الحالي · مالكها الحالي</w:t>
            </w:r>
          </w:p>
        </w:tc>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عدد الحقول · الأفعال · الاعتمادات · الأحداث</w:t>
            </w:r>
          </w:p>
        </w:tc>
      </w:tr>
      <w:tr>
        <w:trPr>
          <w:cantSplit/>
        </w:trPr>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مصدر البيانات · الجدول الرئيسي · الخدمة</w:t>
            </w:r>
          </w:p>
        </w:tc>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الحقول الحساسة · الاعتماديات بين الإدارات · الدليل</w:t>
            </w:r>
          </w:p>
        </w:tc>
      </w:tr>
    </w:tbl>
    <w:p>
      <w:r>
        <w:br w:type="page"/>
      </w:r>
    </w:p>
    <w:p>
      <w:pPr>
        <w:pStyle w:val="Heading1"/>
        <w:keepNext/>
        <w:bidi/>
        <w:spacing w:after="180" w:before="360"/>
        <w:jc w:val="right"/>
      </w:pPr>
      <w:r>
        <w:rPr>
          <w:b/>
          <w:bCs/>
          <w:rtl/>
        </w:rPr>
        <w:t xml:space="preserve">القدرات المحكومة المفقودة</w:t>
      </w:r>
    </w:p>
    <w:p>
      <w:pPr>
        <w:bidi/>
        <w:spacing w:after="130" w:line="330"/>
        <w:jc w:val="right"/>
      </w:pPr>
      <w:r>
        <w:rPr>
          <w:b w:val="false"/>
          <w:bCs w:val="false"/>
          <w:i w:val="false"/>
          <w:iCs w:val="false"/>
          <w:sz w:val="24"/>
          <w:szCs w:val="24"/>
          <w:rtl/>
        </w:rPr>
        <w:t xml:space="preserve">لا يُعلَن نقصٌ إلا بعد استنفاد البحث في المسارات والتبويبات والأسطح التابعة والمنظورات والتقارير والمسارات المتقاعدة والإدارات المجاورة. وهذه ما ثبت غيابها بعد ذلك الاستنفاد — وتدخل مسار الاستكمال ولا تُخترع من فراغ:</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300"/>
        <w:gridCol w:w="3050"/>
        <w:gridCol w:w="2450"/>
        <w:gridCol w:w="2000"/>
      </w:tblGrid>
      <w:tr>
        <w:trPr>
          <w:cantSplit/>
          <w:tblHeader/>
        </w:trPr>
        <w:tc>
          <w:tcPr>
            <w:tcW w:type="dxa" w:w="2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القدرة</w:t>
            </w:r>
          </w:p>
        </w:tc>
        <w:tc>
          <w:tcPr>
            <w:tcW w:type="dxa" w:w="30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تفعله</w:t>
            </w:r>
          </w:p>
        </w:tc>
        <w:tc>
          <w:tcPr>
            <w:tcW w:type="dxa" w:w="245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دليل الغياب</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المسار</w:t>
            </w:r>
          </w:p>
        </w:tc>
      </w:tr>
      <w:tr>
        <w:trPr>
          <w:cantSplit/>
        </w:trPr>
        <w:tc>
          <w:tcPr>
            <w:tcW w:type="dxa" w:w="2300"/>
            <w:tcMar>
              <w:top w:type="dxa" w:w="70"/>
              <w:left w:type="dxa" w:w="95"/>
              <w:bottom w:type="dxa" w:w="70"/>
              <w:right w:type="dxa" w:w="95"/>
            </w:tcMar>
            <w:vAlign w:val="center"/>
          </w:tcPr>
          <w:p>
            <w:pPr>
              <w:bidi/>
              <w:spacing w:after="20" w:line="280"/>
              <w:jc w:val="right"/>
            </w:pPr>
            <w:r>
              <w:rPr>
                <w:b/>
                <w:bCs/>
                <w:color w:val="A3151F"/>
                <w:sz w:val="20"/>
                <w:szCs w:val="20"/>
                <w:rtl/>
              </w:rPr>
              <w:t xml:space="preserve">توليد التزامات عقد المورد</w:t>
            </w:r>
          </w:p>
        </w:tc>
        <w:tc>
          <w:tcPr>
            <w:tcW w:type="dxa" w:w="3050"/>
            <w:tcMar>
              <w:top w:type="dxa" w:w="70"/>
              <w:left w:type="dxa" w:w="95"/>
              <w:bottom w:type="dxa" w:w="70"/>
              <w:right w:type="dxa" w:w="95"/>
            </w:tcMar>
            <w:vAlign w:val="center"/>
          </w:tcPr>
          <w:p>
            <w:pPr>
              <w:bidi/>
              <w:spacing w:after="20" w:line="280"/>
              <w:jc w:val="right"/>
            </w:pPr>
            <w:r>
              <w:rPr>
                <w:b w:val="false"/>
                <w:bCs w:val="false"/>
                <w:sz w:val="19"/>
                <w:szCs w:val="19"/>
                <w:rtl/>
              </w:rPr>
              <w:t xml:space="preserve">تحويل بنود العقد إلى التزام مالي</w:t>
            </w:r>
          </w:p>
        </w:tc>
        <w:tc>
          <w:tcPr>
            <w:tcW w:type="dxa" w:w="2450"/>
            <w:tcMar>
              <w:top w:type="dxa" w:w="70"/>
              <w:left w:type="dxa" w:w="95"/>
              <w:bottom w:type="dxa" w:w="70"/>
              <w:right w:type="dxa" w:w="95"/>
            </w:tcMar>
            <w:vAlign w:val="center"/>
          </w:tcPr>
          <w:p>
            <w:pPr>
              <w:bidi/>
              <w:spacing w:after="20" w:line="280"/>
              <w:jc w:val="right"/>
            </w:pPr>
            <w:r>
              <w:rPr>
                <w:b w:val="false"/>
                <w:bCs w:val="false"/>
                <w:sz w:val="19"/>
                <w:szCs w:val="19"/>
                <w:rtl/>
              </w:rPr>
              <w:t xml:space="preserve">مسجَّل ولم يُبنَ</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ap_oblig_gen.php</w:t>
            </w:r>
          </w:p>
        </w:tc>
      </w:tr>
      <w:tr>
        <w:trPr>
          <w:cantSplit/>
        </w:trPr>
        <w:tc>
          <w:tcPr>
            <w:tcW w:type="dxa" w:w="23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المخالفات والجزاءات</w:t>
            </w:r>
          </w:p>
        </w:tc>
        <w:tc>
          <w:tcPr>
            <w:tcW w:type="dxa" w:w="30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تسجيل واقعة مخالفة وأثرها في التسوية</w:t>
            </w:r>
          </w:p>
        </w:tc>
        <w:tc>
          <w:tcPr>
            <w:tcW w:type="dxa" w:w="245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لا سطح مكافئ — القواعد موجودة والوقائع لا</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child</w:t>
            </w:r>
            <w:r>
              <w:rPr>
                <w:b w:val="false"/>
                <w:bCs w:val="false"/>
                <w:color w:val="2E4A63"/>
                <w:sz w:val="17"/>
                <w:szCs w:val="17"/>
                <w:rtl/>
              </w:rPr>
              <w:t xml:space="preserve"> </w:t>
            </w:r>
            <w:r>
              <w:rPr>
                <w:b w:val="false"/>
                <w:bCs w:val="false"/>
                <w:color w:val="2E4A63"/>
                <w:sz w:val="17"/>
                <w:szCs w:val="17"/>
                <w:rtl w:val="false"/>
              </w:rPr>
              <w:t xml:space="preserve">of</w:t>
            </w:r>
            <w:r>
              <w:rPr>
                <w:b w:val="false"/>
                <w:bCs w:val="false"/>
                <w:color w:val="2E4A63"/>
                <w:sz w:val="17"/>
                <w:szCs w:val="17"/>
                <w:rtl/>
              </w:rPr>
              <w:t xml:space="preserve"> </w:t>
            </w:r>
            <w:r>
              <w:rPr>
                <w:b w:val="false"/>
                <w:bCs w:val="false"/>
                <w:color w:val="2E4A63"/>
                <w:sz w:val="17"/>
                <w:szCs w:val="17"/>
                <w:rtl w:val="false"/>
              </w:rPr>
              <w:t xml:space="preserve">settlements</w:t>
            </w:r>
          </w:p>
        </w:tc>
      </w:tr>
      <w:tr>
        <w:trPr>
          <w:cantSplit/>
        </w:trPr>
        <w:tc>
          <w:tcPr>
            <w:tcW w:type="dxa" w:w="2300"/>
            <w:tcMar>
              <w:top w:type="dxa" w:w="70"/>
              <w:left w:type="dxa" w:w="95"/>
              <w:bottom w:type="dxa" w:w="70"/>
              <w:right w:type="dxa" w:w="95"/>
            </w:tcMar>
            <w:vAlign w:val="center"/>
          </w:tcPr>
          <w:p>
            <w:pPr>
              <w:bidi/>
              <w:spacing w:after="20" w:line="280"/>
              <w:jc w:val="right"/>
            </w:pPr>
            <w:r>
              <w:rPr>
                <w:b/>
                <w:bCs/>
                <w:color w:val="A3151F"/>
                <w:sz w:val="20"/>
                <w:szCs w:val="20"/>
                <w:rtl/>
              </w:rPr>
              <w:t xml:space="preserve">لوحة إدارة الموردين</w:t>
            </w:r>
          </w:p>
        </w:tc>
        <w:tc>
          <w:tcPr>
            <w:tcW w:type="dxa" w:w="3050"/>
            <w:tcMar>
              <w:top w:type="dxa" w:w="70"/>
              <w:left w:type="dxa" w:w="95"/>
              <w:bottom w:type="dxa" w:w="70"/>
              <w:right w:type="dxa" w:w="95"/>
            </w:tcMar>
            <w:vAlign w:val="center"/>
          </w:tcPr>
          <w:p>
            <w:pPr>
              <w:bidi/>
              <w:spacing w:after="20" w:line="280"/>
              <w:jc w:val="right"/>
            </w:pPr>
            <w:r>
              <w:rPr>
                <w:b w:val="false"/>
                <w:bCs w:val="false"/>
                <w:sz w:val="19"/>
                <w:szCs w:val="19"/>
                <w:rtl/>
              </w:rPr>
              <w:t xml:space="preserve">لوحة الإدارة اليومية</w:t>
            </w:r>
          </w:p>
        </w:tc>
        <w:tc>
          <w:tcPr>
            <w:tcW w:type="dxa" w:w="2450"/>
            <w:tcMar>
              <w:top w:type="dxa" w:w="70"/>
              <w:left w:type="dxa" w:w="95"/>
              <w:bottom w:type="dxa" w:w="70"/>
              <w:right w:type="dxa" w:w="95"/>
            </w:tcMar>
            <w:vAlign w:val="center"/>
          </w:tcPr>
          <w:p>
            <w:pPr>
              <w:bidi/>
              <w:spacing w:after="20" w:line="280"/>
              <w:jc w:val="right"/>
            </w:pPr>
            <w:r>
              <w:rPr>
                <w:b w:val="false"/>
                <w:bCs w:val="false"/>
                <w:sz w:val="19"/>
                <w:szCs w:val="19"/>
                <w:rtl/>
              </w:rPr>
              <w:t xml:space="preserve">لا لوحة للموردين في النظام كله</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build</w:t>
            </w:r>
            <w:r>
              <w:rPr>
                <w:b w:val="false"/>
                <w:bCs w:val="false"/>
                <w:color w:val="2E4A63"/>
                <w:sz w:val="17"/>
                <w:szCs w:val="17"/>
                <w:rtl/>
              </w:rPr>
              <w:t xml:space="preserve"> </w:t>
            </w:r>
            <w:r>
              <w:rPr>
                <w:b w:val="false"/>
                <w:bCs w:val="false"/>
                <w:color w:val="2E4A63"/>
                <w:sz w:val="17"/>
                <w:szCs w:val="17"/>
                <w:rtl w:val="false"/>
              </w:rPr>
              <w:t xml:space="preserve">dashboard</w:t>
            </w:r>
          </w:p>
        </w:tc>
      </w:tr>
    </w:tbl>
    <w:p>
      <w:r>
        <w:br w:type="page"/>
      </w:r>
    </w:p>
    <w:p>
      <w:pPr>
        <w:pStyle w:val="Heading1"/>
        <w:keepNext/>
        <w:bidi/>
        <w:spacing w:after="180" w:before="360"/>
        <w:jc w:val="right"/>
      </w:pPr>
      <w:r>
        <w:rPr>
          <w:b/>
          <w:bCs/>
          <w:rtl/>
        </w:rPr>
        <w:t xml:space="preserve">تقليل الأقسام — التصميم المُدمج المُصادق معياريًّا</w:t>
      </w:r>
    </w:p>
    <w:p>
      <w:pPr>
        <w:bidi/>
        <w:spacing w:after="130" w:line="330"/>
        <w:jc w:val="right"/>
      </w:pPr>
      <w:r>
        <w:rPr>
          <w:b w:val="false"/>
          <w:bCs w:val="false"/>
          <w:i w:val="false"/>
          <w:iCs w:val="false"/>
          <w:sz w:val="24"/>
          <w:szCs w:val="24"/>
          <w:rtl/>
        </w:rPr>
        <w:t xml:space="preserve">السؤال: هل يجوز تقليل أقسام دورة العمل بدمج بعضها في بعض؟ الجواب: نعم، وهو المعيار لا الاستثناء — بشرطٍ واحد لا يُخالف: الدمج يقع في الواجهة، لا في الدورة ولا في السجل. فكل قسمٍ يبقى سجلًّا بمعرّفه وتاريخه وسلّم اعتماده وأثره التدقيقي؛ والذي يتغيّر موضعُ ظهوره فقط: من بندٍ في القائمة إلى تبويبٍ في ملف أبيه، أو منظورٍ محفوظ، أو زرِّ إنشاءٍ يرث السياق.</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266"/>
        <w:gridCol w:w="3267"/>
        <w:gridCol w:w="3267"/>
      </w:tblGrid>
      <w:tr>
        <w:trPr>
          <w:cantSplit/>
        </w:trPr>
        <w:tc>
          <w:tcPr>
            <w:tcW w:type="dxa" w:w="3266"/>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قبل الدمج</w:t>
            </w:r>
          </w:p>
          <w:p>
            <w:pPr>
              <w:bidi/>
              <w:spacing w:after="20" w:line="280"/>
              <w:jc w:val="center"/>
            </w:pPr>
            <w:r>
              <w:rPr>
                <w:b/>
                <w:bCs/>
                <w:color w:val="1F3B57"/>
                <w:sz w:val="22"/>
                <w:szCs w:val="22"/>
                <w:rtl/>
              </w:rPr>
              <w:t xml:space="preserve">13 مجموعة
23 بند تنقّل
29 قسمًا في المرجع</w:t>
            </w:r>
          </w:p>
        </w:tc>
        <w:tc>
          <w:tcPr>
            <w:tcW w:type="dxa" w:w="3267"/>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بعد الدمج</w:t>
            </w:r>
          </w:p>
          <w:p>
            <w:pPr>
              <w:bidi/>
              <w:spacing w:after="20" w:line="280"/>
              <w:jc w:val="center"/>
            </w:pPr>
            <w:r>
              <w:rPr>
                <w:b/>
                <w:bCs/>
                <w:color w:val="1F6B3A"/>
                <w:sz w:val="22"/>
                <w:szCs w:val="22"/>
                <w:rtl/>
              </w:rPr>
              <w:t xml:space="preserve">6 مجموعات
14 بندًا رئيسيًّا
ولوحة الإدارة صفحةَ هبوطٍ للمساحة</w:t>
            </w:r>
          </w:p>
        </w:tc>
        <w:tc>
          <w:tcPr>
            <w:tcW w:type="dxa" w:w="3267"/>
            <w:shd w:fill="E3EBF3" w:color="auto" w:val="clear"/>
            <w:tcMar>
              <w:top w:type="dxa" w:w="70"/>
              <w:left w:type="dxa" w:w="95"/>
              <w:bottom w:type="dxa" w:w="70"/>
              <w:right w:type="dxa" w:w="95"/>
            </w:tcMar>
            <w:vAlign w:val="center"/>
          </w:tcPr>
          <w:p>
            <w:pPr>
              <w:bidi/>
              <w:spacing w:after="20" w:line="280"/>
              <w:jc w:val="center"/>
            </w:pPr>
            <w:r>
              <w:rPr>
                <w:b w:val="false"/>
                <w:bCs w:val="false"/>
                <w:color w:val="3F5265"/>
                <w:sz w:val="19"/>
                <w:szCs w:val="19"/>
                <w:rtl/>
              </w:rPr>
              <w:t xml:space="preserve">الدورة المستندية</w:t>
            </w:r>
          </w:p>
          <w:p>
            <w:pPr>
              <w:bidi/>
              <w:spacing w:after="20" w:line="280"/>
              <w:jc w:val="center"/>
            </w:pPr>
            <w:r>
              <w:rPr>
                <w:b/>
                <w:bCs/>
                <w:color w:val="1F3B57"/>
                <w:sz w:val="22"/>
                <w:szCs w:val="22"/>
                <w:rtl/>
              </w:rPr>
              <w:t xml:space="preserve">كما هي
بلا حذف خطوة</w:t>
            </w:r>
          </w:p>
        </w:tc>
      </w:tr>
    </w:tbl>
    <w:p>
      <w:pPr>
        <w:spacing w:after="140"/>
      </w:pPr>
    </w:p>
    <w:p>
      <w:pPr>
        <w:bidi/>
        <w:spacing w:after="130" w:line="330"/>
        <w:jc w:val="right"/>
      </w:pPr>
      <w:r>
        <w:rPr>
          <w:b w:val="false"/>
          <w:bCs w:val="false"/>
          <w:i w:val="false"/>
          <w:iCs w:val="false"/>
          <w:sz w:val="24"/>
          <w:szCs w:val="24"/>
          <w:rtl/>
        </w:rPr>
        <w:t xml:space="preserve">الكتل الست في المرجع الحاكم باقية كما هي، والتسعة والعشرون قسمًا باقية سجلاتٍ بمعرّفاتها — والذي تغيّر موضع الظهور: ملف المورد صار كيانًا واحدًا بستة تبويبات، وعقد المورد كيانًا بأربعة، والتسوية كيانًا يجمع الاستحقاق والسلف والجزاء وطلب الدفع تبويباتٍ لا شاشات.</w:t>
      </w:r>
    </w:p>
    <w:p>
      <w:pPr>
        <w:pStyle w:val="Heading2"/>
        <w:keepNext/>
        <w:bidi/>
        <w:spacing w:after="140" w:before="280"/>
        <w:jc w:val="right"/>
      </w:pPr>
      <w:r>
        <w:rPr>
          <w:b/>
          <w:bCs/>
          <w:rtl/>
        </w:rPr>
        <w:t xml:space="preserve">سند المعايير العالمية</w:t>
      </w:r>
    </w:p>
    <w:p>
      <w:pPr>
        <w:bidi/>
        <w:spacing w:after="130" w:line="330"/>
        <w:jc w:val="right"/>
      </w:pPr>
      <w:r>
        <w:rPr>
          <w:b w:val="false"/>
          <w:bCs w:val="false"/>
          <w:i w:val="false"/>
          <w:iCs w:val="false"/>
          <w:sz w:val="24"/>
          <w:szCs w:val="24"/>
          <w:rtl/>
        </w:rPr>
        <w:t xml:space="preserve">هذا الدمج ليس اجتهادًا محليًّا: هو النمط الذي تقوم عليه واجهات النظم المرجعية في تخطيط الموارد.</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5000"/>
        <w:gridCol w:w="22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المعيار</w:t>
            </w:r>
          </w:p>
        </w:tc>
        <w:tc>
          <w:tcPr>
            <w:tcW w:type="dxa" w:w="5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مرجعه</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صفحة الكيان بتبويبات</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معيار واجهات المؤسسات يجعل للكيان الواحد صفحةً واحدة تُصنَّف محتوياتها في أقسام أو تبويبات يُتنقّل بينها داخل الصفحة — لا شاشةً لكل جدول تابع.</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SAP</w:t>
            </w:r>
            <w:r>
              <w:rPr>
                <w:b w:val="false"/>
                <w:bCs w:val="false"/>
                <w:color w:val="2E4A63"/>
                <w:sz w:val="18"/>
                <w:szCs w:val="18"/>
                <w:rtl/>
              </w:rPr>
              <w:t xml:space="preserve"> </w:t>
            </w:r>
            <w:r>
              <w:rPr>
                <w:b w:val="false"/>
                <w:bCs w:val="false"/>
                <w:color w:val="2E4A63"/>
                <w:sz w:val="18"/>
                <w:szCs w:val="18"/>
                <w:rtl w:val="false"/>
              </w:rPr>
              <w:t xml:space="preserve">Fiori</w:t>
            </w:r>
            <w:r>
              <w:rPr>
                <w:b w:val="false"/>
                <w:bCs w:val="false"/>
                <w:color w:val="2E4A63"/>
                <w:sz w:val="18"/>
                <w:szCs w:val="18"/>
                <w:rtl/>
              </w:rPr>
              <w:t xml:space="preserve"> · </w:t>
            </w:r>
            <w:r>
              <w:rPr>
                <w:b w:val="false"/>
                <w:bCs w:val="false"/>
                <w:color w:val="2E4A63"/>
                <w:sz w:val="18"/>
                <w:szCs w:val="18"/>
                <w:rtl w:val="false"/>
              </w:rPr>
              <w:t xml:space="preserve">Object</w:t>
            </w:r>
            <w:r>
              <w:rPr>
                <w:b w:val="false"/>
                <w:bCs w:val="false"/>
                <w:color w:val="2E4A63"/>
                <w:sz w:val="18"/>
                <w:szCs w:val="18"/>
                <w:rtl/>
              </w:rPr>
              <w:t xml:space="preserve"> </w:t>
            </w:r>
            <w:r>
              <w:rPr>
                <w:b w:val="false"/>
                <w:bCs w:val="false"/>
                <w:color w:val="2E4A63"/>
                <w:sz w:val="18"/>
                <w:szCs w:val="18"/>
                <w:rtl w:val="false"/>
              </w:rPr>
              <w:t xml:space="preserve">Page</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الرئيس والتابع</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النمط القياسي يعرض قائمة الكيانات في جانب وتفصيل الكيان المختار في الجانب الآخر — فالتابع لا يستحق بندًا في القائمة الرئيسية.</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Master</w:t>
            </w:r>
            <w:r>
              <w:rPr>
                <w:b w:val="false"/>
                <w:bCs w:val="false"/>
                <w:color w:val="2E4A63"/>
                <w:sz w:val="18"/>
                <w:szCs w:val="18"/>
                <w:rtl/>
              </w:rPr>
              <w:t xml:space="preserve">–</w:t>
            </w:r>
            <w:r>
              <w:rPr>
                <w:b w:val="false"/>
                <w:bCs w:val="false"/>
                <w:color w:val="2E4A63"/>
                <w:sz w:val="18"/>
                <w:szCs w:val="18"/>
                <w:rtl w:val="false"/>
              </w:rPr>
              <w:t xml:space="preserve">Detail</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المستند ثلاثي المستويات</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البيع في النظم المرجعية مستوى رأسٍ ومستوى بنودٍ ومستوى جدولةٍ في معاملة واحدة — والبنود ليست شاشة مستقلة.</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header</w:t>
            </w:r>
            <w:r>
              <w:rPr>
                <w:b w:val="false"/>
                <w:bCs w:val="false"/>
                <w:color w:val="2E4A63"/>
                <w:sz w:val="18"/>
                <w:szCs w:val="18"/>
                <w:rtl/>
              </w:rPr>
              <w:t xml:space="preserve"> · </w:t>
            </w:r>
            <w:r>
              <w:rPr>
                <w:b w:val="false"/>
                <w:bCs w:val="false"/>
                <w:color w:val="2E4A63"/>
                <w:sz w:val="18"/>
                <w:szCs w:val="18"/>
                <w:rtl w:val="false"/>
              </w:rPr>
              <w:t xml:space="preserve">item</w:t>
            </w:r>
            <w:r>
              <w:rPr>
                <w:b w:val="false"/>
                <w:bCs w:val="false"/>
                <w:color w:val="2E4A63"/>
                <w:sz w:val="18"/>
                <w:szCs w:val="18"/>
                <w:rtl/>
              </w:rPr>
              <w:t xml:space="preserve"> · </w:t>
            </w:r>
            <w:r>
              <w:rPr>
                <w:b w:val="false"/>
                <w:bCs w:val="false"/>
                <w:color w:val="2E4A63"/>
                <w:sz w:val="18"/>
                <w:szCs w:val="18"/>
                <w:rtl w:val="false"/>
              </w:rPr>
              <w:t xml:space="preserve">schedule</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تدفق المستندات</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المستندات تبقى منفصلة ككيانات مترابطة يُقرأ منها تاريخ المعاملة كاملًا — فالدمج يكون في الواجهة لا في السجل.</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document</w:t>
            </w:r>
            <w:r>
              <w:rPr>
                <w:b w:val="false"/>
                <w:bCs w:val="false"/>
                <w:color w:val="2E4A63"/>
                <w:sz w:val="18"/>
                <w:szCs w:val="18"/>
                <w:rtl/>
              </w:rPr>
              <w:t xml:space="preserve"> </w:t>
            </w:r>
            <w:r>
              <w:rPr>
                <w:b w:val="false"/>
                <w:bCs w:val="false"/>
                <w:color w:val="2E4A63"/>
                <w:sz w:val="18"/>
                <w:szCs w:val="18"/>
                <w:rtl w:val="false"/>
              </w:rPr>
              <w:t xml:space="preserve">flow</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الإنشاء بالإسناد المرجعي</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المستند التالي يُنشأ بالإشارة إلى سابقه فترث حقوله تلقائيًّا — وهو مصدر التعبئة الآلية لا النسخ اليدوي.</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create</w:t>
            </w:r>
            <w:r>
              <w:rPr>
                <w:b w:val="false"/>
                <w:bCs w:val="false"/>
                <w:color w:val="2E4A63"/>
                <w:sz w:val="18"/>
                <w:szCs w:val="18"/>
                <w:rtl/>
              </w:rPr>
              <w:t xml:space="preserve"> </w:t>
            </w:r>
            <w:r>
              <w:rPr>
                <w:b w:val="false"/>
                <w:bCs w:val="false"/>
                <w:color w:val="2E4A63"/>
                <w:sz w:val="18"/>
                <w:szCs w:val="18"/>
                <w:rtl w:val="false"/>
              </w:rPr>
              <w:t xml:space="preserve">with</w:t>
            </w:r>
            <w:r>
              <w:rPr>
                <w:b w:val="false"/>
                <w:bCs w:val="false"/>
                <w:color w:val="2E4A63"/>
                <w:sz w:val="18"/>
                <w:szCs w:val="18"/>
                <w:rtl/>
              </w:rPr>
              <w:t xml:space="preserve"> </w:t>
            </w:r>
            <w:r>
              <w:rPr>
                <w:b w:val="false"/>
                <w:bCs w:val="false"/>
                <w:color w:val="2E4A63"/>
                <w:sz w:val="18"/>
                <w:szCs w:val="18"/>
                <w:rtl w:val="false"/>
              </w:rPr>
              <w:t xml:space="preserve">reference</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المطابقة الثلاثية</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قبل الدفع تُطابق ثلاثة مستندات: الالتزام، وإثبات التنفيذ أو الاستلام، والمطالبة — ولا يجوز دمجها في سطح واحد.</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three-way</w:t>
            </w:r>
            <w:r>
              <w:rPr>
                <w:b w:val="false"/>
                <w:bCs w:val="false"/>
                <w:color w:val="2E4A63"/>
                <w:sz w:val="18"/>
                <w:szCs w:val="18"/>
                <w:rtl/>
              </w:rPr>
              <w:t xml:space="preserve"> </w:t>
            </w:r>
            <w:r>
              <w:rPr>
                <w:b w:val="false"/>
                <w:bCs w:val="false"/>
                <w:color w:val="2E4A63"/>
                <w:sz w:val="18"/>
                <w:szCs w:val="18"/>
                <w:rtl w:val="false"/>
              </w:rPr>
              <w:t xml:space="preserve">match</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فصل مسؤولية الخدمة</w:t>
            </w:r>
          </w:p>
        </w:tc>
        <w:tc>
          <w:tcPr>
            <w:tcW w:type="dxa" w:w="5000"/>
            <w:tcMar>
              <w:top w:type="dxa" w:w="70"/>
              <w:left w:type="dxa" w:w="95"/>
              <w:bottom w:type="dxa" w:w="70"/>
              <w:right w:type="dxa" w:w="95"/>
            </w:tcMar>
            <w:vAlign w:val="center"/>
          </w:tcPr>
          <w:p>
            <w:pPr>
              <w:bidi/>
              <w:spacing w:after="20" w:line="280"/>
              <w:jc w:val="right"/>
            </w:pPr>
            <w:r>
              <w:rPr>
                <w:b w:val="false"/>
                <w:bCs w:val="false"/>
                <w:sz w:val="20"/>
                <w:szCs w:val="20"/>
                <w:rtl/>
              </w:rPr>
              <w:t xml:space="preserve">في الخدمات يقوم مستند إثبات التنفيذ مقام إيصال الاستلام — وهو ما يقابل اعتماد الوحدات عندنا.</w:t>
            </w:r>
          </w:p>
        </w:tc>
        <w:tc>
          <w:tcPr>
            <w:tcW w:type="dxa" w:w="22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service</w:t>
            </w:r>
            <w:r>
              <w:rPr>
                <w:b w:val="false"/>
                <w:bCs w:val="false"/>
                <w:color w:val="2E4A63"/>
                <w:sz w:val="18"/>
                <w:szCs w:val="18"/>
                <w:rtl/>
              </w:rPr>
              <w:t xml:space="preserve"> </w:t>
            </w:r>
            <w:r>
              <w:rPr>
                <w:b w:val="false"/>
                <w:bCs w:val="false"/>
                <w:color w:val="2E4A63"/>
                <w:sz w:val="18"/>
                <w:szCs w:val="18"/>
                <w:rtl w:val="false"/>
              </w:rPr>
              <w:t xml:space="preserve">entry</w:t>
            </w:r>
            <w:r>
              <w:rPr>
                <w:b w:val="false"/>
                <w:bCs w:val="false"/>
                <w:color w:val="2E4A63"/>
                <w:sz w:val="18"/>
                <w:szCs w:val="18"/>
                <w:rtl/>
              </w:rPr>
              <w:t xml:space="preserve"> </w:t>
            </w:r>
            <w:r>
              <w:rPr>
                <w:b w:val="false"/>
                <w:bCs w:val="false"/>
                <w:color w:val="2E4A63"/>
                <w:sz w:val="18"/>
                <w:szCs w:val="18"/>
                <w:rtl w:val="false"/>
              </w:rPr>
              <w:t xml:space="preserve">sheet</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المساحات والأقسام</w:t>
            </w:r>
          </w:p>
        </w:tc>
        <w:tc>
          <w:tcPr>
            <w:tcW w:type="dxa" w:w="50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القائمة تُنظَّم مساحاتٍ وصفحاتٍ وأقسامًا بحسب الدور — والقسم عنوانٌ يجمع، لا شاشة إضافية.</w:t>
            </w:r>
          </w:p>
        </w:tc>
        <w:tc>
          <w:tcPr>
            <w:tcW w:type="dxa" w:w="22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spaces</w:t>
            </w:r>
            <w:r>
              <w:rPr>
                <w:b w:val="false"/>
                <w:bCs w:val="false"/>
                <w:color w:val="2E4A63"/>
                <w:sz w:val="18"/>
                <w:szCs w:val="18"/>
                <w:rtl/>
              </w:rPr>
              <w:t xml:space="preserve"> · </w:t>
            </w:r>
            <w:r>
              <w:rPr>
                <w:b w:val="false"/>
                <w:bCs w:val="false"/>
                <w:color w:val="2E4A63"/>
                <w:sz w:val="18"/>
                <w:szCs w:val="18"/>
                <w:rtl w:val="false"/>
              </w:rPr>
              <w:t xml:space="preserve">pages</w:t>
            </w:r>
            <w:r>
              <w:rPr>
                <w:b w:val="false"/>
                <w:bCs w:val="false"/>
                <w:color w:val="2E4A63"/>
                <w:sz w:val="18"/>
                <w:szCs w:val="18"/>
                <w:rtl/>
              </w:rPr>
              <w:t xml:space="preserve"> · </w:t>
            </w:r>
            <w:r>
              <w:rPr>
                <w:b w:val="false"/>
                <w:bCs w:val="false"/>
                <w:color w:val="2E4A63"/>
                <w:sz w:val="18"/>
                <w:szCs w:val="18"/>
                <w:rtl w:val="false"/>
              </w:rPr>
              <w:t xml:space="preserve">sections</w:t>
            </w:r>
          </w:p>
        </w:tc>
      </w:tr>
    </w:tbl>
    <w:p>
      <w:pPr>
        <w:pStyle w:val="Heading2"/>
        <w:keepNext/>
        <w:bidi/>
        <w:spacing w:after="140" w:before="280"/>
        <w:jc w:val="right"/>
      </w:pPr>
      <w:r>
        <w:rPr>
          <w:b/>
          <w:bCs/>
          <w:rtl/>
        </w:rPr>
        <w:t xml:space="preserve">التنقّل بعد الدمج</w:t>
      </w:r>
    </w:p>
    <w:p>
      <w:pPr>
        <w:bidi/>
        <w:spacing w:after="130" w:line="330"/>
        <w:jc w:val="right"/>
      </w:pPr>
      <w:r>
        <w:rPr>
          <w:b w:val="false"/>
          <w:bCs w:val="false"/>
          <w:i w:val="false"/>
          <w:iCs w:val="false"/>
          <w:sz w:val="24"/>
          <w:szCs w:val="24"/>
          <w:rtl/>
        </w:rPr>
        <w:t xml:space="preserve">ست مجموعات لا غير، وتحتها الكيانات الرئيسية وحدها. وما دونها تبويبات داخل الكيان الأب:</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73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المجموعة</w:t>
            </w:r>
          </w:p>
        </w:tc>
        <w:tc>
          <w:tcPr>
            <w:tcW w:type="dxa" w:w="7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بنودها وتبويباتها</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المهام والاعتمادات</w:t>
            </w:r>
          </w:p>
        </w:tc>
        <w:tc>
          <w:tcPr>
            <w:tcW w:type="dxa" w:w="7300"/>
            <w:tcMar>
              <w:top w:type="dxa" w:w="70"/>
              <w:left w:type="dxa" w:w="95"/>
              <w:bottom w:type="dxa" w:w="70"/>
              <w:right w:type="dxa" w:w="95"/>
            </w:tcMar>
            <w:vAlign w:val="center"/>
          </w:tcPr>
          <w:p>
            <w:pPr>
              <w:bidi/>
              <w:spacing w:after="20" w:line="280"/>
              <w:jc w:val="right"/>
            </w:pPr>
            <w:r>
              <w:rPr>
                <w:b/>
                <w:bCs/>
                <w:sz w:val="21"/>
                <w:szCs w:val="21"/>
                <w:rtl/>
              </w:rPr>
              <w:t xml:space="preserve">البنود: الاعتمادات الواردة · المهام الواردة · البلاغات والمهل</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إدارة الموردين والتأهيل</w:t>
            </w:r>
          </w:p>
        </w:tc>
        <w:tc>
          <w:tcPr>
            <w:tcW w:type="dxa" w:w="7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البنود: سجل الموردين</w:t>
            </w:r>
          </w:p>
          <w:p>
            <w:pPr>
              <w:bidi/>
              <w:spacing w:after="20" w:line="280"/>
              <w:jc w:val="right"/>
            </w:pPr>
            <w:r>
              <w:rPr>
                <w:b w:val="false"/>
                <w:bCs w:val="false"/>
                <w:color w:val="3F5265"/>
                <w:sz w:val="19"/>
                <w:szCs w:val="19"/>
                <w:rtl/>
              </w:rPr>
              <w:t xml:space="preserve">تبويبات — ملف المورد: البيانات الأساسية · جهات الاتصال والمفوضون · التأهيل والوثائق والحساب البنكي · المعدات المقدَّمة تحت العقد · الطاقة والجاهزية · التقييم والمخاطر</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الاحتياج والتعاقد</w:t>
            </w:r>
          </w:p>
        </w:tc>
        <w:tc>
          <w:tcPr>
            <w:tcW w:type="dxa" w:w="7300"/>
            <w:tcMar>
              <w:top w:type="dxa" w:w="70"/>
              <w:left w:type="dxa" w:w="95"/>
              <w:bottom w:type="dxa" w:w="70"/>
              <w:right w:type="dxa" w:w="95"/>
            </w:tcMar>
            <w:vAlign w:val="center"/>
          </w:tcPr>
          <w:p>
            <w:pPr>
              <w:bidi/>
              <w:spacing w:after="20" w:line="280"/>
              <w:jc w:val="right"/>
            </w:pPr>
            <w:r>
              <w:rPr>
                <w:b/>
                <w:bCs/>
                <w:sz w:val="21"/>
                <w:szCs w:val="21"/>
                <w:rtl/>
              </w:rPr>
              <w:t xml:space="preserve">البنود: احتياجات التغطية (إسقاط) · الترشيح ومراجعة التعاقد · سجل عقود الموردين</w:t>
            </w:r>
          </w:p>
          <w:p>
            <w:pPr>
              <w:bidi/>
              <w:spacing w:after="20" w:line="280"/>
              <w:jc w:val="right"/>
            </w:pPr>
            <w:r>
              <w:rPr>
                <w:b w:val="false"/>
                <w:bCs w:val="false"/>
                <w:color w:val="3F5265"/>
                <w:sz w:val="19"/>
                <w:szCs w:val="19"/>
                <w:rtl/>
              </w:rPr>
              <w:t xml:space="preserve">تبويبات — عقد المورد: أحكام العقد · البنود والأسعار · مصفوفة المسؤوليات والتكاليف · الحصص المرتبطة · الملاحق والتصفية والإغلاق</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الحصص والتغطية والأداء</w:t>
            </w:r>
          </w:p>
        </w:tc>
        <w:tc>
          <w:tcPr>
            <w:tcW w:type="dxa" w:w="7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البنود: سجل الحصص والتغطية التعاقدية · اعتماد الوحدات والأداء المعتمد</w:t>
            </w:r>
          </w:p>
          <w:p>
            <w:pPr>
              <w:bidi/>
              <w:spacing w:after="20" w:line="280"/>
              <w:jc w:val="right"/>
            </w:pPr>
            <w:r>
              <w:rPr>
                <w:b w:val="false"/>
                <w:bCs w:val="false"/>
                <w:color w:val="3F5265"/>
                <w:sz w:val="19"/>
                <w:szCs w:val="19"/>
                <w:rtl/>
              </w:rPr>
              <w:t xml:space="preserve">تبويبات — الحصة: الوحدات التعاقدية · إسناد المعدات · الجاهزية والإحلال والاحتياط · المستهدفات الشهرية</w:t>
            </w:r>
          </w:p>
          <w:p>
            <w:pPr>
              <w:bidi/>
              <w:spacing w:after="20" w:line="280"/>
              <w:jc w:val="right"/>
            </w:pPr>
            <w:r>
              <w:rPr>
                <w:b w:val="false"/>
                <w:bCs w:val="false"/>
                <w:color w:val="3F5265"/>
                <w:sz w:val="19"/>
                <w:szCs w:val="19"/>
                <w:rtl/>
              </w:rPr>
              <w:t xml:space="preserve">تبويبات — الأداء: اعتماد الوحدات المنفَّذة · كشف التايم شيت — المورد</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2"/>
                <w:szCs w:val="22"/>
                <w:rtl/>
              </w:rPr>
              <w:t xml:space="preserve">الاستحقاقات والتسويات</w:t>
            </w:r>
          </w:p>
        </w:tc>
        <w:tc>
          <w:tcPr>
            <w:tcW w:type="dxa" w:w="7300"/>
            <w:tcMar>
              <w:top w:type="dxa" w:w="70"/>
              <w:left w:type="dxa" w:w="95"/>
              <w:bottom w:type="dxa" w:w="70"/>
              <w:right w:type="dxa" w:w="95"/>
            </w:tcMar>
            <w:vAlign w:val="center"/>
          </w:tcPr>
          <w:p>
            <w:pPr>
              <w:bidi/>
              <w:spacing w:after="20" w:line="280"/>
              <w:jc w:val="right"/>
            </w:pPr>
            <w:r>
              <w:rPr>
                <w:b/>
                <w:bCs/>
                <w:sz w:val="21"/>
                <w:szCs w:val="21"/>
                <w:rtl/>
              </w:rPr>
              <w:t xml:space="preserve">البنود: التسويات وكشف الحساب</w:t>
            </w:r>
          </w:p>
          <w:p>
            <w:pPr>
              <w:bidi/>
              <w:spacing w:after="20" w:line="280"/>
              <w:jc w:val="right"/>
            </w:pPr>
            <w:r>
              <w:rPr>
                <w:b w:val="false"/>
                <w:bCs w:val="false"/>
                <w:color w:val="3F5265"/>
                <w:sz w:val="19"/>
                <w:szCs w:val="19"/>
                <w:rtl/>
              </w:rPr>
              <w:t xml:space="preserve">تبويبات — التسوية: الاستحقاقات · السلف والمصروفات النيابية · المخالفات والجزاءات · طلبات الدفع وحالة الصرف (إسقاط)</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2"/>
                <w:szCs w:val="22"/>
                <w:rtl/>
              </w:rPr>
              <w:t xml:space="preserve">المرجعيات والحوكمة</w:t>
            </w:r>
          </w:p>
        </w:tc>
        <w:tc>
          <w:tcPr>
            <w:tcW w:type="dxa" w:w="7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البنود: البيانات المرجعية ومصادر القدرة · تقارير الموردين · حوكمة إدارة الموردين · مخاطر الموردين</w:t>
            </w:r>
          </w:p>
        </w:tc>
      </w:tr>
    </w:tbl>
    <w:p>
      <w:pPr>
        <w:pStyle w:val="Heading2"/>
        <w:keepNext/>
        <w:bidi/>
        <w:spacing w:after="140" w:before="280"/>
        <w:jc w:val="right"/>
      </w:pPr>
      <w:r>
        <w:rPr>
          <w:b/>
          <w:bCs/>
          <w:rtl/>
        </w:rPr>
        <w:t xml:space="preserve">طبقة المهام والاعتمادات — مكوّنٌ مركزيٌّ مشترك</w:t>
      </w:r>
    </w:p>
    <w:p>
      <w:pPr>
        <w:bidi/>
        <w:spacing w:after="130" w:line="330"/>
        <w:jc w:val="right"/>
      </w:pPr>
      <w:r>
        <w:rPr>
          <w:b w:val="false"/>
          <w:bCs w:val="false"/>
          <w:i w:val="false"/>
          <w:iCs w:val="false"/>
          <w:sz w:val="24"/>
          <w:szCs w:val="24"/>
          <w:rtl/>
        </w:rPr>
        <w:t xml:space="preserve">مجموعةُ «المهام والاعتمادات» ليست كيانًا تملكه هذه الإدارة، بل طبقةُ عملٍ شخصيةٍ مركزيةٌ واحدةٌ على مستوى المنصة كلها. مكوّنُها واحدٌ يُرشَّح محتواه بالمستخدم والمساحة النشطة والدور والتكليف — ولا تُبنى نسخةٌ مستقلةٌ منه داخل كل إدارة. ولوحةُ الإدارة خارجَها: صفحةُ هبوطٍ لمساحة الإدارة لا بندًا في مجموعة.</w:t>
      </w:r>
    </w:p>
    <w:p>
      <w:pPr>
        <w:pStyle w:val="Heading2"/>
        <w:keepNext/>
        <w:bidi/>
        <w:spacing w:after="140" w:before="280"/>
        <w:jc w:val="right"/>
      </w:pPr>
      <w:r>
        <w:rPr>
          <w:b/>
          <w:bCs/>
          <w:rtl/>
        </w:rPr>
        <w:t xml:space="preserve">لغة التسمية المؤسسية — حكمٌ نهائيٌّ مقفل</w:t>
      </w:r>
    </w:p>
    <w:p>
      <w:pPr>
        <w:bidi/>
        <w:spacing w:after="130" w:line="330"/>
        <w:jc w:val="right"/>
      </w:pPr>
      <w:r>
        <w:rPr>
          <w:b/>
          <w:bCs/>
          <w:i w:val="false"/>
          <w:iCs w:val="false"/>
          <w:sz w:val="24"/>
          <w:szCs w:val="24"/>
          <w:rtl/>
        </w:rPr>
        <w:t xml:space="preserve">لغة إنجاز الرسمية لغةٌ مؤسسيةٌ إداريةٌ ثابتة. الأسماء أسماءُ سجلاتٍ وعملياتٍ ومستندات، والأفعالُ للأزرار والإجراءات وحدها. ولا لغةَ محادثيةٍ ولا سرديةٍ في التنقّل ولا في أسماء المجموعات ولا المراحل ولا الشاشات ولا محطات الاختبار. وقاعدة أفعال جمع المتكلم مُلغاةٌ نهائيًّا من التنقّل، ولا يبقى فيها قرارٌ معلَّق.</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300"/>
        <w:gridCol w:w="3600"/>
        <w:gridCol w:w="3900"/>
      </w:tblGrid>
      <w:tr>
        <w:trPr>
          <w:cantSplit/>
          <w:tblHeader/>
        </w:trPr>
        <w:tc>
          <w:tcPr>
            <w:tcW w:type="dxa" w:w="2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المستوى</w:t>
            </w:r>
          </w:p>
        </w:tc>
        <w:tc>
          <w:tcPr>
            <w:tcW w:type="dxa" w:w="3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قاعدة التسمية</w:t>
            </w:r>
          </w:p>
        </w:tc>
        <w:tc>
          <w:tcPr>
            <w:tcW w:type="dxa" w:w="3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أمثلة معتمدة</w:t>
            </w:r>
          </w:p>
        </w:tc>
      </w:tr>
      <w:tr>
        <w:trPr>
          <w:cantSplit/>
        </w:trPr>
        <w:tc>
          <w:tcPr>
            <w:tcW w:type="dxa" w:w="2300"/>
            <w:tcMar>
              <w:top w:type="dxa" w:w="70"/>
              <w:left w:type="dxa" w:w="95"/>
              <w:bottom w:type="dxa" w:w="70"/>
              <w:right w:type="dxa" w:w="95"/>
            </w:tcMar>
            <w:vAlign w:val="center"/>
          </w:tcPr>
          <w:p>
            <w:pPr>
              <w:bidi/>
              <w:spacing w:after="20" w:line="280"/>
              <w:jc w:val="right"/>
            </w:pPr>
            <w:r>
              <w:rPr>
                <w:b/>
                <w:bCs/>
                <w:sz w:val="21"/>
                <w:szCs w:val="21"/>
                <w:rtl/>
              </w:rPr>
              <w:t xml:space="preserve">المجموعة</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اسمٌ مؤسسيٌّ اسميٌّ مستقر يصف نطاق العمل</w:t>
            </w:r>
          </w:p>
        </w:tc>
        <w:tc>
          <w:tcPr>
            <w:tcW w:type="dxa" w:w="39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إدارة العملاء والفرص · العروض والتعاقد · الاستحقاقات والتسويات</w:t>
            </w:r>
          </w:p>
        </w:tc>
      </w:tr>
      <w:tr>
        <w:trPr>
          <w:cantSplit/>
        </w:trPr>
        <w:tc>
          <w:tcPr>
            <w:tcW w:type="dxa" w:w="2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الشاشة أو السجل</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اسم الكيان أو المستند الرسمي</w:t>
            </w:r>
          </w:p>
        </w:tc>
        <w:tc>
          <w:tcPr>
            <w:tcW w:type="dxa" w:w="39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سجل العملاء · سجل عقود المشاريع · سجل الموردين</w:t>
            </w:r>
          </w:p>
        </w:tc>
      </w:tr>
      <w:tr>
        <w:trPr>
          <w:cantSplit/>
        </w:trPr>
        <w:tc>
          <w:tcPr>
            <w:tcW w:type="dxa" w:w="2300"/>
            <w:tcMar>
              <w:top w:type="dxa" w:w="70"/>
              <w:left w:type="dxa" w:w="95"/>
              <w:bottom w:type="dxa" w:w="70"/>
              <w:right w:type="dxa" w:w="95"/>
            </w:tcMar>
            <w:vAlign w:val="center"/>
          </w:tcPr>
          <w:p>
            <w:pPr>
              <w:bidi/>
              <w:spacing w:after="20" w:line="280"/>
              <w:jc w:val="right"/>
            </w:pPr>
            <w:r>
              <w:rPr>
                <w:b/>
                <w:bCs/>
                <w:sz w:val="21"/>
                <w:szCs w:val="21"/>
                <w:rtl/>
              </w:rPr>
              <w:t xml:space="preserve">التبويب</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اسم القسم داخل الكيان الأب</w:t>
            </w:r>
          </w:p>
        </w:tc>
        <w:tc>
          <w:tcPr>
            <w:tcW w:type="dxa" w:w="39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أحكام العقد · بنود العرض · مصفوفة الالتزامات</w:t>
            </w:r>
          </w:p>
        </w:tc>
      </w:tr>
      <w:tr>
        <w:trPr>
          <w:cantSplit/>
        </w:trPr>
        <w:tc>
          <w:tcPr>
            <w:tcW w:type="dxa" w:w="23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الزر والإجراء</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فعلٌ صريحٌ محدَّد الأثر</w:t>
            </w:r>
          </w:p>
        </w:tc>
        <w:tc>
          <w:tcPr>
            <w:tcW w:type="dxa" w:w="39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إنشاء عرض · تحويل إلى عقد · إصدار ملحق</w:t>
            </w:r>
          </w:p>
        </w:tc>
      </w:tr>
      <w:tr>
        <w:trPr>
          <w:cantSplit/>
        </w:trPr>
        <w:tc>
          <w:tcPr>
            <w:tcW w:type="dxa" w:w="2300"/>
            <w:tcMar>
              <w:top w:type="dxa" w:w="70"/>
              <w:left w:type="dxa" w:w="95"/>
              <w:bottom w:type="dxa" w:w="70"/>
              <w:right w:type="dxa" w:w="95"/>
            </w:tcMar>
            <w:vAlign w:val="center"/>
          </w:tcPr>
          <w:p>
            <w:pPr>
              <w:bidi/>
              <w:spacing w:after="20" w:line="280"/>
              <w:jc w:val="right"/>
            </w:pPr>
            <w:r>
              <w:rPr>
                <w:b/>
                <w:bCs/>
                <w:sz w:val="21"/>
                <w:szCs w:val="21"/>
                <w:rtl/>
              </w:rPr>
              <w:t xml:space="preserve">محطة الاختبار</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اسم مصدري رسمي للعملية</w:t>
            </w:r>
          </w:p>
        </w:tc>
        <w:tc>
          <w:tcPr>
            <w:tcW w:type="dxa" w:w="39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إعداد المطالبة والتسليم للمالية</w:t>
            </w:r>
          </w:p>
        </w:tc>
      </w:tr>
    </w:tbl>
    <w:p>
      <w:pPr>
        <w:bidi/>
        <w:spacing w:before="150"/>
        <w:jc w:val="right"/>
      </w:pPr>
      <w:r>
        <w:rPr>
          <w:b w:val="false"/>
          <w:bCs w:val="false"/>
          <w:i w:val="false"/>
          <w:iCs w:val="false"/>
          <w:sz w:val="24"/>
          <w:szCs w:val="24"/>
          <w:rtl/>
        </w:rPr>
        <w:t xml:space="preserve">والصيغ الآتية ممنوعةٌ منعًا باتًّا في التنقّل وأسماء المجموعات والمراحل والشاشات ومحطات الاختبار — وقد أُزيلت من هذه الوثيقة كلها: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9800"/>
      </w:tblGrid>
      <w:tr>
        <w:trPr>
          <w:cantSplit/>
        </w:trPr>
        <w:tc>
          <w:tcPr>
            <w:tcW w:type="dxa" w:w="9800"/>
            <w:shd w:fill="FBF0F0" w:color="auto" w:val="clear"/>
            <w:tcMar>
              <w:top w:type="dxa" w:w="70"/>
              <w:left w:type="dxa" w:w="95"/>
              <w:bottom w:type="dxa" w:w="70"/>
              <w:right w:type="dxa" w:w="95"/>
            </w:tcMar>
            <w:vAlign w:val="center"/>
          </w:tcPr>
          <w:p>
            <w:pPr>
              <w:bidi/>
              <w:spacing w:after="20" w:line="280"/>
              <w:jc w:val="right"/>
            </w:pPr>
            <w:r>
              <w:rPr>
                <w:b w:val="false"/>
                <w:bCs w:val="false"/>
                <w:color w:val="A3151F"/>
                <w:sz w:val="20"/>
                <w:szCs w:val="20"/>
                <w:rtl/>
              </w:rPr>
              <w:t xml:space="preserve">نبدأ من العميل  ·  نبدأ من المورد  ·  نعرض ونتفاوض  ·  نتعاقد ونلتزم  ·  نتابع التنفيذ  ·  نتابع الأداء  ·  نحاسبه ونصرف  ·  نعطيه حصتَه  ·  نتحقق من قدرته  ·  نوقّع عقدَه  ·  نقيّمه أو نُنهي عقدَه  ·  نجدّد أو نُقفل  ·  دعنا نعمل  ·  هيا للعمل</w:t>
            </w:r>
          </w:p>
        </w:tc>
      </w:tr>
    </w:tbl>
    <w:p>
      <w:pPr>
        <w:bidi/>
        <w:spacing w:before="130"/>
        <w:jc w:val="right"/>
      </w:pPr>
      <w:r>
        <w:rPr>
          <w:b w:val="false"/>
          <w:bCs w:val="false"/>
          <w:i w:val="false"/>
          <w:iCs w:val="false"/>
          <w:sz w:val="24"/>
          <w:szCs w:val="24"/>
          <w:rtl/>
        </w:rPr>
        <w:t xml:space="preserve">وسببُ المنع أن هذه المنصة تُعرض على لجان استثمارٍ وحوكمةٍ وجهاتٍ رقابية، وبنيةُ المعلومات فيها وثيقةٌ مؤسسية لا مادةُ تدريبٍ مبسَّطة. وإن أُريد الأسلوب المبسَّط فموضعه جولةٌ إرشاديةٌ أو مادةٌ تدريبيةٌ منفصلة، لا التنقّل.</w:t>
      </w:r>
    </w:p>
    <w:p>
      <w:pPr>
        <w:pStyle w:val="Heading2"/>
        <w:keepNext/>
        <w:bidi/>
        <w:spacing w:after="140" w:before="280"/>
        <w:jc w:val="right"/>
      </w:pPr>
      <w:r>
        <w:rPr>
          <w:b/>
          <w:bCs/>
          <w:rtl/>
        </w:rPr>
        <w:t xml:space="preserve">لماذا بقي هذا كيانًا مستقلًّا</w:t>
      </w:r>
    </w:p>
    <w:p>
      <w:pPr>
        <w:bidi/>
        <w:spacing w:after="130" w:line="330"/>
        <w:jc w:val="right"/>
      </w:pPr>
      <w:r>
        <w:rPr>
          <w:b w:val="false"/>
          <w:bCs w:val="false"/>
          <w:i w:val="false"/>
          <w:iCs w:val="false"/>
          <w:sz w:val="24"/>
          <w:szCs w:val="24"/>
          <w:rtl/>
        </w:rPr>
        <w:t xml:space="preserve">القاعدة: يبقى بندًا في التنقّل ما كان كيانًا رئيسيًّا يُبحث فيه عرضيًّا عبر آباء متعددين، أو مستندًا له سلّم اعتماد مستقل. وما عداه تبويب.</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4700"/>
        <w:gridCol w:w="22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الكيان</w:t>
            </w:r>
          </w:p>
        </w:tc>
        <w:tc>
          <w:tcPr>
            <w:tcW w:type="dxa" w:w="4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سبب بقائه</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المورد</w:t>
            </w:r>
          </w:p>
        </w:tc>
        <w:tc>
          <w:tcPr>
            <w:tcW w:type="dxa" w:w="4700"/>
            <w:tcMar>
              <w:top w:type="dxa" w:w="70"/>
              <w:left w:type="dxa" w:w="95"/>
              <w:bottom w:type="dxa" w:w="70"/>
              <w:right w:type="dxa" w:w="95"/>
            </w:tcMar>
            <w:vAlign w:val="center"/>
          </w:tcPr>
          <w:p>
            <w:pPr>
              <w:bidi/>
              <w:spacing w:after="20" w:line="280"/>
              <w:jc w:val="right"/>
            </w:pPr>
            <w:r>
              <w:rPr>
                <w:b w:val="false"/>
                <w:bCs w:val="false"/>
                <w:sz w:val="20"/>
                <w:szCs w:val="20"/>
                <w:rtl/>
              </w:rPr>
              <w:t xml:space="preserve">يُبحث فيه عرضيًّا من المالية والتشغيل والأسطول</w:t>
            </w:r>
          </w:p>
        </w:tc>
        <w:tc>
          <w:tcPr>
            <w:tcW w:type="dxa" w:w="2200"/>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احتياج التغطية</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يملكه عقد العميل ويُقرأ هنا</w:t>
            </w:r>
          </w:p>
        </w:tc>
        <w:tc>
          <w:tcPr>
            <w:tcW w:type="dxa" w:w="2200"/>
            <w:shd w:fill="F2F6FA" w:color="auto" w:val="clear"/>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إسقاط قراءة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الترشيح</w:t>
            </w:r>
          </w:p>
        </w:tc>
        <w:tc>
          <w:tcPr>
            <w:tcW w:type="dxa" w:w="4700"/>
            <w:tcMar>
              <w:top w:type="dxa" w:w="70"/>
              <w:left w:type="dxa" w:w="95"/>
              <w:bottom w:type="dxa" w:w="70"/>
              <w:right w:type="dxa" w:w="95"/>
            </w:tcMar>
            <w:vAlign w:val="center"/>
          </w:tcPr>
          <w:p>
            <w:pPr>
              <w:bidi/>
              <w:spacing w:after="20" w:line="280"/>
              <w:jc w:val="right"/>
            </w:pPr>
            <w:r>
              <w:rPr>
                <w:b w:val="false"/>
                <w:bCs w:val="false"/>
                <w:sz w:val="20"/>
                <w:szCs w:val="20"/>
                <w:rtl/>
              </w:rPr>
              <w:t xml:space="preserve">له فحوصٌ وسلّم اعتماد قبل التعاقد</w:t>
            </w:r>
          </w:p>
        </w:tc>
        <w:tc>
          <w:tcPr>
            <w:tcW w:type="dxa" w:w="2200"/>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عقد المورد</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موقَّع بسلّم اعتماد وأثر تعاقدي</w:t>
            </w:r>
          </w:p>
        </w:tc>
        <w:tc>
          <w:tcPr>
            <w:tcW w:type="dxa" w:w="2200"/>
            <w:shd w:fill="F2F6FA" w:color="auto" w:val="clear"/>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الحصة</w:t>
            </w:r>
          </w:p>
        </w:tc>
        <w:tc>
          <w:tcPr>
            <w:tcW w:type="dxa" w:w="4700"/>
            <w:tcMar>
              <w:top w:type="dxa" w:w="70"/>
              <w:left w:type="dxa" w:w="95"/>
              <w:bottom w:type="dxa" w:w="70"/>
              <w:right w:type="dxa" w:w="95"/>
            </w:tcMar>
            <w:vAlign w:val="center"/>
          </w:tcPr>
          <w:p>
            <w:pPr>
              <w:bidi/>
              <w:spacing w:after="20" w:line="280"/>
              <w:jc w:val="right"/>
            </w:pPr>
            <w:r>
              <w:rPr>
                <w:b w:val="false"/>
                <w:bCs w:val="false"/>
                <w:sz w:val="20"/>
                <w:szCs w:val="20"/>
                <w:rtl/>
              </w:rPr>
              <w:t xml:space="preserve">وحدة التوزيع التي تُقاس عليها التغطية</w:t>
            </w:r>
          </w:p>
        </w:tc>
        <w:tc>
          <w:tcPr>
            <w:tcW w:type="dxa" w:w="2200"/>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التسوية</w:t>
            </w:r>
          </w:p>
        </w:tc>
        <w:tc>
          <w:tcPr>
            <w:tcW w:type="dxa" w:w="47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بأثر مالي يسبق طلب الدفع</w:t>
            </w:r>
          </w:p>
        </w:tc>
        <w:tc>
          <w:tcPr>
            <w:tcW w:type="dxa" w:w="2200"/>
            <w:shd w:fill="F2F6FA" w:color="auto" w:val="clear"/>
            <w:tcMar>
              <w:top w:type="dxa" w:w="70"/>
              <w:left w:type="dxa" w:w="95"/>
              <w:bottom w:type="dxa" w:w="70"/>
              <w:right w:type="dxa" w:w="95"/>
            </w:tcMar>
            <w:vAlign w:val="center"/>
          </w:tcPr>
          <w:p>
            <w:pPr>
              <w:bidi/>
              <w:spacing w:after="20" w:line="280"/>
              <w:jc w:val="center"/>
            </w:pPr>
            <w:r>
              <w:rPr>
                <w:b w:val="false"/>
                <w:bCs w:val="false"/>
                <w:color w:val="1F3B57"/>
                <w:sz w:val="20"/>
                <w:szCs w:val="20"/>
                <w:rtl/>
              </w:rPr>
              <w:t xml:space="preserve">بند مستقل</w:t>
            </w:r>
          </w:p>
        </w:tc>
      </w:tr>
    </w:tbl>
    <w:p>
      <w:pPr>
        <w:pStyle w:val="Heading2"/>
        <w:keepNext/>
        <w:bidi/>
        <w:spacing w:after="140" w:before="280"/>
        <w:jc w:val="right"/>
      </w:pPr>
      <w:r>
        <w:rPr>
          <w:b/>
          <w:bCs/>
          <w:rtl/>
        </w:rPr>
        <w:t xml:space="preserve">ما لا يجوز دمجه — الحدود المعيارية</w:t>
      </w:r>
    </w:p>
    <w:p>
      <w:pPr>
        <w:bidi/>
        <w:spacing w:after="130" w:line="330"/>
        <w:jc w:val="right"/>
      </w:pPr>
      <w:r>
        <w:rPr>
          <w:b w:val="false"/>
          <w:bCs w:val="false"/>
          <w:i w:val="false"/>
          <w:iCs w:val="false"/>
          <w:sz w:val="24"/>
          <w:szCs w:val="24"/>
          <w:rtl/>
        </w:rPr>
        <w:t xml:space="preserve">الدمج مطلوب، لكن له سقفٌ لا يُتجاوز. وهذه الحالات السبع لا تُدمج مهما بلغت رغبة التبسيط، لأن دمجها يُسقط ضابطًا رقابيًّا لا شاشة: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200"/>
        <w:gridCol w:w="6600"/>
      </w:tblGrid>
      <w:tr>
        <w:trPr>
          <w:cantSplit/>
          <w:tblHeader/>
        </w:trPr>
        <w:tc>
          <w:tcPr>
            <w:tcW w:type="dxa" w:w="3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الحالة</w:t>
            </w:r>
          </w:p>
        </w:tc>
        <w:tc>
          <w:tcPr>
            <w:tcW w:type="dxa" w:w="6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السبب المعياري</w:t>
            </w:r>
          </w:p>
        </w:tc>
      </w:tr>
      <w:tr>
        <w:trPr>
          <w:cantSplit/>
        </w:trPr>
        <w:tc>
          <w:tcPr>
            <w:tcW w:type="dxa" w:w="3200"/>
            <w:tcMar>
              <w:top w:type="dxa" w:w="70"/>
              <w:left w:type="dxa" w:w="95"/>
              <w:bottom w:type="dxa" w:w="70"/>
              <w:right w:type="dxa" w:w="95"/>
            </w:tcMar>
            <w:vAlign w:val="center"/>
          </w:tcPr>
          <w:p>
            <w:pPr>
              <w:bidi/>
              <w:spacing w:after="20" w:line="280"/>
              <w:jc w:val="right"/>
            </w:pPr>
            <w:r>
              <w:rPr>
                <w:b/>
                <w:bCs/>
                <w:sz w:val="21"/>
                <w:szCs w:val="21"/>
                <w:rtl/>
              </w:rPr>
              <w:t xml:space="preserve">مستندٌ له سلّم اعتماد مستقل</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العقد والمطالبة والتسوية وطلب الدفع — لكلٍّ منها منشئ ومراجع ومعتمِد وتاريخ اعتماد، ودمجها يُسقط سلّمها.</w:t>
            </w:r>
          </w:p>
        </w:tc>
      </w:tr>
      <w:tr>
        <w:trPr>
          <w:cantSplit/>
        </w:trPr>
        <w:tc>
          <w:tcPr>
            <w:tcW w:type="dxa" w:w="3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مستندٌ له توقيع قانوني أو أثر تعاقدي</w:t>
            </w:r>
          </w:p>
        </w:tc>
        <w:tc>
          <w:tcPr>
            <w:tcW w:type="dxa" w:w="6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ما يُوقَّع أو يُحتجّ به أمام الغير يبقى كيانًا مستقلًّا بمعرّفه وتاريخه ونسخته.</w:t>
            </w:r>
          </w:p>
        </w:tc>
      </w:tr>
      <w:tr>
        <w:trPr>
          <w:cantSplit/>
        </w:trPr>
        <w:tc>
          <w:tcPr>
            <w:tcW w:type="dxa" w:w="3200"/>
            <w:tcMar>
              <w:top w:type="dxa" w:w="70"/>
              <w:left w:type="dxa" w:w="95"/>
              <w:bottom w:type="dxa" w:w="70"/>
              <w:right w:type="dxa" w:w="95"/>
            </w:tcMar>
            <w:vAlign w:val="center"/>
          </w:tcPr>
          <w:p>
            <w:pPr>
              <w:bidi/>
              <w:spacing w:after="20" w:line="280"/>
              <w:jc w:val="right"/>
            </w:pPr>
            <w:r>
              <w:rPr>
                <w:b/>
                <w:bCs/>
                <w:sz w:val="21"/>
                <w:szCs w:val="21"/>
                <w:rtl/>
              </w:rPr>
              <w:t xml:space="preserve">مستندٌ ينشئ أثرًا ماليًّا</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لا يُدمج سطحٌ ينشئ التزامًا أو استحقاقًا مع سطحٍ يعتمده — لأن الدمج يجمع المنشئ والمعتمِد في يدٍ واحدة.</w:t>
            </w:r>
          </w:p>
        </w:tc>
      </w:tr>
      <w:tr>
        <w:trPr>
          <w:cantSplit/>
        </w:trPr>
        <w:tc>
          <w:tcPr>
            <w:tcW w:type="dxa" w:w="3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سجلٌّ يملكه نطاق آخر</w:t>
            </w:r>
          </w:p>
        </w:tc>
        <w:tc>
          <w:tcPr>
            <w:tcW w:type="dxa" w:w="6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ما تملكه إدارة أخرى يُعرض إسقاطَ قراءةٍ موسومًا بمالكه — لا تبويبًا داخل ملفنا.</w:t>
            </w:r>
          </w:p>
        </w:tc>
      </w:tr>
      <w:tr>
        <w:trPr>
          <w:cantSplit/>
        </w:trPr>
        <w:tc>
          <w:tcPr>
            <w:tcW w:type="dxa" w:w="3200"/>
            <w:tcMar>
              <w:top w:type="dxa" w:w="70"/>
              <w:left w:type="dxa" w:w="95"/>
              <w:bottom w:type="dxa" w:w="70"/>
              <w:right w:type="dxa" w:w="95"/>
            </w:tcMar>
            <w:vAlign w:val="center"/>
          </w:tcPr>
          <w:p>
            <w:pPr>
              <w:bidi/>
              <w:spacing w:after="20" w:line="280"/>
              <w:jc w:val="right"/>
            </w:pPr>
            <w:r>
              <w:rPr>
                <w:b/>
                <w:bCs/>
                <w:sz w:val="21"/>
                <w:szCs w:val="21"/>
                <w:rtl/>
              </w:rPr>
              <w:t xml:space="preserve">سجلٌّ يُبحث فيه عرضيًّا</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ما يُبحث فيه عبر آباء متعددين — كالعملاء والمشاريع والعقود — يبقى بندًا في التنقّل حتى لو كان له أب.</w:t>
            </w:r>
          </w:p>
        </w:tc>
      </w:tr>
      <w:tr>
        <w:trPr>
          <w:cantSplit/>
        </w:trPr>
        <w:tc>
          <w:tcPr>
            <w:tcW w:type="dxa" w:w="32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بياناتٌ مرجعية مشتركة</w:t>
            </w:r>
          </w:p>
        </w:tc>
        <w:tc>
          <w:tcPr>
            <w:tcW w:type="dxa" w:w="6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القوائم ووحدات القياس ونماذج العمل بيتها واحد مرجعي تقرأ منه الإدارات كلها.</w:t>
            </w:r>
          </w:p>
        </w:tc>
      </w:tr>
      <w:tr>
        <w:trPr>
          <w:cantSplit/>
        </w:trPr>
        <w:tc>
          <w:tcPr>
            <w:tcW w:type="dxa" w:w="3200"/>
            <w:tcMar>
              <w:top w:type="dxa" w:w="70"/>
              <w:left w:type="dxa" w:w="95"/>
              <w:bottom w:type="dxa" w:w="70"/>
              <w:right w:type="dxa" w:w="95"/>
            </w:tcMar>
            <w:vAlign w:val="center"/>
          </w:tcPr>
          <w:p>
            <w:pPr>
              <w:bidi/>
              <w:spacing w:after="20" w:line="280"/>
              <w:jc w:val="right"/>
            </w:pPr>
            <w:r>
              <w:rPr>
                <w:b/>
                <w:bCs/>
                <w:sz w:val="21"/>
                <w:szCs w:val="21"/>
                <w:rtl/>
              </w:rPr>
              <w:t xml:space="preserve">أثرٌ تدقيقي</w:t>
            </w:r>
          </w:p>
        </w:tc>
        <w:tc>
          <w:tcPr>
            <w:tcW w:type="dxa" w:w="6600"/>
            <w:tcMar>
              <w:top w:type="dxa" w:w="70"/>
              <w:left w:type="dxa" w:w="95"/>
              <w:bottom w:type="dxa" w:w="70"/>
              <w:right w:type="dxa" w:w="95"/>
            </w:tcMar>
            <w:vAlign w:val="center"/>
          </w:tcPr>
          <w:p>
            <w:pPr>
              <w:bidi/>
              <w:spacing w:after="20" w:line="280"/>
              <w:jc w:val="right"/>
            </w:pPr>
            <w:r>
              <w:rPr>
                <w:b w:val="false"/>
                <w:bCs w:val="false"/>
                <w:sz w:val="20"/>
                <w:szCs w:val="20"/>
                <w:rtl/>
              </w:rPr>
              <w:t xml:space="preserve">سجلات التتبع والاطّلاع لا تُدمج في شاشات العمل ولا تظهر في التنقّل.</w:t>
            </w:r>
          </w:p>
        </w:tc>
      </w:tr>
    </w:tbl>
    <w:p>
      <w:pPr>
        <w:pStyle w:val="Heading1"/>
        <w:keepNext/>
        <w:bidi/>
        <w:spacing w:after="180" w:before="360"/>
        <w:jc w:val="right"/>
      </w:pPr>
      <w:r>
        <w:rPr>
          <w:b/>
          <w:bCs/>
          <w:rtl/>
        </w:rPr>
        <w:t xml:space="preserve">عقد التعبئة التلقائية — لا يُترك فارغًا إلا الجديد</w:t>
      </w:r>
    </w:p>
    <w:p>
      <w:pPr>
        <w:bidi/>
        <w:spacing w:after="130" w:line="330"/>
        <w:jc w:val="right"/>
      </w:pPr>
      <w:r>
        <w:rPr>
          <w:b w:val="false"/>
          <w:bCs w:val="false"/>
          <w:i w:val="false"/>
          <w:iCs w:val="false"/>
          <w:sz w:val="24"/>
          <w:szCs w:val="24"/>
          <w:rtl/>
        </w:rPr>
        <w:t xml:space="preserve">الدمج وحده لا يكفي: المطلوب ألّا يُعيد الموظف إدخال ما أُدخل قبله. والمرجع الحاكم نفسه يثبت أن هذا ممكن بالأرقام — فأغلب خلاياه ليست إدخالًا يدويًّا أصلًا: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4900"/>
        <w:gridCol w:w="4900"/>
      </w:tblGrid>
      <w:tr>
        <w:trPr>
          <w:cantSplit/>
          <w:tblHeader/>
        </w:trPr>
        <w:tc>
          <w:tcPr>
            <w:tcW w:type="dxa" w:w="4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المقياس</w:t>
            </w:r>
          </w:p>
        </w:tc>
        <w:tc>
          <w:tcPr>
            <w:tcW w:type="dxa" w:w="4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القيمة</w:t>
            </w:r>
          </w:p>
        </w:tc>
      </w:tr>
      <w:tr>
        <w:trPr>
          <w:cantSplit/>
        </w:trPr>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حقول يملكها المورد نفسه</w:t>
            </w:r>
          </w:p>
        </w:tc>
        <w:tc>
          <w:tcPr>
            <w:tcW w:type="dxa" w:w="4900"/>
            <w:tcMar>
              <w:top w:type="dxa" w:w="70"/>
              <w:left w:type="dxa" w:w="95"/>
              <w:bottom w:type="dxa" w:w="70"/>
              <w:right w:type="dxa" w:w="95"/>
            </w:tcMar>
            <w:vAlign w:val="center"/>
          </w:tcPr>
          <w:p>
            <w:pPr>
              <w:bidi w:val="false"/>
              <w:spacing w:after="20" w:line="280"/>
              <w:jc w:val="center"/>
            </w:pPr>
            <w:r>
              <w:rPr>
                <w:b/>
                <w:bCs/>
                <w:color w:val="1F3B57"/>
                <w:sz w:val="22"/>
                <w:szCs w:val="22"/>
                <w:rtl/>
              </w:rPr>
              <w:t xml:space="preserve">375 من 429</w:t>
            </w:r>
          </w:p>
        </w:tc>
      </w:tr>
      <w:tr>
        <w:trPr>
          <w:cantSplit/>
        </w:trPr>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حقول قراءة من المبيعات</w:t>
            </w:r>
          </w:p>
        </w:tc>
        <w:tc>
          <w:tcPr>
            <w:tcW w:type="dxa" w:w="4900"/>
            <w:shd w:fill="F2F6FA" w:color="auto" w:val="clear"/>
            <w:tcMar>
              <w:top w:type="dxa" w:w="70"/>
              <w:left w:type="dxa" w:w="95"/>
              <w:bottom w:type="dxa" w:w="70"/>
              <w:right w:type="dxa" w:w="95"/>
            </w:tcMar>
            <w:vAlign w:val="center"/>
          </w:tcPr>
          <w:p>
            <w:pPr>
              <w:bidi w:val="false"/>
              <w:spacing w:after="20" w:line="280"/>
              <w:jc w:val="center"/>
            </w:pPr>
            <w:r>
              <w:rPr>
                <w:b/>
                <w:bCs/>
                <w:color w:val="1F3B57"/>
                <w:sz w:val="22"/>
                <w:szCs w:val="22"/>
                <w:rtl/>
              </w:rPr>
              <w:t xml:space="preserve">32</w:t>
            </w:r>
          </w:p>
        </w:tc>
      </w:tr>
      <w:tr>
        <w:trPr>
          <w:cantSplit/>
        </w:trPr>
        <w:tc>
          <w:tcPr>
            <w:tcW w:type="dxa" w:w="4900"/>
            <w:tcMar>
              <w:top w:type="dxa" w:w="70"/>
              <w:left w:type="dxa" w:w="95"/>
              <w:bottom w:type="dxa" w:w="70"/>
              <w:right w:type="dxa" w:w="95"/>
            </w:tcMar>
            <w:vAlign w:val="center"/>
          </w:tcPr>
          <w:p>
            <w:pPr>
              <w:bidi/>
              <w:spacing w:after="20" w:line="280"/>
              <w:jc w:val="right"/>
            </w:pPr>
            <w:r>
              <w:rPr>
                <w:b w:val="false"/>
                <w:bCs w:val="false"/>
                <w:sz w:val="21"/>
                <w:szCs w:val="21"/>
                <w:rtl/>
              </w:rPr>
              <w:t xml:space="preserve">حقول مشتقة لا تُدخل</w:t>
            </w:r>
          </w:p>
        </w:tc>
        <w:tc>
          <w:tcPr>
            <w:tcW w:type="dxa" w:w="4900"/>
            <w:tcMar>
              <w:top w:type="dxa" w:w="70"/>
              <w:left w:type="dxa" w:w="95"/>
              <w:bottom w:type="dxa" w:w="70"/>
              <w:right w:type="dxa" w:w="95"/>
            </w:tcMar>
            <w:vAlign w:val="center"/>
          </w:tcPr>
          <w:p>
            <w:pPr>
              <w:bidi w:val="false"/>
              <w:spacing w:after="20" w:line="280"/>
              <w:jc w:val="center"/>
            </w:pPr>
            <w:r>
              <w:rPr>
                <w:b/>
                <w:bCs/>
                <w:color w:val="1F3B57"/>
                <w:sz w:val="22"/>
                <w:szCs w:val="22"/>
                <w:rtl/>
              </w:rPr>
              <w:t xml:space="preserve">22</w:t>
            </w:r>
          </w:p>
        </w:tc>
      </w:tr>
      <w:tr>
        <w:trPr>
          <w:cantSplit/>
        </w:trPr>
        <w:tc>
          <w:tcPr>
            <w:tcW w:type="dxa" w:w="4900"/>
            <w:shd w:fill="F2F6FA" w:color="auto" w:val="clear"/>
            <w:tcMar>
              <w:top w:type="dxa" w:w="70"/>
              <w:left w:type="dxa" w:w="95"/>
              <w:bottom w:type="dxa" w:w="70"/>
              <w:right w:type="dxa" w:w="95"/>
            </w:tcMar>
            <w:vAlign w:val="center"/>
          </w:tcPr>
          <w:p>
            <w:pPr>
              <w:bidi/>
              <w:spacing w:after="20" w:line="280"/>
              <w:jc w:val="right"/>
            </w:pPr>
            <w:r>
              <w:rPr>
                <w:b w:val="false"/>
                <w:bCs w:val="false"/>
                <w:sz w:val="21"/>
                <w:szCs w:val="21"/>
                <w:rtl/>
              </w:rPr>
              <w:t xml:space="preserve">أعمدة قرارها مشتق في خريطة الترحيل</w:t>
            </w:r>
          </w:p>
        </w:tc>
        <w:tc>
          <w:tcPr>
            <w:tcW w:type="dxa" w:w="4900"/>
            <w:shd w:fill="F2F6FA" w:color="auto" w:val="clear"/>
            <w:tcMar>
              <w:top w:type="dxa" w:w="70"/>
              <w:left w:type="dxa" w:w="95"/>
              <w:bottom w:type="dxa" w:w="70"/>
              <w:right w:type="dxa" w:w="95"/>
            </w:tcMar>
            <w:vAlign w:val="center"/>
          </w:tcPr>
          <w:p>
            <w:pPr>
              <w:bidi w:val="false"/>
              <w:spacing w:after="20" w:line="280"/>
              <w:jc w:val="center"/>
            </w:pPr>
            <w:r>
              <w:rPr>
                <w:b/>
                <w:bCs/>
                <w:color w:val="1F3B57"/>
                <w:sz w:val="22"/>
                <w:szCs w:val="22"/>
                <w:rtl/>
              </w:rPr>
              <w:t xml:space="preserve">166 من 587</w:t>
            </w:r>
          </w:p>
        </w:tc>
      </w:tr>
    </w:tbl>
    <w:p>
      <w:pPr>
        <w:bidi/>
        <w:spacing w:before="130"/>
        <w:jc w:val="right"/>
      </w:pPr>
      <w:r>
        <w:rPr>
          <w:b w:val="false"/>
          <w:bCs w:val="false"/>
          <w:i w:val="false"/>
          <w:iCs w:val="false"/>
          <w:sz w:val="24"/>
          <w:szCs w:val="24"/>
          <w:rtl/>
        </w:rPr>
        <w:t xml:space="preserve">أي أن الأصل في الحقل أن يُملأ آليًّا، والاستثناء أن يُكتب يدويًّا. وهذه قواعد الإنفاذ السبع:</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69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6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إنفاذها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الوراثة من الأب</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كل حقل موجود في الكيان الأب يُملأ تلقائيًّا في التابع، ويُعرض للقراءة فقط مع بيان مصدره — ولا يُعاد إدخاله.</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الإنشاء بالإسناد</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زر «إنشاء من هذا السجل» ينقل السياق كاملًا إلى المستند التالي: العميل والمشروع والعقد والعملة والشروط — فلا يبدأ الموظف من صفحة فارغة.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الاختيار من السجل</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كل حقل مصدره سجل أمٌّ يُختار من قائمة لا يُكتب حرًّا — فيمتنع الخطأ الإملائي وتَثبت المفاتيح.</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الحساب في الخدمة</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كل قيمة محسوبة تُحسب في طبقة الخدمة وتُعرض ولا تُدخل — ولا معادلة في الشاشة.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الإسقاط الموسوم</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كل قيمة يملكها نطاق آخر تُعرض بوسم مالكها وزمن قراءتها — ولا تُخزَّن نسخةٌ ثانية منها.</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القيم الافتراضية</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ما له قيمة غالبة في العقد أو المورد يُقترح افتراضًا قابلًا للتعديل بصلاحية — لا يُترك فارغًا.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الفراغ الوحيد المسموح</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لا يبقى فارغًا إلا الحقل الذي يحمل معلومةً جديدة فعلًا لم تُدخل في أي موضع قبله.</w:t>
            </w:r>
          </w:p>
        </w:tc>
      </w:tr>
    </w:tbl>
    <w:p>
      <w:pPr>
        <w:pStyle w:val="Heading2"/>
        <w:keepNext/>
        <w:bidi/>
        <w:spacing w:after="140" w:before="280"/>
        <w:jc w:val="right"/>
      </w:pPr>
      <w:r>
        <w:rPr>
          <w:b/>
          <w:bCs/>
          <w:rtl/>
        </w:rPr>
        <w:t xml:space="preserve">أزرار الإنشاء بالإسناد وبواباتها</w:t>
      </w:r>
    </w:p>
    <w:p>
      <w:pPr>
        <w:bidi/>
        <w:spacing w:after="130" w:line="330"/>
        <w:jc w:val="right"/>
      </w:pPr>
      <w:r>
        <w:rPr>
          <w:b w:val="false"/>
          <w:bCs w:val="false"/>
          <w:i w:val="false"/>
          <w:iCs w:val="false"/>
          <w:sz w:val="24"/>
          <w:szCs w:val="24"/>
          <w:rtl/>
        </w:rPr>
        <w:t xml:space="preserve">هذه هي الآلية التي تحوّل الشاشات المدمجة إلى دورةٍ متصلة: زرٌّ في السجل الأب ينشئ المستند التالي ويحمل إليه سياقه كاملًا. لكنّ الزر لا يُتاح لمجرد وجود الأب — فلكلٍّ منه شرطُ إتاحةٍ يمنع القفز على مرحلةٍ إلزامية في الدورة المستندية.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3300"/>
        <w:gridCol w:w="40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الموضع والزر</w:t>
            </w:r>
          </w:p>
        </w:tc>
        <w:tc>
          <w:tcPr>
            <w:tcW w:type="dxa" w:w="3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يرثه</w:t>
            </w:r>
          </w:p>
        </w:tc>
        <w:tc>
          <w:tcPr>
            <w:tcW w:type="dxa" w:w="4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شرط الإتاحة</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ملف العميل</w:t>
            </w:r>
          </w:p>
          <w:p>
            <w:pPr>
              <w:bidi/>
              <w:spacing w:after="20" w:line="280"/>
              <w:jc w:val="right"/>
            </w:pPr>
            <w:r>
              <w:rPr>
                <w:b/>
                <w:bCs/>
                <w:color w:val="1F3B57"/>
                <w:sz w:val="20"/>
                <w:szCs w:val="20"/>
                <w:rtl/>
              </w:rPr>
              <w:t xml:space="preserve">إنشاء مشروع</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العميل · القطاع · العملة · شروط الدفع</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العميل نشطٌ وغير محظورٍ ائتمانيًّا</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ملف العميل</w:t>
            </w:r>
          </w:p>
          <w:p>
            <w:pPr>
              <w:bidi/>
              <w:spacing w:after="20" w:line="280"/>
              <w:jc w:val="right"/>
            </w:pPr>
            <w:r>
              <w:rPr>
                <w:b/>
                <w:bCs/>
                <w:color w:val="1F3B57"/>
                <w:sz w:val="20"/>
                <w:szCs w:val="20"/>
                <w:rtl/>
              </w:rPr>
              <w:t xml:space="preserve">إنشاء فرصة</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العميل · المشروع · جهة الاتصال</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العميل نشط وله مشروعٌ أو مبادرةٌ تجارية</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ملف العميل</w:t>
            </w:r>
          </w:p>
          <w:p>
            <w:pPr>
              <w:bidi/>
              <w:spacing w:after="20" w:line="280"/>
              <w:jc w:val="right"/>
            </w:pPr>
            <w:r>
              <w:rPr>
                <w:b/>
                <w:bCs/>
                <w:color w:val="A3151F"/>
                <w:sz w:val="20"/>
                <w:szCs w:val="20"/>
                <w:rtl/>
              </w:rPr>
              <w:t xml:space="preserve">عرض عقود العميل — قراءة لا إنشاء</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لا يُنشأ عقدٌ من ملف العميل بحال</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الفرصة</w:t>
            </w:r>
          </w:p>
          <w:p>
            <w:pPr>
              <w:bidi/>
              <w:spacing w:after="20" w:line="280"/>
              <w:jc w:val="right"/>
            </w:pPr>
            <w:r>
              <w:rPr>
                <w:b/>
                <w:bCs/>
                <w:color w:val="1F3B57"/>
                <w:sz w:val="20"/>
                <w:szCs w:val="20"/>
                <w:rtl/>
              </w:rPr>
              <w:t xml:space="preserve">تسجيل نشاط أو متابعة</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الفرصة · العميل · المشروع</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الفرصة مفتوحة</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الفرصة</w:t>
            </w:r>
          </w:p>
          <w:p>
            <w:pPr>
              <w:bidi/>
              <w:spacing w:after="20" w:line="280"/>
              <w:jc w:val="right"/>
            </w:pPr>
            <w:r>
              <w:rPr>
                <w:b/>
                <w:bCs/>
                <w:color w:val="1F3B57"/>
                <w:sz w:val="20"/>
                <w:szCs w:val="20"/>
                <w:rtl/>
              </w:rPr>
              <w:t xml:space="preserve">تسجيل احتياج وطلب عرض</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نموذج العمل · نوع الخدمة · الكمية · المدة</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الفرصة مفتوحة ولها مسؤولٌ مسنَد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الفرصة</w:t>
            </w:r>
          </w:p>
          <w:p>
            <w:pPr>
              <w:bidi/>
              <w:spacing w:after="20" w:line="280"/>
              <w:jc w:val="right"/>
            </w:pPr>
            <w:r>
              <w:rPr>
                <w:b/>
                <w:bCs/>
                <w:color w:val="1F3B57"/>
                <w:sz w:val="20"/>
                <w:szCs w:val="20"/>
                <w:rtl/>
              </w:rPr>
              <w:t xml:space="preserve">إصدار عرض</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الاحتياج · الكمية · الوحدة · نموذج العمل</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وجود احتياجٍ مسجَّلٍ للفرصة</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العرض</w:t>
            </w:r>
          </w:p>
          <w:p>
            <w:pPr>
              <w:bidi/>
              <w:spacing w:after="20" w:line="280"/>
              <w:jc w:val="right"/>
            </w:pPr>
            <w:r>
              <w:rPr>
                <w:b/>
                <w:bCs/>
                <w:color w:val="1F3B57"/>
                <w:sz w:val="20"/>
                <w:szCs w:val="20"/>
                <w:rtl/>
              </w:rPr>
              <w:t xml:space="preserve">إضافة بند · تسجيل واقعة تفاوض</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رأس العرض · العملة · السريان</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العرض في نسخةٍ قابلةٍ للتعديل</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العرض</w:t>
            </w:r>
          </w:p>
          <w:p>
            <w:pPr>
              <w:bidi/>
              <w:spacing w:after="20" w:line="280"/>
              <w:jc w:val="right"/>
            </w:pPr>
            <w:r>
              <w:rPr>
                <w:b/>
                <w:bCs/>
                <w:color w:val="1F3B57"/>
                <w:sz w:val="20"/>
                <w:szCs w:val="20"/>
                <w:rtl/>
              </w:rPr>
              <w:t xml:space="preserve">فتح مراجعة ما قبل التعاقد</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بنود العرض النهائية · الشروط</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العرض مُرسَلٌ وقرار العميل مسجَّل</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العرض</w:t>
            </w:r>
          </w:p>
          <w:p>
            <w:pPr>
              <w:bidi/>
              <w:spacing w:after="20" w:line="280"/>
              <w:jc w:val="right"/>
            </w:pPr>
            <w:r>
              <w:rPr>
                <w:b/>
                <w:bCs/>
                <w:color w:val="1F3B57"/>
                <w:sz w:val="20"/>
                <w:szCs w:val="20"/>
                <w:rtl/>
              </w:rPr>
              <w:t xml:space="preserve">تحويل إلى عقد</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البنود · الأسعار · الشروط · مدة السريان</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النسخة نافذة · قبول العميل مسجَّل · مراجعة ما قبل التعاقد مكتملة · الاعتمادات تامة · لا مانع تعاقدي</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العقد</w:t>
            </w:r>
          </w:p>
          <w:p>
            <w:pPr>
              <w:bidi/>
              <w:spacing w:after="20" w:line="280"/>
              <w:jc w:val="right"/>
            </w:pPr>
            <w:r>
              <w:rPr>
                <w:b/>
                <w:bCs/>
                <w:color w:val="1F3B57"/>
                <w:sz w:val="20"/>
                <w:szCs w:val="20"/>
                <w:rtl/>
              </w:rPr>
              <w:t xml:space="preserve">تثبيت خط الأساس · توليد التغطية · إصدار ملحق</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كود العقد · البنود · الوحدة · المستهدف</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العقد موقَّعٌ ونافذ</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العقد</w:t>
            </w:r>
          </w:p>
          <w:p>
            <w:pPr>
              <w:bidi/>
              <w:spacing w:after="20" w:line="280"/>
              <w:jc w:val="right"/>
            </w:pPr>
            <w:r>
              <w:rPr>
                <w:b/>
                <w:bCs/>
                <w:color w:val="A3151F"/>
                <w:sz w:val="20"/>
                <w:szCs w:val="20"/>
                <w:rtl/>
              </w:rPr>
              <w:t xml:space="preserve">عرض المطالبات — قراءة لا إنشاء</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لا تُنشأ مطالبةٌ من رأس العقد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الأداء المعتمد</w:t>
            </w:r>
          </w:p>
          <w:p>
            <w:pPr>
              <w:bidi/>
              <w:spacing w:after="20" w:line="280"/>
              <w:jc w:val="right"/>
            </w:pPr>
            <w:r>
              <w:rPr>
                <w:b/>
                <w:bCs/>
                <w:color w:val="1F3B57"/>
                <w:sz w:val="20"/>
                <w:szCs w:val="20"/>
                <w:rtl/>
              </w:rPr>
              <w:t xml:space="preserve">إنشاء مطالبة</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الفترة · الكمية المعتمدة · الوحدة · مرجع القياس</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فترةٌ مقفلةٌ باعتماد الوحدات · ولا مطالبةَ سابقةً لها</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احتياج التغطية</w:t>
            </w:r>
          </w:p>
          <w:p>
            <w:pPr>
              <w:bidi/>
              <w:spacing w:after="20" w:line="280"/>
              <w:jc w:val="right"/>
            </w:pPr>
            <w:r>
              <w:rPr>
                <w:b/>
                <w:bCs/>
                <w:color w:val="1F3B57"/>
                <w:sz w:val="20"/>
                <w:szCs w:val="20"/>
                <w:rtl/>
              </w:rPr>
              <w:t xml:space="preserve">بدء ترشيح مورد · إنشاء طلب عرض</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العقد · التغطية · النوع · الوحدة · المستهدف</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وجود فجوة تغطيةٍ موجبةٍ في الاحتياج</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الترشيح المعتمد</w:t>
            </w:r>
          </w:p>
          <w:p>
            <w:pPr>
              <w:bidi/>
              <w:spacing w:after="20" w:line="280"/>
              <w:jc w:val="right"/>
            </w:pPr>
            <w:r>
              <w:rPr>
                <w:b/>
                <w:bCs/>
                <w:color w:val="1F3B57"/>
                <w:sz w:val="20"/>
                <w:szCs w:val="20"/>
                <w:rtl/>
              </w:rPr>
              <w:t xml:space="preserve">إنشاء عقد مورد</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المورد · السعر المعروض · الاحتياج · المدة</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فحوص التأهيل والحساب البنكي والسقف والهامش ناجحة · مراجعة ما قبل التعاقد مكتملة · الاعتماد صادر</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عقد المورد</w:t>
            </w:r>
          </w:p>
          <w:p>
            <w:pPr>
              <w:bidi/>
              <w:spacing w:after="20" w:line="280"/>
              <w:jc w:val="right"/>
            </w:pPr>
            <w:r>
              <w:rPr>
                <w:b/>
                <w:bCs/>
                <w:color w:val="1F3B57"/>
                <w:sz w:val="20"/>
                <w:szCs w:val="20"/>
                <w:rtl/>
              </w:rPr>
              <w:t xml:space="preserve">إضافة بند · إنشاء حصة · إصدار ملحق</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المورد · العقد · النوع · السعر · السريان</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العقد نافذ — ولا يُسنَد معدةٌ من رأس العقد</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الحصة والوحدة التعاقدية</w:t>
            </w:r>
          </w:p>
          <w:p>
            <w:pPr>
              <w:bidi/>
              <w:spacing w:after="20" w:line="280"/>
              <w:jc w:val="right"/>
            </w:pPr>
            <w:r>
              <w:rPr>
                <w:b/>
                <w:bCs/>
                <w:color w:val="1F3B57"/>
                <w:sz w:val="20"/>
                <w:szCs w:val="20"/>
                <w:rtl/>
              </w:rPr>
              <w:t xml:space="preserve">إسناد معدة أساسية أو احتياطية · تسجيل إحلال</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الوحدة · التغطية · الموقع · المستهدف الشهري</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المعدة متحققةُ الصفة وجاهزة — والإسناد لا يرفع الحصة ولا المستهدف</w:t>
            </w:r>
          </w:p>
        </w:tc>
      </w:tr>
      <w:tr>
        <w:trPr>
          <w:cantSplit/>
        </w:trPr>
        <w:tc>
          <w:tcPr>
            <w:tcW w:type="dxa" w:w="2500"/>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الوحدات المعتمدة</w:t>
            </w:r>
          </w:p>
          <w:p>
            <w:pPr>
              <w:bidi/>
              <w:spacing w:after="20" w:line="280"/>
              <w:jc w:val="right"/>
            </w:pPr>
            <w:r>
              <w:rPr>
                <w:b/>
                <w:bCs/>
                <w:color w:val="1F3B57"/>
                <w:sz w:val="20"/>
                <w:szCs w:val="20"/>
                <w:rtl/>
              </w:rPr>
              <w:t xml:space="preserve">توليد استحقاق · فتح إقفال شهري</w:t>
            </w:r>
          </w:p>
        </w:tc>
        <w:tc>
          <w:tcPr>
            <w:tcW w:type="dxa" w:w="33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المورد · العقد · الشهر · الوحدات · السعر المطبق</w:t>
            </w:r>
          </w:p>
        </w:tc>
        <w:tc>
          <w:tcPr>
            <w:tcW w:type="dxa" w:w="4000"/>
            <w:tcMar>
              <w:top w:type="dxa" w:w="70"/>
              <w:left w:type="dxa" w:w="95"/>
              <w:bottom w:type="dxa" w:w="70"/>
              <w:right w:type="dxa" w:w="95"/>
            </w:tcMar>
            <w:vAlign w:val="center"/>
          </w:tcPr>
          <w:p>
            <w:pPr>
              <w:bidi/>
              <w:spacing w:after="20" w:line="280"/>
              <w:jc w:val="right"/>
            </w:pPr>
            <w:r>
              <w:rPr>
                <w:b w:val="false"/>
                <w:bCs w:val="false"/>
                <w:sz w:val="19"/>
                <w:szCs w:val="19"/>
                <w:rtl/>
              </w:rPr>
              <w:t xml:space="preserve">اعتماد الوحدات تامٌّ للشهر</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5A6B7B"/>
                <w:sz w:val="18"/>
                <w:szCs w:val="18"/>
                <w:rtl/>
              </w:rPr>
              <w:t xml:space="preserve">التسوية</w:t>
            </w:r>
          </w:p>
          <w:p>
            <w:pPr>
              <w:bidi/>
              <w:spacing w:after="20" w:line="280"/>
              <w:jc w:val="right"/>
            </w:pPr>
            <w:r>
              <w:rPr>
                <w:b/>
                <w:bCs/>
                <w:color w:val="1F3B57"/>
                <w:sz w:val="20"/>
                <w:szCs w:val="20"/>
                <w:rtl/>
              </w:rPr>
              <w:t xml:space="preserve">إنشاء طلب دفع</w:t>
            </w:r>
          </w:p>
        </w:tc>
        <w:tc>
          <w:tcPr>
            <w:tcW w:type="dxa" w:w="33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صافي المستحق · العملة · الحساب البنكي · مرجع الإقفال</w:t>
            </w:r>
          </w:p>
        </w:tc>
        <w:tc>
          <w:tcPr>
            <w:tcW w:type="dxa" w:w="40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الإقفال معتمَد · الحساب البنكي متحقق · لا تجاوزَ لصافي الشهر</w:t>
            </w:r>
          </w:p>
        </w:tc>
      </w:tr>
    </w:tbl>
    <w:p>
      <w:pPr>
        <w:pStyle w:val="Heading2"/>
        <w:keepNext/>
        <w:bidi/>
        <w:spacing w:after="140" w:before="280"/>
        <w:jc w:val="right"/>
      </w:pPr>
      <w:r>
        <w:rPr>
          <w:b/>
          <w:bCs/>
          <w:rtl/>
        </w:rPr>
        <w:t xml:space="preserve">القاعدة العامة — لا إنشاء بمجرد وجود الأب</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72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7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وجود الأب لا يكفي</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ظهورُ زر الإنشاء لا يُبنى على وجود السجل الأب، بل على قراءة الحالة الراهنة من آلة الحالة ومحرك الاعتماد معًا.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المعادلة الملزمة</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إتاحة إنشاء المستند التالي = سياق الأب + انتقال حالةٍ مسموح + الاعتمادات المطلوبة + المستند المصدري اللازم.</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سلوك الزر عند التخلف</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لا يظهر الزر أصلًا، أو يظهر معطَّلًا مع سببٍ رسميٍّ مكتوب يبيّن الشرط الناقص — ولا يظهر فعّالًا ثم يفشل بعد الضغط.</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الإنفاذ في الخادم</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الشرط نفسه يُفحص في طبقة الخدمة قبل الكتابة، لا في الواجهة وحدها — فالواجهة تُخفي والخادم يمنع.</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أثر المحاولة</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كل محاولة إنشاءٍ مرفوضة تُسجَّل بسببها في سجل الأثر، فيُقاس تكرار محاولات التجاوز.</w:t>
            </w:r>
          </w:p>
        </w:tc>
      </w:tr>
    </w:tbl>
    <w:p>
      <w:pPr>
        <w:bidi/>
        <w:spacing w:before="130"/>
        <w:jc w:val="right"/>
      </w:pPr>
      <w:r>
        <w:rPr>
          <w:b/>
          <w:bCs/>
          <w:i w:val="false"/>
          <w:iCs w:val="false"/>
          <w:sz w:val="24"/>
          <w:szCs w:val="24"/>
          <w:rtl/>
        </w:rPr>
        <w:t xml:space="preserve">وشرط القبول لهذا الباب: يفتح الموظف المستند التالي فلا يجد فارغًا إلا ما يحمل معلومةً جديدة فعلًا. وكل حقلٍ موروثٍ يُعرض للقراءة مع بيان مصدره، فإن احتاج تعديلًا فبصلاحية وبأثرٍ مسجَّل — لا بكتابةٍ حرة فوق الموروث.</w:t>
      </w:r>
    </w:p>
    <w:p>
      <w:r>
        <w:br w:type="page"/>
      </w:r>
    </w:p>
    <w:p>
      <w:pPr>
        <w:pStyle w:val="Heading1"/>
        <w:keepNext/>
        <w:bidi/>
        <w:spacing w:after="180" w:before="360"/>
        <w:jc w:val="right"/>
      </w:pPr>
      <w:r>
        <w:rPr>
          <w:b/>
          <w:bCs/>
          <w:rtl/>
        </w:rPr>
        <w:t xml:space="preserve">المراجعة العكسية — هل تكتمل الدورة بعد تطبيق هذه الوثيقة؟</w:t>
      </w:r>
    </w:p>
    <w:p>
      <w:pPr>
        <w:bidi/>
        <w:spacing w:after="130" w:line="330"/>
        <w:jc w:val="right"/>
      </w:pPr>
      <w:r>
        <w:rPr>
          <w:b w:val="false"/>
          <w:bCs w:val="false"/>
          <w:i w:val="false"/>
          <w:iCs w:val="false"/>
          <w:sz w:val="24"/>
          <w:szCs w:val="24"/>
          <w:rtl/>
        </w:rPr>
        <w:t xml:space="preserve">المراجعة العكسية على هذه الوثيقة أثبتت أن ثلاثًا من قدراتها الست المعلنة مفقودةً ليست مفقودة أصلًا، بل قائمة بأسماء مسارات مختلفة — وأن الفجوة الحقيقية أكبر مما ذكرت الوثيقة لأنها خارج نطاق الإدارة: سلسلة الأثر التي يقوم عليها استحقاق المورد ليست مبنية.</w:t>
      </w:r>
    </w:p>
    <w:p>
      <w:pPr>
        <w:pStyle w:val="Heading2"/>
        <w:keepNext/>
        <w:bidi/>
        <w:spacing w:after="140" w:before="280"/>
        <w:jc w:val="right"/>
      </w:pPr>
      <w:r>
        <w:rPr>
          <w:b/>
          <w:bCs/>
          <w:rtl/>
        </w:rPr>
        <w:t xml:space="preserve">الجواب الصريح</w:t>
      </w:r>
    </w:p>
    <w:p>
      <w:pPr>
        <w:bidi/>
        <w:spacing w:after="130" w:line="330"/>
        <w:jc w:val="right"/>
      </w:pPr>
      <w:r>
        <w:rPr>
          <w:b w:val="false"/>
          <w:bCs w:val="false"/>
          <w:i w:val="false"/>
          <w:iCs w:val="false"/>
          <w:sz w:val="24"/>
          <w:szCs w:val="24"/>
          <w:rtl/>
        </w:rPr>
        <w:t xml:space="preserve">لا. تطبيق هذه الوثيقة يجعل إدارة الموردين مكتملةً داخليًّا ومرتَّبةً بكتلها الست — لكنه لا يجعل دورة الاستحقاق والدفع مكتملة مئةً بالمئة، لأن ستَّ عشرة عقدة من تسع وعشرين في سلسلة الأثر غير مبنية، وخمس عشرة منها خارج نطاق هذه الإدارة: تسعٌ في التشغيل وستٌّ في المالية والخزينة. فالتسوية قائمة، ومدخلها — الوحدة المعتمدة — بلا بوابة اعتماد، ومخرجها — الصرف الفعلي — بلا سطح تنفيذ.</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400"/>
        <w:gridCol w:w="2400"/>
        <w:gridCol w:w="2400"/>
        <w:gridCol w:w="2600"/>
      </w:tblGrid>
      <w:tr>
        <w:trPr>
          <w:cantSplit/>
          <w:tblHeader/>
        </w:trPr>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الحصيلة</w:t>
            </w:r>
          </w:p>
        </w:tc>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عقد مبنية</w:t>
            </w:r>
          </w:p>
        </w:tc>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عقد غير مبنية</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خارج نطاق هذه الإدارة</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سلسلة الأثر — 29 عقدة</w:t>
            </w:r>
          </w:p>
        </w:tc>
        <w:tc>
          <w:tcPr>
            <w:tcW w:type="dxa" w:w="2400"/>
            <w:tcMar>
              <w:top w:type="dxa" w:w="70"/>
              <w:left w:type="dxa" w:w="95"/>
              <w:bottom w:type="dxa" w:w="70"/>
              <w:right w:type="dxa" w:w="95"/>
            </w:tcMar>
            <w:vAlign w:val="center"/>
          </w:tcPr>
          <w:p>
            <w:pPr>
              <w:bidi w:val="false"/>
              <w:spacing w:after="20" w:line="280"/>
              <w:jc w:val="center"/>
            </w:pPr>
            <w:r>
              <w:rPr>
                <w:b/>
                <w:bCs/>
                <w:color w:val="1F6B3A"/>
                <w:sz w:val="26"/>
                <w:szCs w:val="26"/>
                <w:rtl/>
              </w:rPr>
              <w:t xml:space="preserve">13</w:t>
            </w:r>
          </w:p>
        </w:tc>
        <w:tc>
          <w:tcPr>
            <w:tcW w:type="dxa" w:w="2400"/>
            <w:tcMar>
              <w:top w:type="dxa" w:w="70"/>
              <w:left w:type="dxa" w:w="95"/>
              <w:bottom w:type="dxa" w:w="70"/>
              <w:right w:type="dxa" w:w="95"/>
            </w:tcMar>
            <w:vAlign w:val="center"/>
          </w:tcPr>
          <w:p>
            <w:pPr>
              <w:bidi w:val="false"/>
              <w:spacing w:after="20" w:line="280"/>
              <w:jc w:val="center"/>
            </w:pPr>
            <w:r>
              <w:rPr>
                <w:b/>
                <w:bCs/>
                <w:color w:val="A3151F"/>
                <w:sz w:val="26"/>
                <w:szCs w:val="26"/>
                <w:rtl/>
              </w:rPr>
              <w:t xml:space="preserve">16</w:t>
            </w:r>
          </w:p>
        </w:tc>
        <w:tc>
          <w:tcPr>
            <w:tcW w:type="dxa" w:w="2600"/>
            <w:tcMar>
              <w:top w:type="dxa" w:w="70"/>
              <w:left w:type="dxa" w:w="95"/>
              <w:bottom w:type="dxa" w:w="70"/>
              <w:right w:type="dxa" w:w="95"/>
            </w:tcMar>
            <w:vAlign w:val="center"/>
          </w:tcPr>
          <w:p>
            <w:pPr>
              <w:bidi/>
              <w:spacing w:after="20" w:line="280"/>
              <w:jc w:val="center"/>
            </w:pPr>
            <w:r>
              <w:rPr>
                <w:b/>
                <w:bCs/>
                <w:color w:val="A3151F"/>
                <w:sz w:val="21"/>
                <w:szCs w:val="21"/>
                <w:rtl/>
              </w:rPr>
              <w:t xml:space="preserve">15 من 16</w:t>
            </w:r>
          </w:p>
        </w:tc>
      </w:tr>
    </w:tbl>
    <w:p>
      <w:pPr>
        <w:bidi/>
        <w:spacing w:after="150"/>
        <w:jc w:val="right"/>
      </w:pPr>
      <w:r>
        <w:rPr>
          <w:b/>
          <w:bCs/>
          <w:i w:val="false"/>
          <w:iCs w:val="false"/>
          <w:sz w:val="24"/>
          <w:szCs w:val="24"/>
          <w:rtl/>
        </w:rPr>
        <w:t xml:space="preserve">تحقُّقٌ لاحقٌ على اللقطة </w:t>
      </w:r>
      <w:r>
        <w:rPr>
          <w:b/>
          <w:bCs/>
          <w:i w:val="false"/>
          <w:iCs w:val="false"/>
          <w:sz w:val="24"/>
          <w:szCs w:val="24"/>
          <w:rtl w:val="false"/>
        </w:rPr>
        <w:t xml:space="preserve">BL-20260821b:</w:t>
      </w:r>
      <w:r>
        <w:rPr>
          <w:b/>
          <w:bCs/>
          <w:i w:val="false"/>
          <w:iCs w:val="false"/>
          <w:sz w:val="24"/>
          <w:szCs w:val="24"/>
          <w:rtl/>
        </w:rPr>
        <w:t xml:space="preserve"> سلّمُ التسوية في المحرك هو </w:t>
      </w:r>
      <w:r>
        <w:rPr>
          <w:b/>
          <w:bCs/>
          <w:i w:val="false"/>
          <w:iCs w:val="false"/>
          <w:sz w:val="24"/>
          <w:szCs w:val="24"/>
          <w:rtl w:val="false"/>
        </w:rPr>
        <w:t xml:space="preserve">LD-13</w:t>
      </w:r>
      <w:r>
        <w:rPr>
          <w:b/>
          <w:bCs/>
          <w:i w:val="false"/>
          <w:iCs w:val="false"/>
          <w:sz w:val="24"/>
          <w:szCs w:val="24"/>
          <w:rtl/>
        </w:rPr>
        <w:t xml:space="preserve"> وهو غير موصول، وتسعٌ وستون وأربعمئة تسويةٍ بصفرٍ مدفوعٍ وصفرٍ مقفل — فمحطة الصرف تبقى اعتماديةً خارجية كما قررت الوثيقة؛ وقد صُحِّح معرّف سلّم التسوية في هذه النسخة على المحرك الحي.</w:t>
      </w:r>
    </w:p>
    <w:p>
      <w:pPr>
        <w:pStyle w:val="Heading2"/>
        <w:keepNext/>
        <w:bidi/>
        <w:spacing w:after="140" w:before="280"/>
        <w:jc w:val="right"/>
      </w:pPr>
      <w:r>
        <w:rPr>
          <w:b/>
          <w:bCs/>
          <w:rtl/>
        </w:rPr>
        <w:t xml:space="preserve">تصحيحات المراجعة العكسية على قرارات هذه الوثيقة</w:t>
      </w:r>
    </w:p>
    <w:p>
      <w:pPr>
        <w:bidi/>
        <w:spacing w:after="130" w:line="330"/>
        <w:jc w:val="right"/>
      </w:pPr>
      <w:r>
        <w:rPr>
          <w:b w:val="false"/>
          <w:bCs w:val="false"/>
          <w:i w:val="false"/>
          <w:iCs w:val="false"/>
          <w:sz w:val="24"/>
          <w:szCs w:val="24"/>
          <w:rtl/>
        </w:rPr>
        <w:t xml:space="preserve">هذه أخطاء وقعت في النسخة الأولى من الوثيقة، صُحّحت هنا وسرت على جداولها كلها — والقاعدة التي كسرتها هي القاعدة نفسها التي تفرضها الوثيقة: لا يُعلَن نقصٌ قبل استنفاد البحث عن المكافئ.</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3400"/>
        <w:gridCol w:w="35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التصحيح</w:t>
            </w:r>
          </w:p>
        </w:tc>
        <w:tc>
          <w:tcPr>
            <w:tcW w:type="dxa" w:w="3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كان وما ثبت</w:t>
            </w:r>
          </w:p>
        </w:tc>
        <w:tc>
          <w:tcPr>
            <w:tcW w:type="dxa" w:w="3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 بعد التصحيح</w:t>
            </w:r>
          </w:p>
        </w:tc>
      </w:tr>
      <w:tr>
        <w:trPr>
          <w:cantSplit/>
        </w:trPr>
        <w:tc>
          <w:tcPr>
            <w:tcW w:type="dxa" w:w="2900"/>
            <w:tcMar>
              <w:top w:type="dxa" w:w="70"/>
              <w:left w:type="dxa" w:w="95"/>
              <w:bottom w:type="dxa" w:w="70"/>
              <w:right w:type="dxa" w:w="95"/>
            </w:tcMar>
            <w:vAlign w:val="center"/>
          </w:tcPr>
          <w:p>
            <w:pPr>
              <w:bidi/>
              <w:spacing w:after="20" w:line="280"/>
              <w:jc w:val="right"/>
            </w:pPr>
            <w:r>
              <w:rPr>
                <w:b/>
                <w:bCs/>
                <w:color w:val="A3151F"/>
                <w:sz w:val="21"/>
                <w:szCs w:val="21"/>
                <w:rtl/>
              </w:rPr>
              <w:t xml:space="preserve">ت-1 — معدات المورد ومالكوها ليست مفقودة</w:t>
            </w:r>
          </w:p>
          <w:p>
            <w:pPr>
              <w:bidi w:val="false"/>
              <w:spacing w:after="20" w:line="280"/>
              <w:jc w:val="left"/>
            </w:pPr>
            <w:r>
              <w:rPr>
                <w:b w:val="false"/>
                <w:bCs w:val="false"/>
                <w:color w:val="5A6B7B"/>
                <w:sz w:val="17"/>
                <w:szCs w:val="17"/>
                <w:rtl w:val="false"/>
              </w:rPr>
              <w:t xml:space="preserve">supplier_equip</w:t>
            </w:r>
            <w:r>
              <w:rPr>
                <w:b w:val="false"/>
                <w:bCs w:val="false"/>
                <w:color w:val="5A6B7B"/>
                <w:sz w:val="17"/>
                <w:szCs w:val="17"/>
                <w:rtl/>
              </w:rPr>
              <w:t xml:space="preserve"> → </w:t>
            </w:r>
            <w:r>
              <w:rPr>
                <w:b w:val="false"/>
                <w:bCs w:val="false"/>
                <w:color w:val="5A6B7B"/>
                <w:sz w:val="17"/>
                <w:szCs w:val="17"/>
                <w:rtl w:val="false"/>
              </w:rPr>
              <w:t xml:space="preserve">equipment_plan.php</w:t>
            </w:r>
            <w:r>
              <w:rPr>
                <w:b w:val="false"/>
                <w:bCs w:val="false"/>
                <w:color w:val="5A6B7B"/>
                <w:sz w:val="17"/>
                <w:szCs w:val="17"/>
                <w:rtl/>
              </w:rPr>
              <w:t xml:space="preserve">#2</w:t>
            </w:r>
          </w:p>
        </w:tc>
        <w:tc>
          <w:tcPr>
            <w:tcW w:type="dxa" w:w="3400"/>
            <w:tcMar>
              <w:top w:type="dxa" w:w="70"/>
              <w:left w:type="dxa" w:w="95"/>
              <w:bottom w:type="dxa" w:w="70"/>
              <w:right w:type="dxa" w:w="95"/>
            </w:tcMar>
            <w:vAlign w:val="center"/>
          </w:tcPr>
          <w:p>
            <w:pPr>
              <w:bidi/>
              <w:spacing w:after="20" w:line="280"/>
              <w:jc w:val="right"/>
            </w:pPr>
            <w:r>
              <w:rPr>
                <w:b w:val="false"/>
                <w:bCs w:val="false"/>
                <w:sz w:val="20"/>
                <w:szCs w:val="20"/>
                <w:rtl/>
              </w:rPr>
              <w:t xml:space="preserve">أُعلنت مفقودة، والفحص أثبت أنها قائمة منظورًا فرعيًّا تحت خطة معدات المورد.</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يُصحَّح القرار إلى منظور قائم يُسمّى باسمه ويُسجَّل — ولا يُبنى سطح جديد.</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color w:val="A3151F"/>
                <w:sz w:val="21"/>
                <w:szCs w:val="21"/>
                <w:rtl/>
              </w:rPr>
              <w:t xml:space="preserve">ت-2 — أداء الموردين وجاهزيتهم ليست مفقودة</w:t>
            </w:r>
          </w:p>
          <w:p>
            <w:pPr>
              <w:bidi w:val="false"/>
              <w:spacing w:after="20" w:line="280"/>
              <w:jc w:val="left"/>
            </w:pPr>
            <w:r>
              <w:rPr>
                <w:b w:val="false"/>
                <w:bCs w:val="false"/>
                <w:color w:val="5A6B7B"/>
                <w:sz w:val="17"/>
                <w:szCs w:val="17"/>
                <w:rtl w:val="false"/>
              </w:rPr>
              <w:t xml:space="preserve">supplier_perf</w:t>
            </w:r>
            <w:r>
              <w:rPr>
                <w:b w:val="false"/>
                <w:bCs w:val="false"/>
                <w:color w:val="5A6B7B"/>
                <w:sz w:val="17"/>
                <w:szCs w:val="17"/>
                <w:rtl/>
              </w:rPr>
              <w:t xml:space="preserve"> → </w:t>
            </w:r>
            <w:r>
              <w:rPr>
                <w:b w:val="false"/>
                <w:bCs w:val="false"/>
                <w:color w:val="5A6B7B"/>
                <w:sz w:val="17"/>
                <w:szCs w:val="17"/>
                <w:rtl w:val="false"/>
              </w:rPr>
              <w:t xml:space="preserve">supplier_capacity.php</w:t>
            </w:r>
            <w:r>
              <w:rPr>
                <w:b w:val="false"/>
                <w:bCs w:val="false"/>
                <w:color w:val="5A6B7B"/>
                <w:sz w:val="17"/>
                <w:szCs w:val="17"/>
                <w:rtl/>
              </w:rPr>
              <w:t xml:space="preserve">#2</w:t>
            </w:r>
          </w:p>
        </w:tc>
        <w:tc>
          <w:tcPr>
            <w:tcW w:type="dxa" w:w="3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أُعلنت مفقودة، والفحص أثبت أنها قائمة منظورًا فرعيًّا تحت طاقة المورد.</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يُصحَّح القرار إلى منظور قائم — ويبقى الاعتماد وحده هو الناقص.</w:t>
            </w:r>
          </w:p>
        </w:tc>
      </w:tr>
      <w:tr>
        <w:trPr>
          <w:cantSplit/>
        </w:trPr>
        <w:tc>
          <w:tcPr>
            <w:tcW w:type="dxa" w:w="2900"/>
            <w:tcMar>
              <w:top w:type="dxa" w:w="70"/>
              <w:left w:type="dxa" w:w="95"/>
              <w:bottom w:type="dxa" w:w="70"/>
              <w:right w:type="dxa" w:w="95"/>
            </w:tcMar>
            <w:vAlign w:val="center"/>
          </w:tcPr>
          <w:p>
            <w:pPr>
              <w:bidi/>
              <w:spacing w:after="20" w:line="280"/>
              <w:jc w:val="right"/>
            </w:pPr>
            <w:r>
              <w:rPr>
                <w:b/>
                <w:bCs/>
                <w:color w:val="A3151F"/>
                <w:sz w:val="21"/>
                <w:szCs w:val="21"/>
                <w:rtl/>
              </w:rPr>
              <w:t xml:space="preserve">ت-3 — اعتماد وحدات المورد: موضعٌ لا ملكية</w:t>
            </w:r>
          </w:p>
          <w:p>
            <w:pPr>
              <w:bidi w:val="false"/>
              <w:spacing w:after="20" w:line="280"/>
              <w:jc w:val="left"/>
            </w:pPr>
            <w:r>
              <w:rPr>
                <w:b w:val="false"/>
                <w:bCs w:val="false"/>
                <w:color w:val="5A6B7B"/>
                <w:sz w:val="17"/>
                <w:szCs w:val="17"/>
                <w:rtl w:val="false"/>
              </w:rPr>
              <w:t xml:space="preserve">unit_supplier_approve.php</w:t>
            </w:r>
            <w:r>
              <w:rPr>
                <w:b w:val="false"/>
                <w:bCs w:val="false"/>
                <w:color w:val="5A6B7B"/>
                <w:sz w:val="17"/>
                <w:szCs w:val="17"/>
                <w:rtl/>
              </w:rPr>
              <w:t xml:space="preserve"> · </w:t>
            </w:r>
            <w:r>
              <w:rPr>
                <w:b w:val="false"/>
                <w:bCs w:val="false"/>
                <w:color w:val="5A6B7B"/>
                <w:sz w:val="17"/>
                <w:szCs w:val="17"/>
                <w:rtl w:val="false"/>
              </w:rPr>
              <w:t xml:space="preserve">LD-03</w:t>
            </w:r>
          </w:p>
        </w:tc>
        <w:tc>
          <w:tcPr>
            <w:tcW w:type="dxa" w:w="3400"/>
            <w:tcMar>
              <w:top w:type="dxa" w:w="70"/>
              <w:left w:type="dxa" w:w="95"/>
              <w:bottom w:type="dxa" w:w="70"/>
              <w:right w:type="dxa" w:w="95"/>
            </w:tcMar>
            <w:vAlign w:val="center"/>
          </w:tcPr>
          <w:p>
            <w:pPr>
              <w:bidi/>
              <w:spacing w:after="20" w:line="280"/>
              <w:jc w:val="right"/>
            </w:pPr>
            <w:r>
              <w:rPr>
                <w:b w:val="false"/>
                <w:bCs w:val="false"/>
                <w:sz w:val="20"/>
                <w:szCs w:val="20"/>
                <w:rtl/>
              </w:rPr>
              <w:t xml:space="preserve">موضعُه التقني محرك الوحدات في نطاق التشغيل، وأما ملكيةُ العملية فلإدارة الموردين وفق السلّم الحاكم. وكان النص الأول ينسبه إلى التشغيل ملكيةً — وهو خلطٌ بين الهندسة والحوكمة.</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يُنقل إلى جدول الاعتماديات الخارجية بموضعه التقني ومالك عمليته وسلّمه، ولا يُبنى داخل نطاق الموردين ولا يُوصف بأنه مملوك للتشغيل.</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color w:val="A3151F"/>
                <w:sz w:val="21"/>
                <w:szCs w:val="21"/>
                <w:rtl/>
              </w:rPr>
              <w:t xml:space="preserve">ت-4 — ثلاثة مسارات باسمين</w:t>
            </w:r>
          </w:p>
          <w:p>
            <w:pPr>
              <w:bidi w:val="false"/>
              <w:spacing w:after="20" w:line="280"/>
              <w:jc w:val="left"/>
            </w:pPr>
            <w:r>
              <w:rPr>
                <w:b w:val="false"/>
                <w:bCs w:val="false"/>
                <w:color w:val="5A6B7B"/>
                <w:sz w:val="17"/>
                <w:szCs w:val="17"/>
                <w:rtl w:val="false"/>
              </w:rPr>
              <w:t xml:space="preserve">settlements</w:t>
            </w:r>
            <w:r>
              <w:rPr>
                <w:b w:val="false"/>
                <w:bCs w:val="false"/>
                <w:color w:val="5A6B7B"/>
                <w:sz w:val="17"/>
                <w:szCs w:val="17"/>
                <w:rtl/>
              </w:rPr>
              <w:t xml:space="preserve"> · </w:t>
            </w:r>
            <w:r>
              <w:rPr>
                <w:b w:val="false"/>
                <w:bCs w:val="false"/>
                <w:color w:val="5A6B7B"/>
                <w:sz w:val="17"/>
                <w:szCs w:val="17"/>
                <w:rtl w:val="false"/>
              </w:rPr>
              <w:t xml:space="preserve">supplierscontracts</w:t>
            </w:r>
            <w:r>
              <w:rPr>
                <w:b w:val="false"/>
                <w:bCs w:val="false"/>
                <w:color w:val="5A6B7B"/>
                <w:sz w:val="17"/>
                <w:szCs w:val="17"/>
                <w:rtl/>
              </w:rPr>
              <w:t xml:space="preserve"> · </w:t>
            </w:r>
            <w:r>
              <w:rPr>
                <w:b w:val="false"/>
                <w:bCs w:val="false"/>
                <w:color w:val="5A6B7B"/>
                <w:sz w:val="17"/>
                <w:szCs w:val="17"/>
                <w:rtl w:val="false"/>
              </w:rPr>
              <w:t xml:space="preserve">shares_coverage</w:t>
            </w:r>
          </w:p>
        </w:tc>
        <w:tc>
          <w:tcPr>
            <w:tcW w:type="dxa" w:w="3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عقود الموردين وحصصهم وتسوياتهم مسجَّلة في دفتر الدورة بأسماء ملفات تخالف أسماءها على القرص.</w:t>
            </w:r>
          </w:p>
        </w:tc>
        <w:tc>
          <w:tcPr>
            <w:tcW w:type="dxa" w:w="35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تُصحَّح أسماء الدفتر إلى أسماء القرص قبل أي إعادة تسمية في الواجهة — وإلا كُسر المسار.</w:t>
            </w:r>
          </w:p>
        </w:tc>
      </w:tr>
      <w:tr>
        <w:trPr>
          <w:cantSplit/>
        </w:trPr>
        <w:tc>
          <w:tcPr>
            <w:tcW w:type="dxa" w:w="2900"/>
            <w:tcMar>
              <w:top w:type="dxa" w:w="70"/>
              <w:left w:type="dxa" w:w="95"/>
              <w:bottom w:type="dxa" w:w="70"/>
              <w:right w:type="dxa" w:w="95"/>
            </w:tcMar>
            <w:vAlign w:val="center"/>
          </w:tcPr>
          <w:p>
            <w:pPr>
              <w:bidi/>
              <w:spacing w:after="20" w:line="280"/>
              <w:jc w:val="right"/>
            </w:pPr>
            <w:r>
              <w:rPr>
                <w:b/>
                <w:bCs/>
                <w:color w:val="A3151F"/>
                <w:sz w:val="21"/>
                <w:szCs w:val="21"/>
                <w:rtl/>
              </w:rPr>
              <w:t xml:space="preserve">ت-5 — محطة الصرف بلا مصدر إسقاط</w:t>
            </w:r>
          </w:p>
          <w:p>
            <w:pPr>
              <w:bidi w:val="false"/>
              <w:spacing w:after="20" w:line="280"/>
              <w:jc w:val="left"/>
            </w:pPr>
            <w:r>
              <w:rPr>
                <w:b w:val="false"/>
                <w:bCs w:val="false"/>
                <w:color w:val="5A6B7B"/>
                <w:sz w:val="17"/>
                <w:szCs w:val="17"/>
                <w:rtl w:val="false"/>
              </w:rPr>
              <w:t xml:space="preserve">tre_pay_batch</w:t>
            </w:r>
            <w:r>
              <w:rPr>
                <w:b w:val="false"/>
                <w:bCs w:val="false"/>
                <w:color w:val="5A6B7B"/>
                <w:sz w:val="17"/>
                <w:szCs w:val="17"/>
                <w:rtl/>
              </w:rPr>
              <w:t xml:space="preserve"> · </w:t>
            </w:r>
            <w:r>
              <w:rPr>
                <w:b w:val="false"/>
                <w:bCs w:val="false"/>
                <w:color w:val="5A6B7B"/>
                <w:sz w:val="17"/>
                <w:szCs w:val="17"/>
                <w:rtl w:val="false"/>
              </w:rPr>
              <w:t xml:space="preserve">tre_exec_log</w:t>
            </w:r>
          </w:p>
        </w:tc>
        <w:tc>
          <w:tcPr>
            <w:tcW w:type="dxa" w:w="3400"/>
            <w:tcMar>
              <w:top w:type="dxa" w:w="70"/>
              <w:left w:type="dxa" w:w="95"/>
              <w:bottom w:type="dxa" w:w="70"/>
              <w:right w:type="dxa" w:w="95"/>
            </w:tcMar>
            <w:vAlign w:val="center"/>
          </w:tcPr>
          <w:p>
            <w:pPr>
              <w:bidi/>
              <w:spacing w:after="20" w:line="280"/>
              <w:jc w:val="right"/>
            </w:pPr>
            <w:r>
              <w:rPr>
                <w:b w:val="false"/>
                <w:bCs w:val="false"/>
                <w:sz w:val="20"/>
                <w:szCs w:val="20"/>
                <w:rtl/>
              </w:rPr>
              <w:t xml:space="preserve">الوثيقة توجب عرض حالة الصرف إسقاطًا — ودفعات الدفع وتوثيق التنفيذ غير مبنيين.</w:t>
            </w:r>
          </w:p>
        </w:tc>
        <w:tc>
          <w:tcPr>
            <w:tcW w:type="dxa" w:w="3500"/>
            <w:tcMar>
              <w:top w:type="dxa" w:w="70"/>
              <w:left w:type="dxa" w:w="95"/>
              <w:bottom w:type="dxa" w:w="70"/>
              <w:right w:type="dxa" w:w="95"/>
            </w:tcMar>
            <w:vAlign w:val="center"/>
          </w:tcPr>
          <w:p>
            <w:pPr>
              <w:bidi/>
              <w:spacing w:after="20" w:line="280"/>
              <w:jc w:val="right"/>
            </w:pPr>
            <w:r>
              <w:rPr>
                <w:b w:val="false"/>
                <w:bCs w:val="false"/>
                <w:sz w:val="20"/>
                <w:szCs w:val="20"/>
                <w:rtl/>
              </w:rPr>
              <w:t xml:space="preserve">يُعلَن الإسقاط معلَّقًا على بناء مصدره، وتُعرض حالة طلب الدفع بدلًا منه حتى ذلك الحين.</w:t>
            </w:r>
          </w:p>
        </w:tc>
      </w:tr>
    </w:tbl>
    <w:p>
      <w:pPr>
        <w:pStyle w:val="Heading2"/>
        <w:keepNext/>
        <w:bidi/>
        <w:spacing w:after="140" w:before="280"/>
        <w:jc w:val="right"/>
      </w:pPr>
      <w:r>
        <w:rPr>
          <w:b/>
          <w:bCs/>
          <w:rtl/>
        </w:rPr>
        <w:t xml:space="preserve">سلسلة الأثر من إدخال واحد — تتبّع أمامي وعكسي</w:t>
      </w:r>
    </w:p>
    <w:p>
      <w:pPr>
        <w:bidi/>
        <w:spacing w:after="130" w:line="330"/>
        <w:jc w:val="right"/>
      </w:pPr>
      <w:r>
        <w:rPr>
          <w:b w:val="false"/>
          <w:bCs w:val="false"/>
          <w:i w:val="false"/>
          <w:iCs w:val="false"/>
          <w:sz w:val="24"/>
          <w:szCs w:val="24"/>
          <w:rtl/>
        </w:rPr>
        <w:t xml:space="preserve">هذا هو اختبار الترابط الحقيقي: ساعةٌ واحدة تُدخَل مرة واحدة في الموقع، فتظهر في كل موضع ذي صلة بلا إعادة إدخال. والتتبّع الأمامي يبدأ من التايم شيت وينتهي عند التحصيل والصرف؛ والتتبّع العكسي يبدأ من الاستحقاق ويرجع حتى الواقعة الأصلية. وكل عقدة غير مبنية هي قطعٌ في السلسلة، لا نقصُ شاشةٍ فحسب.</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000"/>
        <w:gridCol w:w="4300"/>
        <w:gridCol w:w="2500"/>
      </w:tblGrid>
      <w:tr>
        <w:trPr>
          <w:cantSplit/>
          <w:tblHeader/>
        </w:trPr>
        <w:tc>
          <w:tcPr>
            <w:tcW w:type="dxa" w:w="3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العقدة وموضعها التقني</w:t>
            </w:r>
          </w:p>
        </w:tc>
        <w:tc>
          <w:tcPr>
            <w:tcW w:type="dxa" w:w="4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دورها في السلسلة</w:t>
            </w:r>
          </w:p>
        </w:tc>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الحالة</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 تسجيل التايم شيت والإنتاج</w:t>
            </w:r>
          </w:p>
          <w:p>
            <w:pPr>
              <w:bidi/>
              <w:spacing w:after="20" w:line="280"/>
              <w:jc w:val="right"/>
            </w:pPr>
            <w:r>
              <w:rPr>
                <w:b w:val="false"/>
                <w:bCs w:val="false"/>
                <w:color w:val="5A6B7B"/>
                <w:sz w:val="18"/>
                <w:szCs w:val="18"/>
                <w:rtl/>
              </w:rPr>
              <w:t xml:space="preserve">نطاق الموقع</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الإدخال الوحيد للواقعة: ساعة أو طن أو متر</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timesheet.php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 إدخال وحدات العمل اليومية</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تحويل الواقعة إلى وحدة يومية مرقَّمة</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unit_entry.php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3. الاعتماد اليومي لرفع الوحدات</w:t>
            </w:r>
          </w:p>
          <w:p>
            <w:pPr>
              <w:bidi/>
              <w:spacing w:after="20" w:line="280"/>
              <w:jc w:val="right"/>
            </w:pPr>
            <w:r>
              <w:rPr>
                <w:b w:val="false"/>
                <w:bCs w:val="false"/>
                <w:color w:val="5A6B7B"/>
                <w:sz w:val="18"/>
                <w:szCs w:val="18"/>
                <w:rtl/>
              </w:rPr>
              <w:t xml:space="preserve">محرك الوحدات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بوابة مدير الموقع قبل أي رفع</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unit_daily_approve.php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4. مطابقة بيانات العميل</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مطابقة الوحدة بعقد العميل والتزامه</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unit_client_match.php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5. بوابة اعتماد المبيعات</w:t>
            </w:r>
          </w:p>
          <w:p>
            <w:pPr>
              <w:bidi/>
              <w:spacing w:after="20" w:line="280"/>
              <w:jc w:val="right"/>
            </w:pPr>
            <w:r>
              <w:rPr>
                <w:b w:val="false"/>
                <w:bCs w:val="false"/>
                <w:color w:val="5A6B7B"/>
                <w:sz w:val="18"/>
                <w:szCs w:val="18"/>
                <w:rtl/>
              </w:rPr>
              <w:t xml:space="preserve">محرك الوحدات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اعتماد الجانب التجاري للوحدة</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unit_sales_gate.php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6. اعتماد وحدات الموردين</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اعتماد ما ينسب لحصة المورد ومعداته</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unit_supplier_approve.php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7. اعتماد وحدات المشغّلين</w:t>
            </w:r>
          </w:p>
          <w:p>
            <w:pPr>
              <w:bidi/>
              <w:spacing w:after="20" w:line="280"/>
              <w:jc w:val="right"/>
            </w:pPr>
            <w:r>
              <w:rPr>
                <w:b w:val="false"/>
                <w:bCs w:val="false"/>
                <w:color w:val="5A6B7B"/>
                <w:sz w:val="18"/>
                <w:szCs w:val="18"/>
                <w:rtl/>
              </w:rPr>
              <w:t xml:space="preserve">محرك الوحدات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اعتماد ما ينسب لمشغّل ووردية</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unit_workforce_approve.php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8. الاعتماد المالي الأولي</w:t>
            </w:r>
          </w:p>
          <w:p>
            <w:pPr>
              <w:bidi/>
              <w:spacing w:after="20" w:line="280"/>
              <w:jc w:val="right"/>
            </w:pPr>
            <w:r>
              <w:rPr>
                <w:b w:val="false"/>
                <w:bCs w:val="false"/>
                <w:color w:val="5A6B7B"/>
                <w:sz w:val="18"/>
                <w:szCs w:val="18"/>
                <w:rtl/>
              </w:rPr>
              <w:t xml:space="preserve">محرك الوحدات المشترك</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أول تحويل للواقعة إلى أثر مالي</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unit_fin_prelim.php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9. الاعتماد المالي النهائي</w:t>
            </w:r>
          </w:p>
          <w:p>
            <w:pPr>
              <w:bidi/>
              <w:spacing w:after="20" w:line="280"/>
              <w:jc w:val="right"/>
            </w:pPr>
            <w:r>
              <w:rPr>
                <w:b w:val="false"/>
                <w:bCs w:val="false"/>
                <w:color w:val="5A6B7B"/>
                <w:sz w:val="18"/>
                <w:szCs w:val="18"/>
                <w:rtl/>
              </w:rPr>
              <w:t xml:space="preserve">محرك الوحدات المشترك</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قفل الأثر المالي للفترة</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unit_fin_final.php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10. كشف التايم شيت — العميل</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منظر العميل من الواقعة الواحدة</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unit_statement_client.php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11. كشف التايم شيت — المورد</w:t>
            </w:r>
          </w:p>
          <w:p>
            <w:pPr>
              <w:bidi/>
              <w:spacing w:after="20" w:line="280"/>
              <w:jc w:val="right"/>
            </w:pPr>
            <w:r>
              <w:rPr>
                <w:b w:val="false"/>
                <w:bCs w:val="false"/>
                <w:color w:val="5A6B7B"/>
                <w:sz w:val="18"/>
                <w:szCs w:val="18"/>
                <w:rtl/>
              </w:rPr>
              <w:t xml:space="preserve">محرك الوحدات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منظر المورد من الواقعة نفسها</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unit_statement_supplier.php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12. كشف التايم شيت — المشغّل</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منظر المشغّل من الواقعة نفسها</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unit_statement_worker.php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13. تصحيح الوحدات بالسلسلة الثلاثية</w:t>
            </w:r>
          </w:p>
          <w:p>
            <w:pPr>
              <w:bidi/>
              <w:spacing w:after="20" w:line="280"/>
              <w:jc w:val="right"/>
            </w:pPr>
            <w:r>
              <w:rPr>
                <w:b w:val="false"/>
                <w:bCs w:val="false"/>
                <w:color w:val="5A6B7B"/>
                <w:sz w:val="18"/>
                <w:szCs w:val="18"/>
                <w:rtl/>
              </w:rPr>
              <w:t xml:space="preserve">محرك الوحدات المشترك</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التصحيح يمر بالثلاثة معًا أو لا يمر</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unit_correction.php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14. الأداء الشهري للوحدة</w:t>
            </w:r>
          </w:p>
          <w:p>
            <w:pPr>
              <w:bidi/>
              <w:spacing w:after="20" w:line="280"/>
              <w:jc w:val="right"/>
            </w:pPr>
            <w:r>
              <w:rPr>
                <w:b w:val="false"/>
                <w:bCs w:val="false"/>
                <w:color w:val="5A6B7B"/>
                <w:sz w:val="18"/>
                <w:szCs w:val="18"/>
                <w:rtl/>
              </w:rPr>
              <w:t xml:space="preserve">محرك الوحدات</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التجميع الشهري للوحدة</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unit_perf.php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15. المستخلصات والمطالبات</w:t>
            </w:r>
          </w:p>
          <w:p>
            <w:pPr>
              <w:bidi/>
              <w:spacing w:after="20" w:line="280"/>
              <w:jc w:val="right"/>
            </w:pPr>
            <w:r>
              <w:rPr>
                <w:b w:val="false"/>
                <w:bCs w:val="false"/>
                <w:color w:val="5A6B7B"/>
                <w:sz w:val="18"/>
                <w:szCs w:val="18"/>
                <w:rtl/>
              </w:rPr>
              <w:t xml:space="preserve">نطاق المبيعات</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مطالبة العميل من الأداء المعتمد</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claims.php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16. توليد استحقاقات عقد العميل</w:t>
            </w:r>
          </w:p>
          <w:p>
            <w:pPr>
              <w:bidi/>
              <w:spacing w:after="20" w:line="280"/>
              <w:jc w:val="right"/>
            </w:pPr>
            <w:r>
              <w:rPr>
                <w:b w:val="false"/>
                <w:bCs w:val="false"/>
                <w:color w:val="5A6B7B"/>
                <w:sz w:val="18"/>
                <w:szCs w:val="18"/>
                <w:rtl/>
              </w:rPr>
              <w:t xml:space="preserve">نطاق المالية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تحويل المطالبة إلى استحقاق محاسبي</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ar_accrual_gen.php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17. شهادة الإنجاز الشهرية</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مستند الإنجاز الذي تُبنى عليه الفاتورة</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ar_completion_cert.php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18. فاتورة المطالبة وإحالتها</w:t>
            </w:r>
          </w:p>
          <w:p>
            <w:pPr>
              <w:bidi/>
              <w:spacing w:after="20" w:line="280"/>
              <w:jc w:val="right"/>
            </w:pPr>
            <w:r>
              <w:rPr>
                <w:b w:val="false"/>
                <w:bCs w:val="false"/>
                <w:color w:val="5A6B7B"/>
                <w:sz w:val="18"/>
                <w:szCs w:val="18"/>
                <w:rtl/>
              </w:rPr>
              <w:t xml:space="preserve">نطاق المالية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الفاتورة ثم إحالتها لقسم التحصيل</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ar_claim_invoice.php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19. الفاتورة الضريبية والإقرارات</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الفاتورة الرسمية</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tax_invoices.php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20. سندات القبض والتحصيل</w:t>
            </w:r>
          </w:p>
          <w:p>
            <w:pPr>
              <w:bidi/>
              <w:spacing w:after="20" w:line="280"/>
              <w:jc w:val="right"/>
            </w:pPr>
            <w:r>
              <w:rPr>
                <w:b w:val="false"/>
                <w:bCs w:val="false"/>
                <w:color w:val="5A6B7B"/>
                <w:sz w:val="18"/>
                <w:szCs w:val="18"/>
                <w:rtl/>
              </w:rPr>
              <w:t xml:space="preserve">نطاق الخزينة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قبض النقد من العميل</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tre_receipts.php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21. كشف حساب العميل</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الذمة والرصيد</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client_statement.php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22. التسويات ومستحقات الموردين</w:t>
            </w:r>
          </w:p>
          <w:p>
            <w:pPr>
              <w:bidi/>
              <w:spacing w:after="20" w:line="280"/>
              <w:jc w:val="right"/>
            </w:pPr>
            <w:r>
              <w:rPr>
                <w:b w:val="false"/>
                <w:bCs w:val="false"/>
                <w:color w:val="5A6B7B"/>
                <w:sz w:val="18"/>
                <w:szCs w:val="18"/>
                <w:rtl/>
              </w:rPr>
              <w:t xml:space="preserve">نطاق الموردين</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الإقفال الشهري لصافي مستحق المورد</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settlements.php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23. توليد التزامات عقد المورد</w:t>
            </w:r>
          </w:p>
          <w:p>
            <w:pPr>
              <w:bidi/>
              <w:spacing w:after="20" w:line="280"/>
              <w:jc w:val="right"/>
            </w:pPr>
            <w:r>
              <w:rPr>
                <w:b w:val="false"/>
                <w:bCs w:val="false"/>
                <w:color w:val="5A6B7B"/>
                <w:sz w:val="18"/>
                <w:szCs w:val="18"/>
                <w:rtl/>
              </w:rPr>
              <w:t xml:space="preserve">نطاق الموردين</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تحويل بنود عقد المورد إلى التزام مالي</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ap_oblig_gen.php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24. طلبات الدفع والسداد</w:t>
            </w:r>
          </w:p>
          <w:p>
            <w:pPr>
              <w:bidi/>
              <w:spacing w:after="20" w:line="280"/>
              <w:jc w:val="right"/>
            </w:pPr>
            <w:r>
              <w:rPr>
                <w:b w:val="false"/>
                <w:bCs w:val="false"/>
                <w:color w:val="5A6B7B"/>
                <w:sz w:val="18"/>
                <w:szCs w:val="18"/>
                <w:rtl/>
              </w:rPr>
              <w:t xml:space="preserve">نطاق المالية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طلب الدفع بعد التسوية</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payments_fin.php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25. دفعات الدفع والتنفيذ</w:t>
            </w:r>
          </w:p>
          <w:p>
            <w:pPr>
              <w:bidi/>
              <w:spacing w:after="20" w:line="280"/>
              <w:jc w:val="right"/>
            </w:pPr>
            <w:r>
              <w:rPr>
                <w:b w:val="false"/>
                <w:bCs w:val="false"/>
                <w:color w:val="5A6B7B"/>
                <w:sz w:val="18"/>
                <w:szCs w:val="18"/>
                <w:rtl/>
              </w:rPr>
              <w:t xml:space="preserve">نطاق الخزينة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تنفيذ الصرف على دفعات</w:t>
            </w:r>
          </w:p>
        </w:tc>
        <w:tc>
          <w:tcPr>
            <w:tcW w:type="dxa" w:w="2500"/>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tre_pay_batch.php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26. توثيق التنفيذ والإشعارات</w:t>
            </w:r>
          </w:p>
          <w:p>
            <w:pPr>
              <w:bidi/>
              <w:spacing w:after="20" w:line="280"/>
              <w:jc w:val="right"/>
            </w:pPr>
            <w:r>
              <w:rPr>
                <w:b w:val="false"/>
                <w:bCs w:val="false"/>
                <w:color w:val="5A6B7B"/>
                <w:sz w:val="18"/>
                <w:szCs w:val="18"/>
                <w:rtl/>
              </w:rPr>
              <w:t xml:space="preserve">نطاق الخزينة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إثبات الصرف ومرجعه</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A3151F"/>
                <w:sz w:val="20"/>
                <w:szCs w:val="20"/>
                <w:rtl/>
              </w:rPr>
              <w:t xml:space="preserve">غير مبنية — قطعٌ في السلسلة</w:t>
            </w:r>
          </w:p>
          <w:p>
            <w:pPr>
              <w:bidi w:val="false"/>
              <w:spacing w:after="20" w:line="280"/>
              <w:jc w:val="left"/>
            </w:pPr>
            <w:r>
              <w:rPr>
                <w:b w:val="false"/>
                <w:bCs w:val="false"/>
                <w:color w:val="5A6B7B"/>
                <w:sz w:val="17"/>
                <w:szCs w:val="17"/>
                <w:rtl w:val="false"/>
              </w:rPr>
              <w:t xml:space="preserve">tre_exec_log.php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27. كشف حساب المورد الشهري</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الرصيد المحاسبي للمورد</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supplier_statement_fin.php</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28. توليد المستحق من العمل المعتمد</w:t>
            </w:r>
          </w:p>
          <w:p>
            <w:pPr>
              <w:bidi/>
              <w:spacing w:after="20" w:line="280"/>
              <w:jc w:val="right"/>
            </w:pPr>
            <w:r>
              <w:rPr>
                <w:b w:val="false"/>
                <w:bCs w:val="false"/>
                <w:color w:val="5A6B7B"/>
                <w:sz w:val="18"/>
                <w:szCs w:val="18"/>
                <w:rtl/>
              </w:rPr>
              <w:t xml:space="preserve">نطاق القوى التشغيلية</w:t>
            </w:r>
          </w:p>
        </w:tc>
        <w:tc>
          <w:tcPr>
            <w:tcW w:type="dxa" w:w="43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استحقاق المشغّل من الوحدة المعتمدة</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entitlement.php</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29. فحص شروط الاستحقاق</w:t>
            </w:r>
          </w:p>
          <w:p>
            <w:pPr>
              <w:bidi/>
              <w:spacing w:after="20" w:line="280"/>
              <w:jc w:val="right"/>
            </w:pPr>
            <w:r>
              <w:rPr>
                <w:b w:val="false"/>
                <w:bCs w:val="false"/>
                <w:color w:val="5A6B7B"/>
                <w:sz w:val="18"/>
                <w:szCs w:val="18"/>
                <w:rtl/>
              </w:rPr>
              <w:t xml:space="preserve">نطاق المالية</w:t>
            </w:r>
          </w:p>
        </w:tc>
        <w:tc>
          <w:tcPr>
            <w:tcW w:type="dxa" w:w="4300"/>
            <w:tcMar>
              <w:top w:type="dxa" w:w="70"/>
              <w:left w:type="dxa" w:w="95"/>
              <w:bottom w:type="dxa" w:w="70"/>
              <w:right w:type="dxa" w:w="95"/>
            </w:tcMar>
            <w:vAlign w:val="center"/>
          </w:tcPr>
          <w:p>
            <w:pPr>
              <w:bidi/>
              <w:spacing w:after="20" w:line="280"/>
              <w:jc w:val="right"/>
            </w:pPr>
            <w:r>
              <w:rPr>
                <w:b w:val="false"/>
                <w:bCs w:val="false"/>
                <w:sz w:val="20"/>
                <w:szCs w:val="20"/>
                <w:rtl/>
              </w:rPr>
              <w:t xml:space="preserve">بوابة شروط الاعتراف بالاستحقاق</w:t>
            </w:r>
          </w:p>
        </w:tc>
        <w:tc>
          <w:tcPr>
            <w:tcW w:type="dxa" w:w="2500"/>
            <w:tcMar>
              <w:top w:type="dxa" w:w="70"/>
              <w:left w:type="dxa" w:w="95"/>
              <w:bottom w:type="dxa" w:w="70"/>
              <w:right w:type="dxa" w:w="95"/>
            </w:tcMar>
            <w:vAlign w:val="center"/>
          </w:tcPr>
          <w:p>
            <w:pPr>
              <w:bidi/>
              <w:spacing w:after="20" w:line="280"/>
              <w:jc w:val="right"/>
            </w:pPr>
            <w:r>
              <w:rPr>
                <w:b w:val="false"/>
                <w:bCs w:val="false"/>
                <w:color w:val="1F6B3A"/>
                <w:sz w:val="20"/>
                <w:szCs w:val="20"/>
                <w:rtl/>
              </w:rPr>
              <w:t xml:space="preserve">مبنية</w:t>
            </w:r>
          </w:p>
          <w:p>
            <w:pPr>
              <w:bidi w:val="false"/>
              <w:spacing w:after="20" w:line="280"/>
              <w:jc w:val="left"/>
            </w:pPr>
            <w:r>
              <w:rPr>
                <w:b w:val="false"/>
                <w:bCs w:val="false"/>
                <w:color w:val="5A6B7B"/>
                <w:sz w:val="17"/>
                <w:szCs w:val="17"/>
                <w:rtl w:val="false"/>
              </w:rPr>
              <w:t xml:space="preserve">entitlement_gate.php</w:t>
            </w:r>
          </w:p>
        </w:tc>
      </w:tr>
    </w:tbl>
    <w:p>
      <w:pPr>
        <w:bidi/>
        <w:spacing w:before="120"/>
        <w:jc w:val="right"/>
      </w:pPr>
      <w:r>
        <w:rPr>
          <w:b w:val="false"/>
          <w:bCs w:val="false"/>
          <w:i w:val="false"/>
          <w:iCs w:val="false"/>
          <w:sz w:val="24"/>
          <w:szCs w:val="24"/>
          <w:rtl/>
        </w:rPr>
        <w:t xml:space="preserve">القراءة العكسية للجدول: أيُّ استحقاقٍ أو مطالبةٍ تُنتَج اليوم لا تستطيع إثبات سلسلة اعتمادها إلى الواقعة الأصلية، لأن عقد الاعتماد بينهما غير مبنية. وهذا هو الفرق بين نظامٍ تظهر فيه البيانات وبين نظامٍ تُثبَت فيه.</w:t>
      </w:r>
    </w:p>
    <w:p>
      <w:pPr>
        <w:pStyle w:val="Heading2"/>
        <w:keepNext/>
        <w:bidi/>
        <w:spacing w:after="140" w:before="280"/>
        <w:jc w:val="right"/>
      </w:pPr>
      <w:r>
        <w:rPr>
          <w:b/>
          <w:bCs/>
          <w:rtl/>
        </w:rPr>
        <w:t xml:space="preserve">طبقات ملكية سلسلة الاعتماد — تصحيحٌ جوهري</w:t>
      </w:r>
    </w:p>
    <w:p>
      <w:pPr>
        <w:bidi/>
        <w:spacing w:after="130" w:line="330"/>
        <w:jc w:val="right"/>
      </w:pPr>
      <w:r>
        <w:rPr>
          <w:b w:val="false"/>
          <w:bCs w:val="false"/>
          <w:i w:val="false"/>
          <w:iCs w:val="false"/>
          <w:sz w:val="24"/>
          <w:szCs w:val="24"/>
          <w:rtl/>
        </w:rPr>
        <w:t xml:space="preserve">عمودُ «الموضع التقني» في الجدول أعلاه يصف أين تعيش الخدمة في النظام، ولا يُنشئ ملكيةً لأحد. وقد كان الجدولُ في نسخته الأولى يسمّي هذا العمود «بيتها»، فأوهم أن الاعتماد المالي للوحدة مملوكٌ للتشغيل لمجرد أن محرك الوحدات يعمل في نطاقه — وهذا خلطٌ بين الهندسة والحوكمة يُصحَّح هنا. فالملكية ثماني طبقاتٍ منفصلةٍ لا طبقةٌ واحدة: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400"/>
        <w:gridCol w:w="5400"/>
        <w:gridCol w:w="2000"/>
      </w:tblGrid>
      <w:tr>
        <w:trPr>
          <w:cantSplit/>
          <w:tblHeader/>
        </w:trPr>
        <w:tc>
          <w:tcPr>
            <w:tcW w:type="dxa" w:w="2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الطبقة</w:t>
            </w:r>
          </w:p>
        </w:tc>
        <w:tc>
          <w:tcPr>
            <w:tcW w:type="dxa" w:w="54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الحقل</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الموضع التقني</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أين تعيش الخدمة أو الواقعة في النظام — وصفٌ هندسيٌّ لا يُنشئ ملكيةً لأحد.</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Technical_Runtime</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مالك العملية</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من يملك الحدث أو المستند التجاري أو التشغيلي ويجيب عنه أمام الحوكمة.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Process_Owner</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المحاسب المنتدب</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محاسب الإدارة المنتدب من المالية: يراجع الأثر ويهيّئ المستند المالي، ولا يعتمد ولا ينفّذ نقدًا ولا يُرحّل.</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Embedded_Accountant</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سلطة الاعتماد</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تُكتب اسمًا هنا: يُكتب رمزٌ قانونيٌّ واحدٌ من ثلاثة — معرّفُ سلّمٍ، أو «لا سلّم مطلوب»، أو «يُحَلّ من سياسة» بمفتاحها — وتُحَلّ الجهةُ من المحرك وقت التنفيذ.</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Ladder_ID</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الرقابة المحاسبية</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رئيس الحسابات أو الدور الرقابي المفوَّض: إجازةٌ مستقلة تسبق الترحيل ولا تُختصر.</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Accounting_Control</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تنفيذ النقد</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الخزينة والبنوك: تنفّذ القبض أو الصرف وتنتج مرجع الحركة — ولا تملك قيدًا ولا اعتمادًا ماليًّا للوحدة.</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Cash_Execution</w:t>
            </w:r>
          </w:p>
        </w:tc>
      </w:tr>
      <w:tr>
        <w:trPr>
          <w:cantSplit/>
        </w:trPr>
        <w:tc>
          <w:tcPr>
            <w:tcW w:type="dxa" w:w="2400"/>
            <w:tcMar>
              <w:top w:type="dxa" w:w="70"/>
              <w:left w:type="dxa" w:w="95"/>
              <w:bottom w:type="dxa" w:w="70"/>
              <w:right w:type="dxa" w:w="95"/>
            </w:tcMar>
            <w:vAlign w:val="center"/>
          </w:tcPr>
          <w:p>
            <w:pPr>
              <w:bidi/>
              <w:spacing w:after="20" w:line="280"/>
              <w:jc w:val="right"/>
            </w:pPr>
            <w:r>
              <w:rPr>
                <w:b/>
                <w:bCs/>
                <w:sz w:val="21"/>
                <w:szCs w:val="21"/>
                <w:rtl/>
              </w:rPr>
              <w:t xml:space="preserve">إجازة الترحيل</w:t>
            </w:r>
          </w:p>
        </w:tc>
        <w:tc>
          <w:tcPr>
            <w:tcW w:type="dxa" w:w="5400"/>
            <w:tcMar>
              <w:top w:type="dxa" w:w="70"/>
              <w:left w:type="dxa" w:w="95"/>
              <w:bottom w:type="dxa" w:w="70"/>
              <w:right w:type="dxa" w:w="95"/>
            </w:tcMar>
            <w:vAlign w:val="center"/>
          </w:tcPr>
          <w:p>
            <w:pPr>
              <w:bidi/>
              <w:spacing w:after="20" w:line="280"/>
              <w:jc w:val="right"/>
            </w:pPr>
            <w:r>
              <w:rPr>
                <w:b w:val="false"/>
                <w:bCs w:val="false"/>
                <w:sz w:val="20"/>
                <w:szCs w:val="20"/>
                <w:rtl/>
              </w:rPr>
              <w:t xml:space="preserve">السلطة البشرية التي تُجيز المعالجة والترحيل — رئيس الحسابات أو المفوَّض عنه.</w:t>
            </w:r>
          </w:p>
        </w:tc>
        <w:tc>
          <w:tcPr>
            <w:tcW w:type="dxa" w:w="2000"/>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GL_Posting_Approval</w:t>
            </w:r>
          </w:p>
        </w:tc>
      </w:tr>
      <w:tr>
        <w:trPr>
          <w:cantSplit/>
        </w:trPr>
        <w:tc>
          <w:tcPr>
            <w:tcW w:type="dxa" w:w="24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تنفيذ الترحيل</w:t>
            </w:r>
          </w:p>
        </w:tc>
        <w:tc>
          <w:tcPr>
            <w:tcW w:type="dxa" w:w="54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محرّك الترحيل وحده ينشئ القيد بعد الإجازة — ولا كاتبَ بشريًّا مباشرًا إلى دفتر الأستاذ.</w:t>
            </w:r>
          </w:p>
        </w:tc>
        <w:tc>
          <w:tcPr>
            <w:tcW w:type="dxa" w:w="20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7"/>
                <w:szCs w:val="17"/>
                <w:rtl w:val="false"/>
              </w:rPr>
              <w:t xml:space="preserve">GL_Posting_Executor</w:t>
            </w:r>
          </w:p>
        </w:tc>
      </w:tr>
    </w:tbl>
    <w:p>
      <w:pPr>
        <w:pStyle w:val="Heading2"/>
        <w:keepNext/>
        <w:bidi/>
        <w:spacing w:after="140" w:before="280"/>
        <w:jc w:val="right"/>
      </w:pPr>
      <w:r>
        <w:rPr>
          <w:b/>
          <w:bCs/>
          <w:rtl/>
        </w:rPr>
        <w:t xml:space="preserve">المحاسب المنتدب من المالية — دورٌ مثبَّت لا استثناء</w:t>
      </w:r>
    </w:p>
    <w:p>
      <w:pPr>
        <w:bidi/>
        <w:spacing w:after="130" w:line="330"/>
        <w:jc w:val="right"/>
      </w:pPr>
      <w:r>
        <w:rPr>
          <w:b w:val="false"/>
          <w:bCs w:val="false"/>
          <w:i w:val="false"/>
          <w:iCs w:val="false"/>
          <w:sz w:val="24"/>
          <w:szCs w:val="24"/>
          <w:rtl/>
        </w:rPr>
        <w:t xml:space="preserve">لكل إدارةٍ محاسبٌ مختصٌّ منتدبٌ من المالية يعمل داخل دورة الإدارة: محاسب المبيعات ومحاسب الموردين. وهو تابعٌ وظيفيًّا للمالية وإداريًّا لسير عمل الإدارة، على النسق نفسه الذي يعمل به محاسب الموقع. يراجع الأثر المالي للمستند التجاري، ويهيّئ أمر التحصيل في دورة المبيعات وأمر الدفع في دورة الموردين، ويتحقق من اكتمال المستندات والمرجع المالي، ويُعدّ بيانات القيد. ولا يملك وحده الاعتماد النهائي، ولا ينفّذ نقدًا، ولا يُرحّل قيدًا. وتبعيتُه الوظيفيةُ والمهنيةُ للإدارة المالية، وانتدابُه تشغيليٌّ للعمل داخل دورة الإدارة: مديرُ الإدارة يحدد أولويات العمل ومستنداته، ولا يوجّه الحكم المحاسبي ولا يغيّر السياسة المحاسبية. وانتدابُه يُقرّب المالية من الحدث التجاري ولا ينقل ملكيةً في أيِّ اتجاه.</w:t>
      </w:r>
    </w:p>
    <w:p>
      <w:pPr>
        <w:bidi/>
        <w:spacing w:after="140"/>
        <w:jc w:val="right"/>
      </w:pPr>
      <w:r>
        <w:rPr>
          <w:b w:val="false"/>
          <w:bCs w:val="false"/>
          <w:i w:val="false"/>
          <w:iCs w:val="false"/>
          <w:sz w:val="24"/>
          <w:szCs w:val="24"/>
          <w:rtl/>
        </w:rPr>
        <w:t xml:space="preserve">وموضعُ المحاسب المقيم بالموقع في السلّم الأول محسومٌ بمرجعٍ نافذ: جولةُ تصحيح السلاليم — البند الأول، المنفَّذ على ملف تعريف السلاليم، وفحصُ القبول الثامن الذي يشترط بقاءَه في السلّم الأول وغيابَ محاسب الموردين من الثالث ومحاسب الرواتب من الرابع. ودورُه هناك يدٌ ثانيةٌ للمراجعة المستندية لا اعتمادٌ ماليّ — فبوابةُ المالية تبدأ في السلّم الخامس ولا قبله. وإن خالف محرّكُ السلاليم الحيُّ هذا النص فالمحرّك هو الحاكم ويُصحَّح النص لا العكس.</w:t>
      </w:r>
    </w:p>
    <w:p>
      <w:pPr>
        <w:pStyle w:val="Heading2"/>
        <w:keepNext/>
        <w:bidi/>
        <w:spacing w:after="140" w:before="280"/>
        <w:jc w:val="right"/>
      </w:pPr>
      <w:r>
        <w:rPr>
          <w:b/>
          <w:bCs/>
          <w:rtl/>
        </w:rPr>
        <w:t xml:space="preserve">مصفوفة ملكية الاعتماد محطةً محطة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2100"/>
        <w:gridCol w:w="2600"/>
        <w:gridCol w:w="25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المحطة والسلّم</w:t>
            </w:r>
          </w:p>
        </w:tc>
        <w:tc>
          <w:tcPr>
            <w:tcW w:type="dxa" w:w="2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مالك العملية</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دور المحاسب المنتدب</w:t>
            </w:r>
          </w:p>
        </w:tc>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الرقابة والتنفيذ</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الواقعة اليومية واعتمادها</w:t>
            </w:r>
          </w:p>
          <w:p>
            <w:pPr>
              <w:bidi w:val="false"/>
              <w:spacing w:after="20" w:line="280"/>
              <w:jc w:val="left"/>
            </w:pPr>
            <w:r>
              <w:rPr>
                <w:b w:val="false"/>
                <w:bCs w:val="false"/>
                <w:color w:val="2E4A63"/>
                <w:sz w:val="18"/>
                <w:szCs w:val="18"/>
                <w:rtl w:val="false"/>
              </w:rPr>
              <w:t xml:space="preserve">LD-01</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إدارة الموقع والتشغيل</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المحاسب المقيم بالموقع يدٌ ثانيةٌ في هذا السلّم وحده — بنص قرار التثبيت</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لا أثر محاسبي في هذه المرحلة</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اعتماد وحدات المورد</w:t>
            </w:r>
          </w:p>
          <w:p>
            <w:pPr>
              <w:bidi w:val="false"/>
              <w:spacing w:after="20" w:line="280"/>
              <w:jc w:val="left"/>
            </w:pPr>
            <w:r>
              <w:rPr>
                <w:b w:val="false"/>
                <w:bCs w:val="false"/>
                <w:color w:val="2E4A63"/>
                <w:sz w:val="18"/>
                <w:szCs w:val="18"/>
                <w:rtl w:val="false"/>
              </w:rPr>
              <w:t xml:space="preserve">LD-03</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إدارة الموردين</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لا محاسب في هذه الخطوة — حُذف محاسب الموردين منها بقرار التثبيت</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لا ترحيل — المرحلة تشغيلية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الاعتماد المالي الأولي</w:t>
            </w:r>
          </w:p>
          <w:p>
            <w:pPr>
              <w:bidi w:val="false"/>
              <w:spacing w:after="20" w:line="280"/>
              <w:jc w:val="left"/>
            </w:pPr>
            <w:r>
              <w:rPr>
                <w:b w:val="false"/>
                <w:bCs w:val="false"/>
                <w:color w:val="2E4A63"/>
                <w:sz w:val="18"/>
                <w:szCs w:val="18"/>
                <w:rtl w:val="false"/>
              </w:rPr>
              <w:t xml:space="preserve">LD-05</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محاسب الموردين يُعدّ بيانات الأثر</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بوابة المالية تبدأ هنا ولا قبلها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الاعتماد المالي النهائي</w:t>
            </w:r>
          </w:p>
          <w:p>
            <w:pPr>
              <w:bidi w:val="false"/>
              <w:spacing w:after="20" w:line="280"/>
              <w:jc w:val="left"/>
            </w:pPr>
            <w:r>
              <w:rPr>
                <w:b w:val="false"/>
                <w:bCs w:val="false"/>
                <w:color w:val="2E4A63"/>
                <w:sz w:val="18"/>
                <w:szCs w:val="18"/>
                <w:rtl w:val="false"/>
              </w:rPr>
              <w:t xml:space="preserve">LD-07</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إعداد بيانات القيد فقط</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رئيس الحسابات يجيز قبل الترحيل</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الاستحقاق والتسوية الشهرية</w:t>
            </w:r>
          </w:p>
          <w:p>
            <w:pPr>
              <w:bidi w:val="false"/>
              <w:spacing w:after="20" w:line="280"/>
              <w:jc w:val="left"/>
            </w:pPr>
            <w:r>
              <w:rPr>
                <w:b w:val="false"/>
                <w:bCs w:val="false"/>
                <w:color w:val="2E4A63"/>
                <w:sz w:val="18"/>
                <w:szCs w:val="18"/>
                <w:rtl w:val="false"/>
              </w:rPr>
              <w:t xml:space="preserve">LD-13</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إدارة الموردين</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محاسب الموردين حاضرٌ في سلّم التسويات بنص قرار التثبيت — يراجع ويهيّئ</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سلّم التسوية غير موصولٍ بعدُ ضمن </w:t>
            </w:r>
            <w:r>
              <w:rPr>
                <w:b w:val="false"/>
                <w:bCs w:val="false"/>
                <w:color w:val="3F5265"/>
                <w:sz w:val="19"/>
                <w:szCs w:val="19"/>
                <w:rtl w:val="false"/>
              </w:rPr>
              <w:t xml:space="preserve">GAP-01</w:t>
            </w:r>
            <w:r>
              <w:rPr>
                <w:b w:val="false"/>
                <w:bCs w:val="false"/>
                <w:color w:val="3F5265"/>
                <w:sz w:val="19"/>
                <w:szCs w:val="19"/>
                <w:rtl/>
              </w:rPr>
              <w:t xml:space="preserve"> — وتُحَلّ خطواته من المحرك</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أمر الدفع</w:t>
            </w:r>
          </w:p>
          <w:p>
            <w:pPr>
              <w:bidi w:val="false"/>
              <w:spacing w:after="20" w:line="280"/>
              <w:jc w:val="left"/>
            </w:pPr>
            <w:r>
              <w:rPr>
                <w:b w:val="false"/>
                <w:bCs w:val="false"/>
                <w:color w:val="2E4A63"/>
                <w:sz w:val="18"/>
                <w:szCs w:val="18"/>
                <w:rtl w:val="false"/>
              </w:rPr>
              <w:t xml:space="preserve">RESOLVE_FROM_POLICY:ap_payment_request</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محاسب الموردين يُعدّ الأمر ولا يعتمده</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0"/>
                <w:szCs w:val="20"/>
                <w:rtl/>
              </w:rPr>
              <w:t xml:space="preserve">الصرف للمورد</w:t>
            </w:r>
          </w:p>
          <w:p>
            <w:pPr>
              <w:bidi w:val="false"/>
              <w:spacing w:after="20" w:line="280"/>
              <w:jc w:val="left"/>
            </w:pPr>
            <w:r>
              <w:rPr>
                <w:b w:val="false"/>
                <w:bCs w:val="false"/>
                <w:color w:val="2E4A63"/>
                <w:sz w:val="18"/>
                <w:szCs w:val="18"/>
                <w:rtl w:val="false"/>
              </w:rPr>
              <w:t xml:space="preserve">RESOLVE_FROM_POLICY:treasury_disbursement</w:t>
            </w:r>
          </w:p>
        </w:tc>
        <w:tc>
          <w:tcPr>
            <w:tcW w:type="dxa" w:w="2100"/>
            <w:tcMar>
              <w:top w:type="dxa" w:w="70"/>
              <w:left w:type="dxa" w:w="95"/>
              <w:bottom w:type="dxa" w:w="70"/>
              <w:right w:type="dxa" w:w="95"/>
            </w:tcMar>
            <w:vAlign w:val="center"/>
          </w:tcPr>
          <w:p>
            <w:pPr>
              <w:bidi/>
              <w:spacing w:after="20" w:line="280"/>
              <w:jc w:val="right"/>
            </w:pPr>
            <w:r>
              <w:rPr>
                <w:b/>
                <w:bCs/>
                <w:color w:val="1F3B57"/>
                <w:sz w:val="19"/>
                <w:szCs w:val="19"/>
                <w:rtl/>
              </w:rPr>
              <w:t xml:space="preserve">الخزينة والبنوك</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لا ينفّذه محاسب الإدارة ولو أعدّ الأمر</w:t>
            </w:r>
          </w:p>
        </w:tc>
        <w:tc>
          <w:tcPr>
            <w:tcW w:type="dxa" w:w="2500"/>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تنفيذ نقديٌّ ينتج مرجع الحركة — ولا قيد</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الترحيل إلى دفتر الأستاذ</w:t>
            </w:r>
          </w:p>
          <w:p>
            <w:pPr>
              <w:bidi w:val="false"/>
              <w:spacing w:after="20" w:line="280"/>
              <w:jc w:val="left"/>
            </w:pPr>
            <w:r>
              <w:rPr>
                <w:b w:val="false"/>
                <w:bCs w:val="false"/>
                <w:color w:val="2E4A63"/>
                <w:sz w:val="18"/>
                <w:szCs w:val="18"/>
                <w:rtl w:val="false"/>
              </w:rPr>
              <w:t xml:space="preserve">RESOLVE_FROM_POLICY:gl_posting</w:t>
            </w:r>
          </w:p>
        </w:tc>
        <w:tc>
          <w:tcPr>
            <w:tcW w:type="dxa" w:w="21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المحاسبة العامة</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إعداد بيانات القيد فقط</w:t>
            </w:r>
          </w:p>
        </w:tc>
        <w:tc>
          <w:tcPr>
            <w:tcW w:type="dxa" w:w="2500"/>
            <w:shd w:fill="F2F6FA" w:color="auto" w:val="clear"/>
            <w:tcMar>
              <w:top w:type="dxa" w:w="70"/>
              <w:left w:type="dxa" w:w="95"/>
              <w:bottom w:type="dxa" w:w="70"/>
              <w:right w:type="dxa" w:w="95"/>
            </w:tcMar>
            <w:vAlign w:val="center"/>
          </w:tcPr>
          <w:p>
            <w:pPr>
              <w:bidi/>
              <w:spacing w:after="20" w:line="280"/>
              <w:jc w:val="right"/>
            </w:pPr>
            <w:r>
              <w:rPr>
                <w:b w:val="false"/>
                <w:bCs w:val="false"/>
                <w:color w:val="3F5265"/>
                <w:sz w:val="19"/>
                <w:szCs w:val="19"/>
                <w:rtl/>
              </w:rPr>
              <w:t xml:space="preserve">إجازة رئيس الحسابات ثم ينشئ القيدَ محرّكُ الترحيل</w:t>
            </w:r>
          </w:p>
        </w:tc>
      </w:tr>
    </w:tbl>
    <w:p>
      <w:pPr>
        <w:pStyle w:val="Heading2"/>
        <w:keepNext/>
        <w:bidi/>
        <w:spacing w:after="140" w:before="280"/>
        <w:jc w:val="right"/>
      </w:pPr>
      <w:r>
        <w:rPr>
          <w:b/>
          <w:bCs/>
          <w:rtl/>
        </w:rPr>
        <w:t xml:space="preserve">قواعد فصل الواجبات في السلسلة</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69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w:t>
            </w:r>
          </w:p>
        </w:tc>
        <w:tc>
          <w:tcPr>
            <w:tcW w:type="dxa" w:w="6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مضمونها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لا اسمَ معتمِدٍ يُكتب هنا</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هذه الوثيقة لا تسمّي جهة اعتمادٍ ولا تنشئ خطوةَ سلّمٍ جديدة. تكتب معرّف السلّم فقط، وتُحَلّ الجهةُ من محرك السلاليم الحاكم عرضًا وقت التنفيذ. وأيُّ تعديلٍ في السلّم يقع في المحرك نفسه لا في وثيقة إدارة.</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لا يدَ واحدة تجمع أربعًا</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يجمع شخصٌ واحد بين إنشاء الطلب واعتماده وتنفيذ النقد وتسجيل القيد — ولو ملك الصلاحيات الأربع تقنيًّا.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المحاسبة ليست الخزينة</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المحاسبة تملك الاعتراف والمعالجة ودفتر الأستاذ والرقابة والقيد؛ والخزينة تملك تنفيذ القبض والدفع والتعامل البنكي ومرجع الحركة. ولا تملك الخزينة قيدًا ولا اعتمادًا ماليًّا للوحدة.</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الإعداد لا يُنشئ اعتمادًا</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إعدادُ أمر التحصيل أو الدفع أو بيانات القيد لا يُرحّل شيئًا — والترحيل لا يقع إلا بعد إجازة الرقابة المحاسبية.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الموضع التقني لا يُنشئ ملكية</w:t>
            </w:r>
          </w:p>
        </w:tc>
        <w:tc>
          <w:tcPr>
            <w:tcW w:type="dxa" w:w="6900"/>
            <w:tcMar>
              <w:top w:type="dxa" w:w="70"/>
              <w:left w:type="dxa" w:w="95"/>
              <w:bottom w:type="dxa" w:w="70"/>
              <w:right w:type="dxa" w:w="95"/>
            </w:tcMar>
            <w:vAlign w:val="center"/>
          </w:tcPr>
          <w:p>
            <w:pPr>
              <w:bidi/>
              <w:spacing w:after="20" w:line="280"/>
              <w:jc w:val="right"/>
            </w:pPr>
            <w:r>
              <w:rPr>
                <w:b w:val="false"/>
                <w:bCs w:val="false"/>
                <w:sz w:val="20"/>
                <w:szCs w:val="20"/>
                <w:rtl/>
              </w:rPr>
              <w:t xml:space="preserve">وجودُ محرك الوحدات في نطاق التشغيل لا يجعل الاعتماد التجاري أو المالي مملوكًا للتشغيل — الموضع هندسةٌ والملكية حوكمة.</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ترتيب النقد والقيد ليس ثابتًا</w:t>
            </w:r>
          </w:p>
        </w:tc>
        <w:tc>
          <w:tcPr>
            <w:tcW w:type="dxa" w:w="69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تسلسلُ التنفيذ النقدي والقيد يحكمه نوع الحدث المحاسبي والسياسة، فلا يُفترض أن أحدهما يسبق الآخر دائمًا.</w:t>
            </w:r>
          </w:p>
        </w:tc>
      </w:tr>
    </w:tbl>
    <w:p>
      <w:pPr>
        <w:bidi/>
        <w:spacing w:before="130"/>
        <w:jc w:val="right"/>
      </w:pPr>
      <w:r>
        <w:rPr>
          <w:b/>
          <w:bCs/>
          <w:i w:val="false"/>
          <w:iCs w:val="false"/>
          <w:sz w:val="24"/>
          <w:szCs w:val="24"/>
          <w:rtl/>
        </w:rPr>
        <w:t xml:space="preserve">وتتابعُ الفصل الملزم: إعدادُ العملية ← اعتمادُ الاستحقاق أو الطلب ← الرقابةُ المحاسبية ← التنفيذُ النقدي ← الترحيلُ إلى دفتر الأستاذ. خمسُ محطاتٍ لا تجتمع في يدٍ واحدة بحال.</w:t>
      </w:r>
    </w:p>
    <w:p>
      <w:pPr>
        <w:pStyle w:val="Heading2"/>
        <w:keepNext/>
        <w:bidi/>
        <w:spacing w:after="140" w:before="280"/>
        <w:jc w:val="right"/>
      </w:pPr>
      <w:r>
        <w:rPr>
          <w:b/>
          <w:bCs/>
          <w:rtl/>
        </w:rPr>
        <w:t xml:space="preserve">الاعتماديات الخارجية — ما لا تملكه هذه الإدارة ولا تكتمل بدونه</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700"/>
        <w:gridCol w:w="2600"/>
        <w:gridCol w:w="2500"/>
        <w:gridCol w:w="2000"/>
      </w:tblGrid>
      <w:tr>
        <w:trPr>
          <w:cantSplit/>
          <w:tblHeader/>
        </w:trPr>
        <w:tc>
          <w:tcPr>
            <w:tcW w:type="dxa" w:w="2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الاعتمادية</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الموضع التقني</w:t>
            </w:r>
          </w:p>
        </w:tc>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مالك العملية</w:t>
            </w:r>
          </w:p>
        </w:tc>
        <w:tc>
          <w:tcPr>
            <w:tcW w:type="dxa" w:w="2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سلطة الاعتماد</w:t>
            </w:r>
          </w:p>
        </w:tc>
      </w:tr>
      <w:tr>
        <w:trPr>
          <w:cantSplit/>
        </w:trPr>
        <w:tc>
          <w:tcPr>
            <w:tcW w:type="dxa" w:w="2700"/>
            <w:tcMar>
              <w:top w:type="dxa" w:w="70"/>
              <w:left w:type="dxa" w:w="95"/>
              <w:bottom w:type="dxa" w:w="70"/>
              <w:right w:type="dxa" w:w="95"/>
            </w:tcMar>
            <w:vAlign w:val="center"/>
          </w:tcPr>
          <w:p>
            <w:pPr>
              <w:bidi/>
              <w:spacing w:after="20" w:line="280"/>
              <w:jc w:val="right"/>
            </w:pPr>
            <w:r>
              <w:rPr>
                <w:b/>
                <w:bCs/>
                <w:sz w:val="20"/>
                <w:szCs w:val="20"/>
                <w:rtl/>
              </w:rPr>
              <w:t xml:space="preserve">اعتماد وحدات المورد</w:t>
            </w:r>
          </w:p>
          <w:p>
            <w:pPr>
              <w:bidi w:val="false"/>
              <w:spacing w:after="20" w:line="280"/>
              <w:jc w:val="left"/>
            </w:pPr>
            <w:r>
              <w:rPr>
                <w:b w:val="false"/>
                <w:bCs w:val="false"/>
                <w:color w:val="5A6B7B"/>
                <w:sz w:val="17"/>
                <w:szCs w:val="17"/>
                <w:rtl w:val="false"/>
              </w:rPr>
              <w:t xml:space="preserve">unit_supplier_approve.php</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محرك الوحدات في نطاق التشغيل</w:t>
            </w:r>
          </w:p>
        </w:tc>
        <w:tc>
          <w:tcPr>
            <w:tcW w:type="dxa" w:w="2500"/>
            <w:tcMar>
              <w:top w:type="dxa" w:w="70"/>
              <w:left w:type="dxa" w:w="95"/>
              <w:bottom w:type="dxa" w:w="70"/>
              <w:right w:type="dxa" w:w="95"/>
            </w:tcMar>
            <w:vAlign w:val="center"/>
          </w:tcPr>
          <w:p>
            <w:pPr>
              <w:bidi/>
              <w:spacing w:after="20" w:line="280"/>
              <w:jc w:val="right"/>
            </w:pPr>
            <w:r>
              <w:rPr>
                <w:b/>
                <w:bCs/>
                <w:color w:val="1F3B57"/>
                <w:sz w:val="19"/>
                <w:szCs w:val="19"/>
                <w:rtl/>
              </w:rPr>
              <w:t xml:space="preserve">إدارة الموردين</w:t>
            </w:r>
          </w:p>
        </w:tc>
        <w:tc>
          <w:tcPr>
            <w:tcW w:type="dxa" w:w="200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LD-03</w:t>
            </w:r>
          </w:p>
        </w:tc>
      </w:tr>
      <w:tr>
        <w:trPr>
          <w:cantSplit/>
        </w:trPr>
        <w:tc>
          <w:tcPr>
            <w:tcW w:type="dxa" w:w="27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الاعتماد المالي الأولي</w:t>
            </w:r>
          </w:p>
          <w:p>
            <w:pPr>
              <w:bidi w:val="false"/>
              <w:spacing w:after="20" w:line="280"/>
              <w:jc w:val="left"/>
            </w:pPr>
            <w:r>
              <w:rPr>
                <w:b w:val="false"/>
                <w:bCs w:val="false"/>
                <w:color w:val="5A6B7B"/>
                <w:sz w:val="17"/>
                <w:szCs w:val="17"/>
                <w:rtl w:val="false"/>
              </w:rPr>
              <w:t xml:space="preserve">unit_fin_prelim.php</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محرك الوحدات المشترك</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00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LD-05</w:t>
            </w:r>
          </w:p>
        </w:tc>
      </w:tr>
      <w:tr>
        <w:trPr>
          <w:cantSplit/>
        </w:trPr>
        <w:tc>
          <w:tcPr>
            <w:tcW w:type="dxa" w:w="2700"/>
            <w:tcMar>
              <w:top w:type="dxa" w:w="70"/>
              <w:left w:type="dxa" w:w="95"/>
              <w:bottom w:type="dxa" w:w="70"/>
              <w:right w:type="dxa" w:w="95"/>
            </w:tcMar>
            <w:vAlign w:val="center"/>
          </w:tcPr>
          <w:p>
            <w:pPr>
              <w:bidi/>
              <w:spacing w:after="20" w:line="280"/>
              <w:jc w:val="right"/>
            </w:pPr>
            <w:r>
              <w:rPr>
                <w:b/>
                <w:bCs/>
                <w:sz w:val="20"/>
                <w:szCs w:val="20"/>
                <w:rtl/>
              </w:rPr>
              <w:t xml:space="preserve">الاعتماد المالي النهائي</w:t>
            </w:r>
          </w:p>
          <w:p>
            <w:pPr>
              <w:bidi w:val="false"/>
              <w:spacing w:after="20" w:line="280"/>
              <w:jc w:val="left"/>
            </w:pPr>
            <w:r>
              <w:rPr>
                <w:b w:val="false"/>
                <w:bCs w:val="false"/>
                <w:color w:val="5A6B7B"/>
                <w:sz w:val="17"/>
                <w:szCs w:val="17"/>
                <w:rtl w:val="false"/>
              </w:rPr>
              <w:t xml:space="preserve">unit_fin_final.php</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محرك الوحدات المشترك</w:t>
            </w:r>
          </w:p>
        </w:tc>
        <w:tc>
          <w:tcPr>
            <w:tcW w:type="dxa" w:w="2500"/>
            <w:tcMar>
              <w:top w:type="dxa" w:w="70"/>
              <w:left w:type="dxa" w:w="95"/>
              <w:bottom w:type="dxa" w:w="70"/>
              <w:right w:type="dxa" w:w="95"/>
            </w:tcMar>
            <w:vAlign w:val="center"/>
          </w:tcPr>
          <w:p>
            <w:pPr>
              <w:bidi/>
              <w:spacing w:after="20" w:line="280"/>
              <w:jc w:val="right"/>
            </w:pPr>
            <w:r>
              <w:rPr>
                <w:b/>
                <w:bCs/>
                <w:color w:val="1F3B57"/>
                <w:sz w:val="19"/>
                <w:szCs w:val="19"/>
                <w:rtl/>
              </w:rPr>
              <w:t xml:space="preserve">المالية والمحاسبة</w:t>
            </w:r>
          </w:p>
        </w:tc>
        <w:tc>
          <w:tcPr>
            <w:tcW w:type="dxa" w:w="200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LD-07</w:t>
            </w:r>
          </w:p>
        </w:tc>
      </w:tr>
      <w:tr>
        <w:trPr>
          <w:cantSplit/>
        </w:trPr>
        <w:tc>
          <w:tcPr>
            <w:tcW w:type="dxa" w:w="27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تصحيح الوحدات بالسلسلة الثلاثية</w:t>
            </w:r>
          </w:p>
          <w:p>
            <w:pPr>
              <w:bidi w:val="false"/>
              <w:spacing w:after="20" w:line="280"/>
              <w:jc w:val="left"/>
            </w:pPr>
            <w:r>
              <w:rPr>
                <w:b w:val="false"/>
                <w:bCs w:val="false"/>
                <w:color w:val="5A6B7B"/>
                <w:sz w:val="17"/>
                <w:szCs w:val="17"/>
                <w:rtl w:val="false"/>
              </w:rPr>
              <w:t xml:space="preserve">unit_correction.php</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محرك الوحدات المشترك</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التشغيل بالتنسيق مع المالكين</w:t>
            </w:r>
          </w:p>
        </w:tc>
        <w:tc>
          <w:tcPr>
            <w:tcW w:type="dxa" w:w="200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RESOLVE_FROM_POLICY:unit_correction</w:t>
            </w:r>
          </w:p>
        </w:tc>
      </w:tr>
      <w:tr>
        <w:trPr>
          <w:cantSplit/>
        </w:trPr>
        <w:tc>
          <w:tcPr>
            <w:tcW w:type="dxa" w:w="2700"/>
            <w:tcMar>
              <w:top w:type="dxa" w:w="70"/>
              <w:left w:type="dxa" w:w="95"/>
              <w:bottom w:type="dxa" w:w="70"/>
              <w:right w:type="dxa" w:w="95"/>
            </w:tcMar>
            <w:vAlign w:val="center"/>
          </w:tcPr>
          <w:p>
            <w:pPr>
              <w:bidi/>
              <w:spacing w:after="20" w:line="280"/>
              <w:jc w:val="right"/>
            </w:pPr>
            <w:r>
              <w:rPr>
                <w:b/>
                <w:bCs/>
                <w:sz w:val="20"/>
                <w:szCs w:val="20"/>
                <w:rtl/>
              </w:rPr>
              <w:t xml:space="preserve">تنفيذ الصرف وتوثيقه</w:t>
            </w:r>
          </w:p>
          <w:p>
            <w:pPr>
              <w:bidi w:val="false"/>
              <w:spacing w:after="20" w:line="280"/>
              <w:jc w:val="left"/>
            </w:pPr>
            <w:r>
              <w:rPr>
                <w:b w:val="false"/>
                <w:bCs w:val="false"/>
                <w:color w:val="5A6B7B"/>
                <w:sz w:val="17"/>
                <w:szCs w:val="17"/>
                <w:rtl w:val="false"/>
              </w:rPr>
              <w:t xml:space="preserve">tre_pay_batch</w:t>
            </w:r>
            <w:r>
              <w:rPr>
                <w:b w:val="false"/>
                <w:bCs w:val="false"/>
                <w:color w:val="5A6B7B"/>
                <w:sz w:val="17"/>
                <w:szCs w:val="17"/>
                <w:rtl/>
              </w:rPr>
              <w:t xml:space="preserve"> · </w:t>
            </w:r>
            <w:r>
              <w:rPr>
                <w:b w:val="false"/>
                <w:bCs w:val="false"/>
                <w:color w:val="5A6B7B"/>
                <w:sz w:val="17"/>
                <w:szCs w:val="17"/>
                <w:rtl w:val="false"/>
              </w:rPr>
              <w:t xml:space="preserve">tre_exec_log</w:t>
            </w:r>
          </w:p>
        </w:tc>
        <w:tc>
          <w:tcPr>
            <w:tcW w:type="dxa" w:w="2600"/>
            <w:tcMar>
              <w:top w:type="dxa" w:w="70"/>
              <w:left w:type="dxa" w:w="95"/>
              <w:bottom w:type="dxa" w:w="70"/>
              <w:right w:type="dxa" w:w="95"/>
            </w:tcMar>
            <w:vAlign w:val="center"/>
          </w:tcPr>
          <w:p>
            <w:pPr>
              <w:bidi/>
              <w:spacing w:after="20" w:line="280"/>
              <w:jc w:val="right"/>
            </w:pPr>
            <w:r>
              <w:rPr>
                <w:b w:val="false"/>
                <w:bCs w:val="false"/>
                <w:sz w:val="19"/>
                <w:szCs w:val="19"/>
                <w:rtl/>
              </w:rPr>
              <w:t xml:space="preserve">نطاق الخزينة</w:t>
            </w:r>
          </w:p>
        </w:tc>
        <w:tc>
          <w:tcPr>
            <w:tcW w:type="dxa" w:w="2500"/>
            <w:tcMar>
              <w:top w:type="dxa" w:w="70"/>
              <w:left w:type="dxa" w:w="95"/>
              <w:bottom w:type="dxa" w:w="70"/>
              <w:right w:type="dxa" w:w="95"/>
            </w:tcMar>
            <w:vAlign w:val="center"/>
          </w:tcPr>
          <w:p>
            <w:pPr>
              <w:bidi/>
              <w:spacing w:after="20" w:line="280"/>
              <w:jc w:val="right"/>
            </w:pPr>
            <w:r>
              <w:rPr>
                <w:b/>
                <w:bCs/>
                <w:color w:val="1F3B57"/>
                <w:sz w:val="19"/>
                <w:szCs w:val="19"/>
                <w:rtl/>
              </w:rPr>
              <w:t xml:space="preserve">الخزينة والبنوك</w:t>
            </w:r>
          </w:p>
        </w:tc>
        <w:tc>
          <w:tcPr>
            <w:tcW w:type="dxa" w:w="2000"/>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RESOLVE_FROM_POLICY:treasury_disbursement</w:t>
            </w:r>
          </w:p>
        </w:tc>
      </w:tr>
      <w:tr>
        <w:trPr>
          <w:cantSplit/>
        </w:trPr>
        <w:tc>
          <w:tcPr>
            <w:tcW w:type="dxa" w:w="2700"/>
            <w:shd w:fill="F2F6FA" w:color="auto" w:val="clear"/>
            <w:tcMar>
              <w:top w:type="dxa" w:w="70"/>
              <w:left w:type="dxa" w:w="95"/>
              <w:bottom w:type="dxa" w:w="70"/>
              <w:right w:type="dxa" w:w="95"/>
            </w:tcMar>
            <w:vAlign w:val="center"/>
          </w:tcPr>
          <w:p>
            <w:pPr>
              <w:bidi/>
              <w:spacing w:after="20" w:line="280"/>
              <w:jc w:val="right"/>
            </w:pPr>
            <w:r>
              <w:rPr>
                <w:b/>
                <w:bCs/>
                <w:sz w:val="20"/>
                <w:szCs w:val="20"/>
                <w:rtl/>
              </w:rPr>
              <w:t xml:space="preserve">المستفيدون والحسابات</w:t>
            </w:r>
          </w:p>
          <w:p>
            <w:pPr>
              <w:bidi w:val="false"/>
              <w:spacing w:after="20" w:line="280"/>
              <w:jc w:val="left"/>
            </w:pPr>
            <w:r>
              <w:rPr>
                <w:b w:val="false"/>
                <w:bCs w:val="false"/>
                <w:color w:val="5A6B7B"/>
                <w:sz w:val="17"/>
                <w:szCs w:val="17"/>
                <w:rtl w:val="false"/>
              </w:rPr>
              <w:t xml:space="preserve">tre_beneficiary.php</w:t>
            </w:r>
          </w:p>
        </w:tc>
        <w:tc>
          <w:tcPr>
            <w:tcW w:type="dxa" w:w="2600"/>
            <w:shd w:fill="F2F6FA" w:color="auto" w:val="clear"/>
            <w:tcMar>
              <w:top w:type="dxa" w:w="70"/>
              <w:left w:type="dxa" w:w="95"/>
              <w:bottom w:type="dxa" w:w="70"/>
              <w:right w:type="dxa" w:w="95"/>
            </w:tcMar>
            <w:vAlign w:val="center"/>
          </w:tcPr>
          <w:p>
            <w:pPr>
              <w:bidi/>
              <w:spacing w:after="20" w:line="280"/>
              <w:jc w:val="right"/>
            </w:pPr>
            <w:r>
              <w:rPr>
                <w:b w:val="false"/>
                <w:bCs w:val="false"/>
                <w:sz w:val="19"/>
                <w:szCs w:val="19"/>
                <w:rtl/>
              </w:rPr>
              <w:t xml:space="preserve">نطاق الخزينة</w:t>
            </w:r>
          </w:p>
        </w:tc>
        <w:tc>
          <w:tcPr>
            <w:tcW w:type="dxa" w:w="2500"/>
            <w:shd w:fill="F2F6FA" w:color="auto" w:val="clear"/>
            <w:tcMar>
              <w:top w:type="dxa" w:w="70"/>
              <w:left w:type="dxa" w:w="95"/>
              <w:bottom w:type="dxa" w:w="70"/>
              <w:right w:type="dxa" w:w="95"/>
            </w:tcMar>
            <w:vAlign w:val="center"/>
          </w:tcPr>
          <w:p>
            <w:pPr>
              <w:bidi/>
              <w:spacing w:after="20" w:line="280"/>
              <w:jc w:val="right"/>
            </w:pPr>
            <w:r>
              <w:rPr>
                <w:b/>
                <w:bCs/>
                <w:color w:val="1F3B57"/>
                <w:sz w:val="19"/>
                <w:szCs w:val="19"/>
                <w:rtl/>
              </w:rPr>
              <w:t xml:space="preserve">الخزينة والبنوك</w:t>
            </w:r>
          </w:p>
        </w:tc>
        <w:tc>
          <w:tcPr>
            <w:tcW w:type="dxa" w:w="2000"/>
            <w:shd w:fill="F2F6FA" w:color="auto" w:val="clear"/>
            <w:tcMar>
              <w:top w:type="dxa" w:w="70"/>
              <w:left w:type="dxa" w:w="95"/>
              <w:bottom w:type="dxa" w:w="70"/>
              <w:right w:type="dxa" w:w="95"/>
            </w:tcMar>
            <w:vAlign w:val="center"/>
          </w:tcPr>
          <w:p>
            <w:pPr>
              <w:bidi w:val="false"/>
              <w:spacing w:after="20" w:line="280"/>
              <w:jc w:val="center"/>
            </w:pPr>
            <w:r>
              <w:rPr>
                <w:b w:val="false"/>
                <w:bCs w:val="false"/>
                <w:sz w:val="19"/>
                <w:szCs w:val="19"/>
                <w:rtl w:val="false"/>
              </w:rPr>
              <w:t xml:space="preserve">RESOLVE_FROM_POLICY:treasury_disbursement</w:t>
            </w:r>
          </w:p>
        </w:tc>
      </w:tr>
    </w:tbl>
    <w:p>
      <w:pPr>
        <w:bidi/>
        <w:spacing w:before="120"/>
        <w:jc w:val="right"/>
      </w:pPr>
      <w:r>
        <w:rPr>
          <w:b/>
          <w:bCs/>
          <w:i w:val="false"/>
          <w:iCs w:val="false"/>
          <w:sz w:val="24"/>
          <w:szCs w:val="24"/>
          <w:rtl/>
        </w:rPr>
        <w:t xml:space="preserve">ولا يُكتب في عمود سلطة الاعتماد اسمُ جهةٍ: يُكتب معرّف السلّم، وتُحَلّ الجهةُ عرضًا من محرك السلاليم الحاكم وقت التنفيذ. فإن تغيّر السلّم تغيّر العرض تلقائيًّا، ولا تستطيع هذه الوثيقة مخالفة المحرك.</w:t>
      </w:r>
    </w:p>
    <w:p>
      <w:pPr>
        <w:pStyle w:val="Heading2"/>
        <w:keepNext/>
        <w:bidi/>
        <w:spacing w:after="140" w:before="280"/>
        <w:jc w:val="right"/>
      </w:pPr>
      <w:r>
        <w:rPr>
          <w:b/>
          <w:bCs/>
          <w:rtl/>
        </w:rPr>
        <w:t xml:space="preserve">مسارات ظُنّت مفقودة وهي قائمة باسم آخر</w:t>
      </w:r>
    </w:p>
    <w:p>
      <w:pPr>
        <w:bidi/>
        <w:spacing w:after="130" w:line="330"/>
        <w:jc w:val="right"/>
      </w:pPr>
      <w:r>
        <w:rPr>
          <w:b w:val="false"/>
          <w:bCs w:val="false"/>
          <w:i w:val="false"/>
          <w:iCs w:val="false"/>
          <w:sz w:val="24"/>
          <w:szCs w:val="24"/>
          <w:rtl/>
        </w:rPr>
        <w:t xml:space="preserve">كشف الفحص العكسي نمطًا عامًّا: دفتر الدورة يسجّل أسماء ملفاتٍ مقترحة لا أسماءها الفعلية على القرص، فيُحسب السطح القائم مفقودًا. وهذه أحد عشر مسارًا ثبت وجودها — وأيُّ إعادة تسمية قبل تصحيح هذا الجدول تكسر مسارًا حيًّا.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3300"/>
        <w:gridCol w:w="36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الشاشة</w:t>
            </w:r>
          </w:p>
        </w:tc>
        <w:tc>
          <w:tcPr>
            <w:tcW w:type="dxa" w:w="33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اسمها في الدفتر ← مسارها الحقيقي</w:t>
            </w:r>
          </w:p>
        </w:tc>
        <w:tc>
          <w:tcPr>
            <w:tcW w:type="dxa" w:w="3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الحكم</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آليات تعديل السعر</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price_adjust.php</w:t>
            </w:r>
          </w:p>
          <w:p>
            <w:pPr>
              <w:bidi w:val="false"/>
              <w:spacing w:after="20" w:line="280"/>
              <w:jc w:val="left"/>
            </w:pPr>
            <w:r>
              <w:rPr>
                <w:b w:val="false"/>
                <w:bCs w:val="false"/>
                <w:color w:val="1F6B3A"/>
                <w:sz w:val="18"/>
                <w:szCs w:val="18"/>
                <w:rtl w:val="false"/>
              </w:rPr>
              <w:t xml:space="preserve">Contracts/price_terms.php</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 الخلل في اسم الملف بالدفتر لا في الوجود</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فواتير العملاء</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invoices.php</w:t>
            </w:r>
          </w:p>
          <w:p>
            <w:pPr>
              <w:bidi w:val="false"/>
              <w:spacing w:after="20" w:line="280"/>
              <w:jc w:val="left"/>
            </w:pPr>
            <w:r>
              <w:rPr>
                <w:b w:val="false"/>
                <w:bCs w:val="false"/>
                <w:color w:val="1F6B3A"/>
                <w:sz w:val="18"/>
                <w:szCs w:val="18"/>
                <w:rtl w:val="false"/>
              </w:rPr>
              <w:t xml:space="preserve">Contracts/tax_invoices.php</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وبيتها المالية</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معدات المورد ومالكوها</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supplier_equip.php</w:t>
            </w:r>
          </w:p>
          <w:p>
            <w:pPr>
              <w:bidi w:val="false"/>
              <w:spacing w:after="20" w:line="280"/>
              <w:jc w:val="left"/>
            </w:pPr>
            <w:r>
              <w:rPr>
                <w:b w:val="false"/>
                <w:bCs w:val="false"/>
                <w:color w:val="1F6B3A"/>
                <w:sz w:val="18"/>
                <w:szCs w:val="18"/>
                <w:rtl w:val="false"/>
              </w:rPr>
              <w:t xml:space="preserve">Suppliers/equipment_plan.php</w:t>
            </w:r>
            <w:r>
              <w:rPr>
                <w:b w:val="false"/>
                <w:bCs w:val="false"/>
                <w:color w:val="1F6B3A"/>
                <w:sz w:val="18"/>
                <w:szCs w:val="18"/>
                <w:rtl/>
              </w:rPr>
              <w:t xml:space="preserve">#2</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منظورًا فرعيًّا</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أداء الموردين وجاهزيتهم</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supplier_perf.php</w:t>
            </w:r>
          </w:p>
          <w:p>
            <w:pPr>
              <w:bidi w:val="false"/>
              <w:spacing w:after="20" w:line="280"/>
              <w:jc w:val="left"/>
            </w:pPr>
            <w:r>
              <w:rPr>
                <w:b w:val="false"/>
                <w:bCs w:val="false"/>
                <w:color w:val="1F6B3A"/>
                <w:sz w:val="18"/>
                <w:szCs w:val="18"/>
                <w:rtl w:val="false"/>
              </w:rPr>
              <w:t xml:space="preserve">Suppliers/supplier_capacity.php</w:t>
            </w:r>
            <w:r>
              <w:rPr>
                <w:b w:val="false"/>
                <w:bCs w:val="false"/>
                <w:color w:val="1F6B3A"/>
                <w:sz w:val="18"/>
                <w:szCs w:val="18"/>
                <w:rtl/>
              </w:rPr>
              <w:t xml:space="preserve">#2</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منظورًا فرعيًّا</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دفتر استهلاك حصص الموردين</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quota_ledger.php</w:t>
            </w:r>
          </w:p>
          <w:p>
            <w:pPr>
              <w:bidi w:val="false"/>
              <w:spacing w:after="20" w:line="280"/>
              <w:jc w:val="left"/>
            </w:pPr>
            <w:r>
              <w:rPr>
                <w:b w:val="false"/>
                <w:bCs w:val="false"/>
                <w:color w:val="1F6B3A"/>
                <w:sz w:val="18"/>
                <w:szCs w:val="18"/>
                <w:rtl w:val="false"/>
              </w:rPr>
              <w:t xml:space="preserve">Suppliers/shares_coverage.php</w:t>
            </w:r>
            <w:r>
              <w:rPr>
                <w:b w:val="false"/>
                <w:bCs w:val="false"/>
                <w:color w:val="1F6B3A"/>
                <w:sz w:val="18"/>
                <w:szCs w:val="18"/>
                <w:rtl/>
              </w:rPr>
              <w:t xml:space="preserve">#2</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منظورًا فرعيًّا</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تسويات ومستحقات الموردين</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supplier_settle.php</w:t>
            </w:r>
          </w:p>
          <w:p>
            <w:pPr>
              <w:bidi w:val="false"/>
              <w:spacing w:after="20" w:line="280"/>
              <w:jc w:val="left"/>
            </w:pPr>
            <w:r>
              <w:rPr>
                <w:b w:val="false"/>
                <w:bCs w:val="false"/>
                <w:color w:val="1F6B3A"/>
                <w:sz w:val="18"/>
                <w:szCs w:val="18"/>
                <w:rtl w:val="false"/>
              </w:rPr>
              <w:t xml:space="preserve">Suppliers/settlements.php</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عقود الموردين</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supplier_contracts.php</w:t>
            </w:r>
          </w:p>
          <w:p>
            <w:pPr>
              <w:bidi w:val="false"/>
              <w:spacing w:after="20" w:line="280"/>
              <w:jc w:val="left"/>
            </w:pPr>
            <w:r>
              <w:rPr>
                <w:b w:val="false"/>
                <w:bCs w:val="false"/>
                <w:color w:val="1F6B3A"/>
                <w:sz w:val="18"/>
                <w:szCs w:val="18"/>
                <w:rtl w:val="false"/>
              </w:rPr>
              <w:t xml:space="preserve">Suppliers/supplierscontracts.php</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حصص الموردين من العقود</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supplier_quota.php</w:t>
            </w:r>
          </w:p>
          <w:p>
            <w:pPr>
              <w:bidi w:val="false"/>
              <w:spacing w:after="20" w:line="280"/>
              <w:jc w:val="left"/>
            </w:pPr>
            <w:r>
              <w:rPr>
                <w:b w:val="false"/>
                <w:bCs w:val="false"/>
                <w:color w:val="1F6B3A"/>
                <w:sz w:val="18"/>
                <w:szCs w:val="18"/>
                <w:rtl w:val="false"/>
              </w:rPr>
              <w:t xml:space="preserve">Suppliers/shares_coverage.php</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كشف حساب المورد الشهري</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supplier_stmt.php</w:t>
            </w:r>
          </w:p>
          <w:p>
            <w:pPr>
              <w:bidi w:val="false"/>
              <w:spacing w:after="20" w:line="280"/>
              <w:jc w:val="left"/>
            </w:pPr>
            <w:r>
              <w:rPr>
                <w:b w:val="false"/>
                <w:bCs w:val="false"/>
                <w:color w:val="1F6B3A"/>
                <w:sz w:val="18"/>
                <w:szCs w:val="18"/>
                <w:rtl w:val="false"/>
              </w:rPr>
              <w:t xml:space="preserve">Finance/supplier_statement_fin.php</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وبيتها المالية</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مصفوفة توجيه الطلبات المالية</w:t>
            </w:r>
          </w:p>
        </w:tc>
        <w:tc>
          <w:tcPr>
            <w:tcW w:type="dxa" w:w="3300"/>
            <w:shd w:fill="F2F6FA" w:color="auto" w:val="clear"/>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fin_routing.php</w:t>
            </w:r>
          </w:p>
          <w:p>
            <w:pPr>
              <w:bidi w:val="false"/>
              <w:spacing w:after="20" w:line="280"/>
              <w:jc w:val="left"/>
            </w:pPr>
            <w:r>
              <w:rPr>
                <w:b w:val="false"/>
                <w:bCs w:val="false"/>
                <w:color w:val="1F6B3A"/>
                <w:sz w:val="18"/>
                <w:szCs w:val="18"/>
                <w:rtl w:val="false"/>
              </w:rPr>
              <w:t xml:space="preserve">Finance/acc_routing_matrix.php</w:t>
            </w:r>
          </w:p>
        </w:tc>
        <w:tc>
          <w:tcPr>
            <w:tcW w:type="dxa" w:w="36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المرتجَع المالي للإدارات</w:t>
            </w:r>
          </w:p>
        </w:tc>
        <w:tc>
          <w:tcPr>
            <w:tcW w:type="dxa" w:w="3300"/>
            <w:tcMar>
              <w:top w:type="dxa" w:w="70"/>
              <w:left w:type="dxa" w:w="95"/>
              <w:bottom w:type="dxa" w:w="70"/>
              <w:right w:type="dxa" w:w="95"/>
            </w:tcMar>
            <w:vAlign w:val="center"/>
          </w:tcPr>
          <w:p>
            <w:pPr>
              <w:bidi w:val="false"/>
              <w:spacing w:after="20" w:line="280"/>
              <w:jc w:val="left"/>
            </w:pPr>
            <w:r>
              <w:rPr>
                <w:b w:val="false"/>
                <w:bCs w:val="false"/>
                <w:color w:val="A3151F"/>
                <w:sz w:val="18"/>
                <w:szCs w:val="18"/>
                <w:rtl w:val="false"/>
              </w:rPr>
              <w:t xml:space="preserve">fin_backflow.php</w:t>
            </w:r>
          </w:p>
          <w:p>
            <w:pPr>
              <w:bidi w:val="false"/>
              <w:spacing w:after="20" w:line="280"/>
              <w:jc w:val="left"/>
            </w:pPr>
            <w:r>
              <w:rPr>
                <w:b w:val="false"/>
                <w:bCs w:val="false"/>
                <w:color w:val="1F6B3A"/>
                <w:sz w:val="18"/>
                <w:szCs w:val="18"/>
                <w:rtl w:val="false"/>
              </w:rPr>
              <w:t xml:space="preserve">Finance/acc_backflow.php</w:t>
            </w:r>
          </w:p>
        </w:tc>
        <w:tc>
          <w:tcPr>
            <w:tcW w:type="dxa" w:w="3600"/>
            <w:tcMar>
              <w:top w:type="dxa" w:w="70"/>
              <w:left w:type="dxa" w:w="95"/>
              <w:bottom w:type="dxa" w:w="70"/>
              <w:right w:type="dxa" w:w="95"/>
            </w:tcMar>
            <w:vAlign w:val="center"/>
          </w:tcPr>
          <w:p>
            <w:pPr>
              <w:bidi/>
              <w:spacing w:after="20" w:line="280"/>
              <w:jc w:val="right"/>
            </w:pPr>
            <w:r>
              <w:rPr>
                <w:b w:val="false"/>
                <w:bCs w:val="false"/>
                <w:sz w:val="20"/>
                <w:szCs w:val="20"/>
                <w:rtl/>
              </w:rPr>
              <w:t xml:space="preserve">قائمة باسم مسار مختلف</w:t>
            </w:r>
          </w:p>
        </w:tc>
      </w:tr>
    </w:tbl>
    <w:p>
      <w:pPr>
        <w:pStyle w:val="Heading2"/>
        <w:keepNext/>
        <w:bidi/>
        <w:spacing w:after="140" w:before="280"/>
        <w:jc w:val="right"/>
      </w:pPr>
      <w:r>
        <w:rPr>
          <w:b/>
          <w:bCs/>
          <w:rtl/>
        </w:rPr>
        <w:t xml:space="preserve">قاموس تحويل المصطلحات بين المرجع الحاكم والمنصة</w:t>
      </w:r>
    </w:p>
    <w:p>
      <w:pPr>
        <w:bidi/>
        <w:spacing w:after="130" w:line="330"/>
        <w:jc w:val="right"/>
      </w:pPr>
      <w:r>
        <w:rPr>
          <w:b w:val="false"/>
          <w:bCs w:val="false"/>
          <w:i w:val="false"/>
          <w:iCs w:val="false"/>
          <w:sz w:val="24"/>
          <w:szCs w:val="24"/>
          <w:rtl/>
        </w:rPr>
        <w:t xml:space="preserve">المرجع الحاكم يستعمل مفردات دفترية قديمة، والمنصة اعتمدت مفرداتٍ مؤسسية بديلة. والترجمة بينهما ملزمة: يُقرأ المرجع بمفرداته، وتُعرض الواجهة بمفردات المنصة، ولا يظهر لفظ فنيٌّ واحد في التنقّل.</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3000"/>
        <w:gridCol w:w="2600"/>
        <w:gridCol w:w="4200"/>
      </w:tblGrid>
      <w:tr>
        <w:trPr>
          <w:cantSplit/>
          <w:tblHeader/>
        </w:trPr>
        <w:tc>
          <w:tcPr>
            <w:tcW w:type="dxa" w:w="30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لفظ المرجع</w:t>
            </w:r>
          </w:p>
        </w:tc>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اللفظ المؤسسي</w:t>
            </w:r>
          </w:p>
        </w:tc>
        <w:tc>
          <w:tcPr>
            <w:tcW w:type="dxa" w:w="4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قاعدة الظهور</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الحاوية السنوية</w:t>
            </w:r>
          </w:p>
          <w:p>
            <w:pPr>
              <w:bidi w:val="false"/>
              <w:spacing w:after="20" w:line="280"/>
              <w:jc w:val="left"/>
            </w:pPr>
            <w:r>
              <w:rPr>
                <w:b w:val="false"/>
                <w:bCs w:val="false"/>
                <w:color w:val="5A6B7B"/>
                <w:sz w:val="18"/>
                <w:szCs w:val="18"/>
                <w:rtl w:val="false"/>
              </w:rPr>
              <w:t xml:space="preserve">contract_coverage.php</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التغطية التعاقدية للفترة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لا تظهر كلمة الحاوية في التنقّل — تظهر تبويبًا داخل ملف عقد العميل</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الخانة</w:t>
            </w:r>
          </w:p>
          <w:p>
            <w:pPr>
              <w:bidi w:val="false"/>
              <w:spacing w:after="20" w:line="280"/>
              <w:jc w:val="left"/>
            </w:pPr>
            <w:r>
              <w:rPr>
                <w:b w:val="false"/>
                <w:bCs w:val="false"/>
                <w:color w:val="5A6B7B"/>
                <w:sz w:val="18"/>
                <w:szCs w:val="18"/>
                <w:rtl w:val="false"/>
              </w:rPr>
              <w:t xml:space="preserve">contractual</w:t>
            </w:r>
            <w:r>
              <w:rPr>
                <w:b w:val="false"/>
                <w:bCs w:val="false"/>
                <w:color w:val="5A6B7B"/>
                <w:sz w:val="18"/>
                <w:szCs w:val="18"/>
                <w:rtl/>
              </w:rPr>
              <w:t xml:space="preserve"> </w:t>
            </w:r>
            <w:r>
              <w:rPr>
                <w:b w:val="false"/>
                <w:bCs w:val="false"/>
                <w:color w:val="5A6B7B"/>
                <w:sz w:val="18"/>
                <w:szCs w:val="18"/>
                <w:rtl w:val="false"/>
              </w:rPr>
              <w:t xml:space="preserve">unit</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color w:val="1F3B57"/>
                <w:sz w:val="21"/>
                <w:szCs w:val="21"/>
                <w:rtl/>
              </w:rPr>
              <w:t xml:space="preserve">الوحدة التعاقدية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وحدة التوزيع المرقَّمة التي تُغطى بمعدة — لا بند تنقّل باسمها</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خانات-شهر</w:t>
            </w:r>
          </w:p>
          <w:p>
            <w:pPr>
              <w:bidi w:val="false"/>
              <w:spacing w:after="20" w:line="280"/>
              <w:jc w:val="left"/>
            </w:pPr>
            <w:r>
              <w:rPr>
                <w:b w:val="false"/>
                <w:bCs w:val="false"/>
                <w:color w:val="5A6B7B"/>
                <w:sz w:val="18"/>
                <w:szCs w:val="18"/>
                <w:rtl w:val="false"/>
              </w:rPr>
              <w:t xml:space="preserve">slot-months</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أشهر الوحدة التعاقدية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أساس احتساب الحصة الزمني</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حصة المورد</w:t>
            </w:r>
          </w:p>
          <w:p>
            <w:pPr>
              <w:bidi w:val="false"/>
              <w:spacing w:after="20" w:line="280"/>
              <w:jc w:val="left"/>
            </w:pPr>
            <w:r>
              <w:rPr>
                <w:b w:val="false"/>
                <w:bCs w:val="false"/>
                <w:color w:val="5A6B7B"/>
                <w:sz w:val="18"/>
                <w:szCs w:val="18"/>
                <w:rtl w:val="false"/>
              </w:rPr>
              <w:t xml:space="preserve">shares_coverage.php</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color w:val="1F3B57"/>
                <w:sz w:val="21"/>
                <w:szCs w:val="21"/>
                <w:rtl/>
              </w:rPr>
              <w:t xml:space="preserve">حصة المورد من الالتزام</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تظل بهذا الاسم — وهي مشتقة من التزام العقد لا منشئة له</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سعة الحاوية</w:t>
            </w:r>
          </w:p>
          <w:p>
            <w:pPr>
              <w:bidi w:val="false"/>
              <w:spacing w:after="20" w:line="280"/>
              <w:jc w:val="left"/>
            </w:pPr>
            <w:r>
              <w:rPr>
                <w:b w:val="false"/>
                <w:bCs w:val="false"/>
                <w:color w:val="5A6B7B"/>
                <w:sz w:val="18"/>
                <w:szCs w:val="18"/>
                <w:rtl w:val="false"/>
              </w:rPr>
              <w:t xml:space="preserve">contract_baseline.php</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المستهدف التعاقدي للفترة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يُقرأ من خط الأساس ولا يُدخل مرتين</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فجوة التغطية</w:t>
            </w:r>
          </w:p>
          <w:p>
            <w:pPr>
              <w:bidi w:val="false"/>
              <w:spacing w:after="20" w:line="280"/>
              <w:jc w:val="left"/>
            </w:pPr>
            <w:r>
              <w:rPr>
                <w:b w:val="false"/>
                <w:bCs w:val="false"/>
                <w:color w:val="5A6B7B"/>
                <w:sz w:val="18"/>
                <w:szCs w:val="18"/>
                <w:rtl w:val="false"/>
              </w:rPr>
              <w:t xml:space="preserve">coverage</w:t>
            </w:r>
            <w:r>
              <w:rPr>
                <w:b w:val="false"/>
                <w:bCs w:val="false"/>
                <w:color w:val="5A6B7B"/>
                <w:sz w:val="18"/>
                <w:szCs w:val="18"/>
                <w:rtl/>
              </w:rPr>
              <w:t xml:space="preserve"> </w:t>
            </w:r>
            <w:r>
              <w:rPr>
                <w:b w:val="false"/>
                <w:bCs w:val="false"/>
                <w:color w:val="5A6B7B"/>
                <w:sz w:val="18"/>
                <w:szCs w:val="18"/>
                <w:rtl w:val="false"/>
              </w:rPr>
              <w:t xml:space="preserve">gap</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color w:val="1F3B57"/>
                <w:sz w:val="21"/>
                <w:szCs w:val="21"/>
                <w:rtl/>
              </w:rPr>
              <w:t xml:space="preserve">فجوة التغطية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تبقى بلفظها — وهي فرق المنفَّذ عن المستهدف المنقضي</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المنفَّذ / المنجز المقاس</w:t>
            </w:r>
          </w:p>
          <w:p>
            <w:pPr>
              <w:bidi w:val="false"/>
              <w:spacing w:after="20" w:line="280"/>
              <w:jc w:val="left"/>
            </w:pPr>
            <w:r>
              <w:rPr>
                <w:b w:val="false"/>
                <w:bCs w:val="false"/>
                <w:color w:val="5A6B7B"/>
                <w:sz w:val="18"/>
                <w:szCs w:val="18"/>
                <w:rtl w:val="false"/>
              </w:rPr>
              <w:t xml:space="preserve">approved</w:t>
            </w:r>
            <w:r>
              <w:rPr>
                <w:b w:val="false"/>
                <w:bCs w:val="false"/>
                <w:color w:val="5A6B7B"/>
                <w:sz w:val="18"/>
                <w:szCs w:val="18"/>
                <w:rtl/>
              </w:rPr>
              <w:t xml:space="preserve"> </w:t>
            </w:r>
            <w:r>
              <w:rPr>
                <w:b w:val="false"/>
                <w:bCs w:val="false"/>
                <w:color w:val="5A6B7B"/>
                <w:sz w:val="18"/>
                <w:szCs w:val="18"/>
                <w:rtl w:val="false"/>
              </w:rPr>
              <w:t xml:space="preserve">units</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الوحدات المعتمدة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لا تُدخل يدويًّا في المبيعات ولا الموردين</w:t>
            </w:r>
          </w:p>
        </w:tc>
      </w:tr>
      <w:tr>
        <w:trPr>
          <w:cantSplit/>
        </w:trPr>
        <w:tc>
          <w:tcPr>
            <w:tcW w:type="dxa" w:w="30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المطالبة / المستخلص</w:t>
            </w:r>
          </w:p>
          <w:p>
            <w:pPr>
              <w:bidi w:val="false"/>
              <w:spacing w:after="20" w:line="280"/>
              <w:jc w:val="left"/>
            </w:pPr>
            <w:r>
              <w:rPr>
                <w:b w:val="false"/>
                <w:bCs w:val="false"/>
                <w:color w:val="5A6B7B"/>
                <w:sz w:val="18"/>
                <w:szCs w:val="18"/>
                <w:rtl w:val="false"/>
              </w:rPr>
              <w:t xml:space="preserve">claims.php</w:t>
            </w:r>
          </w:p>
        </w:tc>
        <w:tc>
          <w:tcPr>
            <w:tcW w:type="dxa" w:w="2600"/>
            <w:shd w:fill="F2F6FA" w:color="auto" w:val="clear"/>
            <w:tcMar>
              <w:top w:type="dxa" w:w="70"/>
              <w:left w:type="dxa" w:w="95"/>
              <w:bottom w:type="dxa" w:w="70"/>
              <w:right w:type="dxa" w:w="95"/>
            </w:tcMar>
            <w:vAlign w:val="center"/>
          </w:tcPr>
          <w:p>
            <w:pPr>
              <w:bidi/>
              <w:spacing w:after="20" w:line="280"/>
              <w:jc w:val="right"/>
            </w:pPr>
            <w:r>
              <w:rPr>
                <w:b/>
                <w:bCs/>
                <w:color w:val="1F3B57"/>
                <w:sz w:val="21"/>
                <w:szCs w:val="21"/>
                <w:rtl/>
              </w:rPr>
              <w:t xml:space="preserve">المطالبة التجارية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بيتها المبيعات — والفاتورة بيتها المالية</w:t>
            </w:r>
          </w:p>
        </w:tc>
      </w:tr>
      <w:tr>
        <w:trPr>
          <w:cantSplit/>
        </w:trPr>
        <w:tc>
          <w:tcPr>
            <w:tcW w:type="dxa" w:w="3000"/>
            <w:tcMar>
              <w:top w:type="dxa" w:w="70"/>
              <w:left w:type="dxa" w:w="95"/>
              <w:bottom w:type="dxa" w:w="70"/>
              <w:right w:type="dxa" w:w="95"/>
            </w:tcMar>
            <w:vAlign w:val="center"/>
          </w:tcPr>
          <w:p>
            <w:pPr>
              <w:bidi/>
              <w:spacing w:after="20" w:line="280"/>
              <w:jc w:val="right"/>
            </w:pPr>
            <w:r>
              <w:rPr>
                <w:b/>
                <w:bCs/>
                <w:sz w:val="21"/>
                <w:szCs w:val="21"/>
                <w:rtl/>
              </w:rPr>
              <w:t xml:space="preserve">طلب الدفع</w:t>
            </w:r>
          </w:p>
          <w:p>
            <w:pPr>
              <w:bidi w:val="false"/>
              <w:spacing w:after="20" w:line="280"/>
              <w:jc w:val="left"/>
            </w:pPr>
            <w:r>
              <w:rPr>
                <w:b w:val="false"/>
                <w:bCs w:val="false"/>
                <w:color w:val="5A6B7B"/>
                <w:sz w:val="18"/>
                <w:szCs w:val="18"/>
                <w:rtl w:val="false"/>
              </w:rPr>
              <w:t xml:space="preserve">payments_fin.php</w:t>
            </w:r>
          </w:p>
        </w:tc>
        <w:tc>
          <w:tcPr>
            <w:tcW w:type="dxa" w:w="2600"/>
            <w:tcMar>
              <w:top w:type="dxa" w:w="70"/>
              <w:left w:type="dxa" w:w="95"/>
              <w:bottom w:type="dxa" w:w="70"/>
              <w:right w:type="dxa" w:w="95"/>
            </w:tcMar>
            <w:vAlign w:val="center"/>
          </w:tcPr>
          <w:p>
            <w:pPr>
              <w:bidi/>
              <w:spacing w:after="20" w:line="280"/>
              <w:jc w:val="right"/>
            </w:pPr>
            <w:r>
              <w:rPr>
                <w:b/>
                <w:bCs/>
                <w:color w:val="1F3B57"/>
                <w:sz w:val="21"/>
                <w:szCs w:val="21"/>
                <w:rtl/>
              </w:rPr>
              <w:t xml:space="preserve">طلب الدفع</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يُنشأ في الموردين ويُنفَّذ في الخزينة</w:t>
            </w:r>
          </w:p>
        </w:tc>
      </w:tr>
    </w:tbl>
    <w:p>
      <w:r>
        <w:br w:type="page"/>
      </w:r>
    </w:p>
    <w:p>
      <w:pPr>
        <w:pStyle w:val="Heading1"/>
        <w:keepNext/>
        <w:bidi/>
        <w:spacing w:after="180" w:before="360"/>
        <w:jc w:val="right"/>
      </w:pPr>
      <w:r>
        <w:rPr>
          <w:b/>
          <w:bCs/>
          <w:rtl/>
        </w:rPr>
        <w:t xml:space="preserve">البند السادس والعشرون — الحفاظ على نظام التصميم القائم</w:t>
      </w:r>
    </w:p>
    <w:p>
      <w:pPr>
        <w:bidi/>
        <w:spacing w:after="130" w:line="330"/>
        <w:jc w:val="right"/>
      </w:pPr>
      <w:r>
        <w:rPr>
          <w:b w:val="false"/>
          <w:bCs w:val="false"/>
          <w:i w:val="false"/>
          <w:iCs w:val="false"/>
          <w:sz w:val="24"/>
          <w:szCs w:val="24"/>
          <w:rtl/>
        </w:rPr>
        <w:t xml:space="preserve">هذا بندٌ مضافٌ بعد المراجعة العكسية، وهو شرط قبولٍ لا توصية. واجهة النظام الحالية أُنجز فيها تنسيقٌ مؤسسيٌّ متقدّم بعد صدور وثائق المعمارية، فلا تجده موصوفًا فيها — ومصدر الحقيقة في شكل الواجهة هو النظام الحي نفسه لا الوثائق. ولذلك:</w:t>
      </w:r>
    </w:p>
    <w:p>
      <w:pPr>
        <w:bidi/>
        <w:spacing w:after="130" w:line="330"/>
        <w:jc w:val="right"/>
      </w:pPr>
      <w:r>
        <w:rPr>
          <w:b/>
          <w:bCs/>
          <w:i w:val="false"/>
          <w:iCs w:val="false"/>
          <w:sz w:val="24"/>
          <w:szCs w:val="24"/>
          <w:rtl/>
        </w:rPr>
        <w:t xml:space="preserve">كل ما هو صحيح ودقيق في الواجهة القائمة يبقى كما هو حرفيًّا. ولا يُغيَّر شيء في أساسيات بناء واجهة المستخدم التي ستجدها. وطريقة البناء والتنسيق والتصميم الموجودة في النظام هي الطريقة الملزمة — لا يُخرَج عنها ولا يُجتهد بديلٌ عنها.</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600"/>
        <w:gridCol w:w="7200"/>
      </w:tblGrid>
      <w:tr>
        <w:trPr>
          <w:cantSplit/>
          <w:tblHeader/>
        </w:trPr>
        <w:tc>
          <w:tcPr>
            <w:tcW w:type="dxa" w:w="26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العنصر</w:t>
            </w:r>
          </w:p>
        </w:tc>
        <w:tc>
          <w:tcPr>
            <w:tcW w:type="dxa" w:w="7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القاعدة الملزمة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القشرة العامة</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الشريط العلوي ومبدّل المساحات وشريط الإشعارات والقائمة الجانبية اليمنى بحقل بحثها — تُستعمل كما هي ولا يُعاد بناء أيٍّ منها.</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شبكة الوصول السريع</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تبقى بترتيبها وأيقوناتها وسلوكها — ويُضاف إليها أو يُحذف منها بالبيانات لا بإعادة البناء.</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بطاقات بيانات الجلسة</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شريط النطاق والصلاحية ولحظة القراءة يبقى في كل شاشة كما هو — وهو دليل الحوكمة أمام المستخدم.</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الألوان والحالات</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لوحة الألوان القائمة وشارات الأعداد وألوان الحالات تُستعمل بمعانيها الحالية — ولا تُخترع دلالة لون جديدة.</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الجداول والمرشِّحات</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إعداد الجداول وأدوات الترشيح والتصدير وترقيم الصفحات يُستنسخ من شاشة قائمة مماثلة، بالإعداد نفسه لا بإعداد جديد.</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النماذج والأزرار</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أشكال النماذج ومواضع الأزرار وترتيب الحقول ورسائل التحقق تتبع النمط القائم حرفيًّا.</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الاتجاه والخط</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الاتجاه من اليمين والخط والمقاسات والتباعد كما هي — ولا تُضاف مكتبة خطوط أو تنسيق خارجي.</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بناء أي شاشة جديدة</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تُبنى باستنساخ أقرب شاشة قائمة في الإدارة نفسها ثم تغيير محتواها — لا من صفحة فارغة ولا بمكوّن جديد.</w:t>
            </w:r>
          </w:p>
        </w:tc>
      </w:tr>
      <w:tr>
        <w:trPr>
          <w:cantSplit/>
        </w:trPr>
        <w:tc>
          <w:tcPr>
            <w:tcW w:type="dxa" w:w="2600"/>
            <w:tcMar>
              <w:top w:type="dxa" w:w="70"/>
              <w:left w:type="dxa" w:w="95"/>
              <w:bottom w:type="dxa" w:w="70"/>
              <w:right w:type="dxa" w:w="95"/>
            </w:tcMar>
            <w:vAlign w:val="center"/>
          </w:tcPr>
          <w:p>
            <w:pPr>
              <w:bidi/>
              <w:spacing w:after="20" w:line="280"/>
              <w:jc w:val="right"/>
            </w:pPr>
            <w:r>
              <w:rPr>
                <w:b/>
                <w:bCs/>
                <w:sz w:val="21"/>
                <w:szCs w:val="21"/>
                <w:rtl/>
              </w:rPr>
              <w:t xml:space="preserve">ما يُمنع منعًا باتًّا</w:t>
            </w:r>
          </w:p>
        </w:tc>
        <w:tc>
          <w:tcPr>
            <w:tcW w:type="dxa" w:w="7200"/>
            <w:tcMar>
              <w:top w:type="dxa" w:w="70"/>
              <w:left w:type="dxa" w:w="95"/>
              <w:bottom w:type="dxa" w:w="70"/>
              <w:right w:type="dxa" w:w="95"/>
            </w:tcMar>
            <w:vAlign w:val="center"/>
          </w:tcPr>
          <w:p>
            <w:pPr>
              <w:bidi/>
              <w:spacing w:after="20" w:line="280"/>
              <w:jc w:val="right"/>
            </w:pPr>
            <w:r>
              <w:rPr>
                <w:b w:val="false"/>
                <w:bCs w:val="false"/>
                <w:sz w:val="20"/>
                <w:szCs w:val="20"/>
                <w:rtl/>
              </w:rPr>
              <w:t xml:space="preserve">تنسيق محلي في الملف، أو مكتبة واجهة إضافية، أو شبكة تخطيط بديلة، أو أيقونات من مجموعة أخرى، أو إعادة تصميم القائمة الجانبية.</w:t>
            </w:r>
          </w:p>
        </w:tc>
      </w:tr>
      <w:tr>
        <w:trPr>
          <w:cantSplit/>
        </w:trPr>
        <w:tc>
          <w:tcPr>
            <w:tcW w:type="dxa" w:w="26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حدود التغيير المسموح</w:t>
            </w:r>
          </w:p>
        </w:tc>
        <w:tc>
          <w:tcPr>
            <w:tcW w:type="dxa" w:w="7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التسمية والتجميع والترتيب والإسقاط والصلاحية فقط — أما شكل الواجهة وبناؤها فلا يُمس.</w:t>
            </w:r>
          </w:p>
        </w:tc>
      </w:tr>
    </w:tbl>
    <w:p>
      <w:pPr>
        <w:bidi/>
        <w:spacing w:before="130"/>
        <w:jc w:val="right"/>
      </w:pPr>
      <w:r>
        <w:rPr>
          <w:b/>
          <w:bCs/>
          <w:i w:val="false"/>
          <w:iCs w:val="false"/>
          <w:sz w:val="24"/>
          <w:szCs w:val="24"/>
          <w:rtl/>
        </w:rPr>
        <w:t xml:space="preserve">وقاعدة الحسم عند أي تعارض: إذا خالف نصٌّ في هذه الوثيقة أو في المعمارية شكلَ الواجهة القائمة، فالواجهة القائمة هي الحاكمة في الشكل، والوثيقة حاكمة في الدورة والملكية والترتيب. فالتصحيح يمس مكان الشاشة واسمها وصلاحيتها وترتيبها — لا هيئتها.</w:t>
      </w:r>
    </w:p>
    <w:p>
      <w:pPr>
        <w:pStyle w:val="Heading2"/>
        <w:keepNext/>
        <w:bidi/>
        <w:spacing w:after="140" w:before="280"/>
        <w:jc w:val="right"/>
      </w:pPr>
      <w:r>
        <w:rPr>
          <w:b/>
          <w:bCs/>
          <w:rtl/>
        </w:rPr>
        <w:t xml:space="preserve">حدُّ هذا البند: منعُ الاجتهاد المحلي لا تجميدُ التحسين</w:t>
      </w:r>
    </w:p>
    <w:p>
      <w:pPr>
        <w:bidi/>
        <w:spacing w:after="130" w:line="330"/>
        <w:jc w:val="right"/>
      </w:pPr>
      <w:r>
        <w:rPr>
          <w:b w:val="false"/>
          <w:bCs w:val="false"/>
          <w:i w:val="false"/>
          <w:iCs w:val="false"/>
          <w:sz w:val="24"/>
          <w:szCs w:val="24"/>
          <w:rtl/>
        </w:rPr>
        <w:t xml:space="preserve">هذا البند يمنع أن يخترع المنفِّذ نمطًا محليًّا لنفسه، ولا يمنع تحسين نظام التصميم من مصدره المركزي. فبرنامج تجربة المستخدم قائمٌ ونافذ، وما سُجِّل فيه من عيوبٍ في كثافة الجداول والترويسات والمرشِّحات والأزرار والمساحات البيضاء والسلوك المتجاوب يبقى مفتوحًا للإصلاح — بشرطين: أن يقع الإصلاح في المكوّن المركزي فيسري على الشاشات كلها دفعةً واحدة، وألّا يُنفَّذ في شاشةٍ بعينها ضمن هذه الجولة. أي أن الممنوع نمطٌ محليٌّ جديد، والمسموح تحسينٌ مركزيٌّ معتمد.</w:t>
      </w:r>
    </w:p>
    <w:p>
      <w:r>
        <w:br w:type="page"/>
      </w:r>
    </w:p>
    <w:p>
      <w:pPr>
        <w:pStyle w:val="Heading1"/>
        <w:keepNext/>
        <w:bidi/>
        <w:spacing w:after="180" w:before="360"/>
        <w:jc w:val="right"/>
      </w:pPr>
      <w:r>
        <w:rPr>
          <w:b/>
          <w:bCs/>
          <w:rtl/>
        </w:rPr>
        <w:t xml:space="preserve">البند الرابع والعشرون والخامس والعشرون — نقطة الأمان ومسار التنفيذ</w:t>
      </w:r>
    </w:p>
    <w:p>
      <w:pPr>
        <w:bidi/>
        <w:spacing w:after="130" w:line="330"/>
        <w:jc w:val="right"/>
      </w:pPr>
      <w:r>
        <w:rPr>
          <w:b w:val="false"/>
          <w:bCs w:val="false"/>
          <w:i w:val="false"/>
          <w:iCs w:val="false"/>
          <w:sz w:val="24"/>
          <w:szCs w:val="24"/>
          <w:rtl/>
        </w:rPr>
        <w:t xml:space="preserve">قبل تعديل أول مسار: وسمُ التزامٍ ونظافةُ شجرة العمل، ونسخةُ قاعدة بيانات، ولقطةُ تنقّلٍ للإدارات المتأثرة، ومصفوفاتُ الدور والشاشة والحقل، وقائمةُ المسارات القائمة، وخطُّ أساسٍ بصريٍّ للشاشات المتأثرة. ثم تغييرات صغيرة قابلة للعكس.</w:t>
      </w:r>
    </w:p>
    <w:p>
      <w:pPr>
        <w:bidi/>
        <w:spacing w:after="130" w:line="330"/>
        <w:jc w:val="right"/>
      </w:pPr>
      <w:r>
        <w:rPr>
          <w:b w:val="false"/>
          <w:bCs w:val="false"/>
          <w:i w:val="false"/>
          <w:iCs w:val="false"/>
          <w:sz w:val="24"/>
          <w:szCs w:val="24"/>
          <w:rtl/>
        </w:rPr>
        <w:t xml:space="preserve">ولا يُعاد بناء ما أُصلح معماريًّا: لا محرك صلاحيات محلي، ولا منطق اعتماد محلي، ولا إعداد تنقّل محلي، ولا مكوّن تنسيق محلي، ولا انتقال حالة محلي، ولا كاتب مباشر إلى قاعدة البيانات. المصادر المركزية وحدها.</w:t>
      </w:r>
    </w:p>
    <w:p>
      <w:pPr>
        <w:pStyle w:val="Heading2"/>
        <w:keepNext/>
        <w:bidi/>
        <w:spacing w:after="140" w:before="280"/>
        <w:jc w:val="right"/>
      </w:pPr>
      <w:r>
        <w:rPr>
          <w:b/>
          <w:bCs/>
          <w:rtl/>
        </w:rPr>
        <w:t xml:space="preserve">أمر التنفيذ بالترتيب</w:t>
      </w:r>
    </w:p>
    <w:p>
      <w:pPr>
        <w:pStyle w:val="ListParagraph"/>
        <w:numPr>
          <w:ilvl w:val="0"/>
          <w:numId w:val="2"/>
        </w:numPr>
        <w:bidi/>
        <w:spacing w:after="110" w:line="330"/>
        <w:jc w:val="right"/>
      </w:pPr>
      <w:r>
        <w:rPr>
          <w:rtl/>
        </w:rPr>
        <w:t xml:space="preserve">تثبيت نقطة الأمان: وسم التزام، ولقطة سايدبار للموردين والمالية والتشغيل والأسطول، ونسخة قاعدة بيانات، ومصفوفات الدور والشاشة والحقل.</w:t>
      </w:r>
    </w:p>
    <w:p>
      <w:pPr>
        <w:pStyle w:val="ListParagraph"/>
        <w:numPr>
          <w:ilvl w:val="0"/>
          <w:numId w:val="2"/>
        </w:numPr>
        <w:bidi/>
        <w:spacing w:after="110" w:line="330"/>
        <w:jc w:val="right"/>
      </w:pPr>
      <w:r>
        <w:rPr>
          <w:rtl/>
        </w:rPr>
        <w:t xml:space="preserve">فتح جانب الطلب: قلب التزام العقد بنوع المعدة من ممنوع إلى قراءة سياقية داخل مساحة الموردين — فبدونه كتلة التعاقد بلا مدخل.</w:t>
      </w:r>
    </w:p>
    <w:p>
      <w:pPr>
        <w:pStyle w:val="ListParagraph"/>
        <w:numPr>
          <w:ilvl w:val="0"/>
          <w:numId w:val="2"/>
        </w:numPr>
        <w:bidi/>
        <w:spacing w:after="110" w:line="330"/>
        <w:jc w:val="right"/>
      </w:pPr>
      <w:r>
        <w:rPr>
          <w:rtl/>
        </w:rPr>
        <w:t xml:space="preserve">تصحيح المسارات والمراحل: توحيد اسمَي عقود الموردين والحصص مع أسمائهما على القرص، ونقل سجل الموردين من مرحلة طلبات العروض إلى التأسيس.</w:t>
      </w:r>
    </w:p>
    <w:p>
      <w:pPr>
        <w:pStyle w:val="ListParagraph"/>
        <w:numPr>
          <w:ilvl w:val="0"/>
          <w:numId w:val="2"/>
        </w:numPr>
        <w:bidi/>
        <w:spacing w:after="110" w:line="330"/>
        <w:jc w:val="right"/>
      </w:pPr>
      <w:r>
        <w:rPr>
          <w:rtl/>
        </w:rPr>
        <w:t xml:space="preserve">بناء ملف المورد الأمّ وملف عقد المورد الأمّ، وتحويل التوابع إلى تبويبات مع إبقاء المسارات محوَّلة.</w:t>
      </w:r>
    </w:p>
    <w:p>
      <w:pPr>
        <w:pStyle w:val="ListParagraph"/>
        <w:numPr>
          <w:ilvl w:val="0"/>
          <w:numId w:val="2"/>
        </w:numPr>
        <w:bidi/>
        <w:spacing w:after="110" w:line="330"/>
        <w:jc w:val="right"/>
      </w:pPr>
      <w:r>
        <w:rPr>
          <w:rtl/>
        </w:rPr>
        <w:t xml:space="preserve">تنفيذ الدمجين: الوثائق مع الحساب البنكي، والطاقة مع تسليم الحصص — بإثبات التكافؤ قبل التحويل.</w:t>
      </w:r>
    </w:p>
    <w:p>
      <w:pPr>
        <w:pStyle w:val="ListParagraph"/>
        <w:numPr>
          <w:ilvl w:val="0"/>
          <w:numId w:val="2"/>
        </w:numPr>
        <w:bidi/>
        <w:spacing w:after="110" w:line="330"/>
        <w:jc w:val="right"/>
      </w:pPr>
      <w:r>
        <w:rPr>
          <w:rtl/>
        </w:rPr>
        <w:t xml:space="preserve">تسجيل المنظورات باسمها: دفتر استهلاك الحصص منظورًا محفوظًا لا شاشة مفقودة، ومستهدفات الموردين منظورًا مشتقًّا.</w:t>
      </w:r>
    </w:p>
    <w:p>
      <w:pPr>
        <w:pStyle w:val="ListParagraph"/>
        <w:numPr>
          <w:ilvl w:val="0"/>
          <w:numId w:val="2"/>
        </w:numPr>
        <w:bidi/>
        <w:spacing w:after="110" w:line="330"/>
        <w:jc w:val="right"/>
      </w:pPr>
      <w:r>
        <w:rPr>
          <w:rtl/>
        </w:rPr>
        <w:t xml:space="preserve">تصحيح جدول المسارات أولًا (أحد عشر مسارًا قائمًا مسجَّلًا باسم خاطئ) — فأي إعادة تسمية قبله تكسر مسارًا حيًّا. ثم بناء القدرات الثلاث المفقودة: توليد التزامات عقد المورد، ثم المخالفات والجزاءات، ثم لوحة الإدارة.</w:t>
      </w:r>
    </w:p>
    <w:p>
      <w:pPr>
        <w:pStyle w:val="ListParagraph"/>
        <w:numPr>
          <w:ilvl w:val="0"/>
          <w:numId w:val="2"/>
        </w:numPr>
        <w:bidi/>
        <w:spacing w:after="110" w:line="330"/>
        <w:jc w:val="right"/>
      </w:pPr>
      <w:r>
        <w:rPr>
          <w:rtl/>
        </w:rPr>
        <w:t xml:space="preserve">قلب شاشات المالية إلى إسقاطات: حالة الصرف والمدفوع والمتبقي ومرجع الصرف — ثم اشتقاق السايدبار من الدورة وتشغيل بوابات القبول.</w:t>
      </w:r>
    </w:p>
    <w:p>
      <w:r>
        <w:br w:type="page"/>
      </w:r>
    </w:p>
    <w:p>
      <w:pPr>
        <w:pStyle w:val="Heading1"/>
        <w:keepNext/>
        <w:bidi/>
        <w:spacing w:after="180" w:before="360"/>
        <w:jc w:val="right"/>
      </w:pPr>
      <w:r>
        <w:rPr>
          <w:b/>
          <w:bCs/>
          <w:rtl/>
        </w:rPr>
        <w:t xml:space="preserve">البند الثالث والعشرون — الرحلة الكاملة للاختبار</w:t>
      </w:r>
    </w:p>
    <w:p>
      <w:pPr>
        <w:bidi/>
        <w:spacing w:after="130" w:line="330"/>
        <w:jc w:val="right"/>
      </w:pPr>
      <w:r>
        <w:rPr>
          <w:b w:val="false"/>
          <w:bCs w:val="false"/>
          <w:i w:val="false"/>
          <w:iCs w:val="false"/>
          <w:sz w:val="24"/>
          <w:szCs w:val="24"/>
          <w:rtl/>
        </w:rPr>
        <w:t xml:space="preserve">لا تُقبل الجولة قبل عبور الرحلة من أول سجلٍّ في المرجع الحاكم إلى حدّ التسليم، دون أن يضطر الموظف إلى دخول شاشةٍ ليست من بيت إدارته:</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900"/>
        <w:gridCol w:w="4200"/>
        <w:gridCol w:w="2700"/>
      </w:tblGrid>
      <w:tr>
        <w:trPr>
          <w:cantSplit/>
          <w:tblHeader/>
        </w:trPr>
        <w:tc>
          <w:tcPr>
            <w:tcW w:type="dxa" w:w="29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المحطة</w:t>
            </w:r>
          </w:p>
        </w:tc>
        <w:tc>
          <w:tcPr>
            <w:tcW w:type="dxa" w:w="4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ما يجري فيها</w:t>
            </w:r>
          </w:p>
        </w:tc>
        <w:tc>
          <w:tcPr>
            <w:tcW w:type="dxa" w:w="27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السطح</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تسجيل المورد</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فتح ملف المورد وجهات اتصاله ومفوضيه</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suppliers.php</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التأهيل والتحقق من القدرة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الوثائق والحساب البنكي وصفة المعدات والطاقة</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supplier_documents</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مراجعة احتياج التغطية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قراءة فجوة التغطية من عقد العميل</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contract_coverage</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ترشيح المورد ومراجعة التعاقد</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الترشيح وفحوص ما قبل التعاقد والاعتماد</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rfq_requests</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إبرام عقد المورد</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العقد وبنوده ومصفوفة مسؤولياته</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supplierscontracts</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تخصيص الحصة التعاقدية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الحصة على التغطية ثم إسناد المعدات لتنفيذها</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shares_coverage</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متابعة الأداء المعتمد</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اعتماد الوحدات المنفَّذة ثم قراءتها في الكشف</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unit_supplier_approve</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احتساب الاستحقاق والتسوية</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الاستحقاق ثم الإقفال الشهري ثم طلب الدفع</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settlements.php</w:t>
            </w:r>
          </w:p>
        </w:tc>
      </w:tr>
      <w:tr>
        <w:trPr>
          <w:cantSplit/>
        </w:trPr>
        <w:tc>
          <w:tcPr>
            <w:tcW w:type="dxa" w:w="2900"/>
            <w:tcMar>
              <w:top w:type="dxa" w:w="70"/>
              <w:left w:type="dxa" w:w="95"/>
              <w:bottom w:type="dxa" w:w="70"/>
              <w:right w:type="dxa" w:w="95"/>
            </w:tcMar>
            <w:vAlign w:val="center"/>
          </w:tcPr>
          <w:p>
            <w:pPr>
              <w:bidi/>
              <w:spacing w:after="20" w:line="280"/>
              <w:jc w:val="right"/>
            </w:pPr>
            <w:r>
              <w:rPr>
                <w:b/>
                <w:bCs/>
                <w:sz w:val="21"/>
                <w:szCs w:val="21"/>
                <w:rtl/>
              </w:rPr>
              <w:t xml:space="preserve">حدّ التسليم للمالية</w:t>
            </w:r>
          </w:p>
        </w:tc>
        <w:tc>
          <w:tcPr>
            <w:tcW w:type="dxa" w:w="4200"/>
            <w:tcMar>
              <w:top w:type="dxa" w:w="70"/>
              <w:left w:type="dxa" w:w="95"/>
              <w:bottom w:type="dxa" w:w="70"/>
              <w:right w:type="dxa" w:w="95"/>
            </w:tcMar>
            <w:vAlign w:val="center"/>
          </w:tcPr>
          <w:p>
            <w:pPr>
              <w:bidi/>
              <w:spacing w:after="20" w:line="280"/>
              <w:jc w:val="right"/>
            </w:pPr>
            <w:r>
              <w:rPr>
                <w:b w:val="false"/>
                <w:bCs w:val="false"/>
                <w:sz w:val="20"/>
                <w:szCs w:val="20"/>
                <w:rtl/>
              </w:rPr>
              <w:t xml:space="preserve">الصرف والقيد يعودان إسقاطًا لا شاشة</w:t>
            </w:r>
          </w:p>
        </w:tc>
        <w:tc>
          <w:tcPr>
            <w:tcW w:type="dxa" w:w="2700"/>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finance</w:t>
            </w:r>
            <w:r>
              <w:rPr>
                <w:b w:val="false"/>
                <w:bCs w:val="false"/>
                <w:color w:val="2E4A63"/>
                <w:sz w:val="18"/>
                <w:szCs w:val="18"/>
                <w:rtl/>
              </w:rPr>
              <w:t xml:space="preserve"> </w:t>
            </w:r>
            <w:r>
              <w:rPr>
                <w:b w:val="false"/>
                <w:bCs w:val="false"/>
                <w:color w:val="2E4A63"/>
                <w:sz w:val="18"/>
                <w:szCs w:val="18"/>
                <w:rtl w:val="false"/>
              </w:rPr>
              <w:t xml:space="preserve">projection</w:t>
            </w:r>
          </w:p>
        </w:tc>
      </w:tr>
      <w:tr>
        <w:trPr>
          <w:cantSplit/>
        </w:trPr>
        <w:tc>
          <w:tcPr>
            <w:tcW w:type="dxa" w:w="29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تقييم المورد والتصفية والإغلاق</w:t>
            </w:r>
          </w:p>
        </w:tc>
        <w:tc>
          <w:tcPr>
            <w:tcW w:type="dxa" w:w="42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التقييم أو الملحق أو التصفية وإخلاء الطرف</w:t>
            </w:r>
          </w:p>
        </w:tc>
        <w:tc>
          <w:tcPr>
            <w:tcW w:type="dxa" w:w="2700"/>
            <w:shd w:fill="F2F6FA" w:color="auto" w:val="clear"/>
            <w:tcMar>
              <w:top w:type="dxa" w:w="70"/>
              <w:left w:type="dxa" w:w="95"/>
              <w:bottom w:type="dxa" w:w="70"/>
              <w:right w:type="dxa" w:w="95"/>
            </w:tcMar>
            <w:vAlign w:val="center"/>
          </w:tcPr>
          <w:p>
            <w:pPr>
              <w:bidi w:val="false"/>
              <w:spacing w:after="20" w:line="280"/>
              <w:jc w:val="left"/>
            </w:pPr>
            <w:r>
              <w:rPr>
                <w:b w:val="false"/>
                <w:bCs w:val="false"/>
                <w:color w:val="2E4A63"/>
                <w:sz w:val="18"/>
                <w:szCs w:val="18"/>
                <w:rtl w:val="false"/>
              </w:rPr>
              <w:t xml:space="preserve">supplier_evaluation</w:t>
            </w:r>
          </w:p>
        </w:tc>
      </w:tr>
    </w:tbl>
    <w:p>
      <w:pPr>
        <w:pStyle w:val="Heading1"/>
        <w:keepNext/>
        <w:bidi/>
        <w:spacing w:after="180" w:before="360"/>
        <w:jc w:val="right"/>
      </w:pPr>
      <w:r>
        <w:rPr>
          <w:b/>
          <w:bCs/>
          <w:rtl/>
        </w:rPr>
        <w:t xml:space="preserve">البند الثاني والعشرون — بوابات القبول</w:t>
      </w:r>
    </w:p>
    <w:p>
      <w:pPr>
        <w:bidi/>
        <w:spacing w:after="130" w:line="330"/>
        <w:jc w:val="right"/>
      </w:pPr>
      <w:r>
        <w:rPr>
          <w:b w:val="false"/>
          <w:bCs w:val="false"/>
          <w:i w:val="false"/>
          <w:iCs w:val="false"/>
          <w:sz w:val="24"/>
          <w:szCs w:val="24"/>
          <w:rtl/>
        </w:rPr>
        <w:t xml:space="preserve">الجولة لا تُغلق قبل نجاح البوابات كلها، وكل بوابة تُقاس ببسطها ومقامها لا بالانطباع:</w:t>
      </w:r>
    </w:p>
    <w:tbl>
      <w:tblPr>
        <w:bidiVisual/>
        <w:tblW w:type="dxa" w:w="9800"/>
        <w:tblBorders>
          <w:top w:val="single" w:color="8FA0B0" w:sz="4"/>
          <w:left w:val="single" w:color="8FA0B0" w:sz="4"/>
          <w:bottom w:val="single" w:color="8FA0B0" w:sz="4"/>
          <w:right w:val="single" w:color="8FA0B0" w:sz="4"/>
          <w:insideH w:val="single" w:color="C4CED8" w:sz="2"/>
          <w:insideV w:val="single" w:color="C4CED8" w:sz="2"/>
        </w:tblBorders>
      </w:tblPr>
      <w:tblGrid>
        <w:gridCol w:w="2500"/>
        <w:gridCol w:w="5100"/>
        <w:gridCol w:w="2200"/>
      </w:tblGrid>
      <w:tr>
        <w:trPr>
          <w:cantSplit/>
          <w:tblHeader/>
        </w:trPr>
        <w:tc>
          <w:tcPr>
            <w:tcW w:type="dxa" w:w="25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البوابة</w:t>
            </w:r>
          </w:p>
        </w:tc>
        <w:tc>
          <w:tcPr>
            <w:tcW w:type="dxa" w:w="51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شرط النجاح</w:t>
            </w:r>
          </w:p>
        </w:tc>
        <w:tc>
          <w:tcPr>
            <w:tcW w:type="dxa" w:w="2200"/>
            <w:shd w:fill="1F3B57" w:color="auto" w:val="clear"/>
            <w:tcMar>
              <w:top w:type="dxa" w:w="70"/>
              <w:left w:type="dxa" w:w="95"/>
              <w:bottom w:type="dxa" w:w="70"/>
              <w:right w:type="dxa" w:w="95"/>
            </w:tcMar>
            <w:vAlign w:val="center"/>
          </w:tcPr>
          <w:p>
            <w:pPr>
              <w:bidi/>
              <w:spacing w:after="20" w:line="280"/>
              <w:jc w:val="center"/>
            </w:pPr>
            <w:r>
              <w:rPr>
                <w:b/>
                <w:bCs/>
                <w:color w:val="FFFFFF"/>
                <w:sz w:val="21"/>
                <w:szCs w:val="21"/>
                <w:rtl/>
              </w:rPr>
              <w:t xml:space="preserve">القياس</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التغطية</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كل ورقة من التسع والعشرين لها قرار سطح واحد لا لبس فيه</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29/29</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الأعمدة</w:t>
            </w:r>
          </w:p>
        </w:tc>
        <w:tc>
          <w:tcPr>
            <w:tcW w:type="dxa" w:w="51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كل عمود من السبعة عشر وسبعمئة له حكم مصدر أو سبب موثق لعدم ظهوره</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717/717</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الازدواج</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لا وظيفة لها سطحان كنسيان، ولا مسار باسمين، ولا سجل موردين ثانٍ</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 0 · 0</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الملكية</w:t>
            </w:r>
          </w:p>
        </w:tc>
        <w:tc>
          <w:tcPr>
            <w:tcW w:type="dxa" w:w="51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لا شاشة مالية أصلية داخل الموردين، ولا شاشة موردين أصلية داخل التشغيل إلا إسقاطًا</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0 · 0</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الهرم</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لا حصة بلا التزام عقد عميل، ولا معدة تُنشئ حصة، ولا إسناد إضافي يرفع الحصة</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enforced</w:t>
            </w:r>
            <w:r>
              <w:rPr>
                <w:b w:val="false"/>
                <w:bCs w:val="false"/>
                <w:color w:val="2E4A63"/>
                <w:sz w:val="18"/>
                <w:szCs w:val="18"/>
                <w:rtl/>
              </w:rPr>
              <w:t xml:space="preserve"> </w:t>
            </w:r>
            <w:r>
              <w:rPr>
                <w:b w:val="false"/>
                <w:bCs w:val="false"/>
                <w:color w:val="2E4A63"/>
                <w:sz w:val="18"/>
                <w:szCs w:val="18"/>
                <w:rtl w:val="false"/>
              </w:rPr>
              <w:t xml:space="preserve">by</w:t>
            </w:r>
            <w:r>
              <w:rPr>
                <w:b w:val="false"/>
                <w:bCs w:val="false"/>
                <w:color w:val="2E4A63"/>
                <w:sz w:val="18"/>
                <w:szCs w:val="18"/>
                <w:rtl/>
              </w:rPr>
              <w:t xml:space="preserve"> </w:t>
            </w:r>
            <w:r>
              <w:rPr>
                <w:b w:val="false"/>
                <w:bCs w:val="false"/>
                <w:color w:val="2E4A63"/>
                <w:sz w:val="18"/>
                <w:szCs w:val="18"/>
                <w:rtl w:val="false"/>
              </w:rPr>
              <w:t xml:space="preserve">guard</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التنقّل بعد الدمج</w:t>
            </w:r>
          </w:p>
        </w:tc>
        <w:tc>
          <w:tcPr>
            <w:tcW w:type="dxa" w:w="51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ست مجموعات وأربعة عشر بندًا رئيسيًّا لا غير، ولا اسم فنيٍّ للحاوية أو الخانة في أي بند</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rPr>
              <w:t xml:space="preserve">6 </w:t>
            </w:r>
            <w:r>
              <w:rPr>
                <w:b w:val="false"/>
                <w:bCs w:val="false"/>
                <w:color w:val="2E4A63"/>
                <w:sz w:val="18"/>
                <w:szCs w:val="18"/>
                <w:rtl w:val="false"/>
              </w:rPr>
              <w:t xml:space="preserve">groups</w:t>
            </w:r>
            <w:r>
              <w:rPr>
                <w:b w:val="false"/>
                <w:bCs w:val="false"/>
                <w:color w:val="2E4A63"/>
                <w:sz w:val="18"/>
                <w:szCs w:val="18"/>
                <w:rtl/>
              </w:rPr>
              <w:t xml:space="preserve"> / 14 </w:t>
            </w:r>
            <w:r>
              <w:rPr>
                <w:b w:val="false"/>
                <w:bCs w:val="false"/>
                <w:color w:val="2E4A63"/>
                <w:sz w:val="18"/>
                <w:szCs w:val="18"/>
                <w:rtl w:val="false"/>
              </w:rPr>
              <w:t xml:space="preserve">items</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التبويبات</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كل تابع مدموج ظاهرٌ تبويبًا داخل ملفه الأمّ، ومساره القديم محوَّل لا محذوف</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tabs</w:t>
            </w:r>
            <w:r>
              <w:rPr>
                <w:b w:val="false"/>
                <w:bCs w:val="false"/>
                <w:color w:val="2E4A63"/>
                <w:sz w:val="18"/>
                <w:szCs w:val="18"/>
                <w:rtl/>
              </w:rPr>
              <w:t xml:space="preserve"> </w:t>
            </w:r>
            <w:r>
              <w:rPr>
                <w:b w:val="false"/>
                <w:bCs w:val="false"/>
                <w:color w:val="2E4A63"/>
                <w:sz w:val="18"/>
                <w:szCs w:val="18"/>
                <w:rtl w:val="false"/>
              </w:rPr>
              <w:t xml:space="preserve">mapped</w:t>
            </w:r>
            <w:r>
              <w:rPr>
                <w:b w:val="false"/>
                <w:bCs w:val="false"/>
                <w:color w:val="2E4A63"/>
                <w:sz w:val="18"/>
                <w:szCs w:val="18"/>
                <w:rtl/>
              </w:rPr>
              <w:t xml:space="preserve"> / 0 </w:t>
            </w:r>
            <w:r>
              <w:rPr>
                <w:b w:val="false"/>
                <w:bCs w:val="false"/>
                <w:color w:val="2E4A63"/>
                <w:sz w:val="18"/>
                <w:szCs w:val="18"/>
                <w:rtl w:val="false"/>
              </w:rPr>
              <w:t xml:space="preserve">broken</w:t>
            </w:r>
          </w:p>
        </w:tc>
      </w:tr>
      <w:tr>
        <w:trPr>
          <w:cantSplit/>
        </w:trPr>
        <w:tc>
          <w:tcPr>
            <w:tcW w:type="dxa" w:w="2500"/>
            <w:shd w:fill="F2F6FA" w:color="auto" w:val="clear"/>
            <w:tcMar>
              <w:top w:type="dxa" w:w="70"/>
              <w:left w:type="dxa" w:w="95"/>
              <w:bottom w:type="dxa" w:w="70"/>
              <w:right w:type="dxa" w:w="95"/>
            </w:tcMar>
            <w:vAlign w:val="center"/>
          </w:tcPr>
          <w:p>
            <w:pPr>
              <w:bidi/>
              <w:spacing w:after="20" w:line="280"/>
              <w:jc w:val="right"/>
            </w:pPr>
            <w:r>
              <w:rPr>
                <w:b/>
                <w:bCs/>
                <w:sz w:val="21"/>
                <w:szCs w:val="21"/>
                <w:rtl/>
              </w:rPr>
              <w:t xml:space="preserve">السلامة الوظيفية</w:t>
            </w:r>
          </w:p>
        </w:tc>
        <w:tc>
          <w:tcPr>
            <w:tcW w:type="dxa" w:w="5100"/>
            <w:shd w:fill="F2F6FA" w:color="auto" w:val="clear"/>
            <w:tcMar>
              <w:top w:type="dxa" w:w="70"/>
              <w:left w:type="dxa" w:w="95"/>
              <w:bottom w:type="dxa" w:w="70"/>
              <w:right w:type="dxa" w:w="95"/>
            </w:tcMar>
            <w:vAlign w:val="center"/>
          </w:tcPr>
          <w:p>
            <w:pPr>
              <w:bidi/>
              <w:spacing w:after="20" w:line="280"/>
              <w:jc w:val="right"/>
            </w:pPr>
            <w:r>
              <w:rPr>
                <w:b w:val="false"/>
                <w:bCs w:val="false"/>
                <w:sz w:val="20"/>
                <w:szCs w:val="20"/>
                <w:rtl/>
              </w:rPr>
              <w:t xml:space="preserve">كل فعل كان يعمل قبل الجولة يعمل بعدها</w:t>
            </w:r>
          </w:p>
        </w:tc>
        <w:tc>
          <w:tcPr>
            <w:tcW w:type="dxa" w:w="2200"/>
            <w:shd w:fill="F2F6FA" w:color="auto" w:val="clear"/>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before</w:t>
            </w:r>
            <w:r>
              <w:rPr>
                <w:b w:val="false"/>
                <w:bCs w:val="false"/>
                <w:color w:val="2E4A63"/>
                <w:sz w:val="18"/>
                <w:szCs w:val="18"/>
                <w:rtl/>
              </w:rPr>
              <w:t xml:space="preserve"> = </w:t>
            </w:r>
            <w:r>
              <w:rPr>
                <w:b w:val="false"/>
                <w:bCs w:val="false"/>
                <w:color w:val="2E4A63"/>
                <w:sz w:val="18"/>
                <w:szCs w:val="18"/>
                <w:rtl w:val="false"/>
              </w:rPr>
              <w:t xml:space="preserve">after</w:t>
            </w:r>
          </w:p>
        </w:tc>
      </w:tr>
      <w:tr>
        <w:trPr>
          <w:cantSplit/>
        </w:trPr>
        <w:tc>
          <w:tcPr>
            <w:tcW w:type="dxa" w:w="2500"/>
            <w:tcMar>
              <w:top w:type="dxa" w:w="70"/>
              <w:left w:type="dxa" w:w="95"/>
              <w:bottom w:type="dxa" w:w="70"/>
              <w:right w:type="dxa" w:w="95"/>
            </w:tcMar>
            <w:vAlign w:val="center"/>
          </w:tcPr>
          <w:p>
            <w:pPr>
              <w:bidi/>
              <w:spacing w:after="20" w:line="280"/>
              <w:jc w:val="right"/>
            </w:pPr>
            <w:r>
              <w:rPr>
                <w:b/>
                <w:bCs/>
                <w:sz w:val="21"/>
                <w:szCs w:val="21"/>
                <w:rtl/>
              </w:rPr>
              <w:t xml:space="preserve">البيانات</w:t>
            </w:r>
          </w:p>
        </w:tc>
        <w:tc>
          <w:tcPr>
            <w:tcW w:type="dxa" w:w="5100"/>
            <w:tcMar>
              <w:top w:type="dxa" w:w="70"/>
              <w:left w:type="dxa" w:w="95"/>
              <w:bottom w:type="dxa" w:w="70"/>
              <w:right w:type="dxa" w:w="95"/>
            </w:tcMar>
            <w:vAlign w:val="center"/>
          </w:tcPr>
          <w:p>
            <w:pPr>
              <w:bidi/>
              <w:spacing w:after="20" w:line="280"/>
              <w:jc w:val="right"/>
            </w:pPr>
            <w:r>
              <w:rPr>
                <w:b w:val="false"/>
                <w:bCs w:val="false"/>
                <w:sz w:val="20"/>
                <w:szCs w:val="20"/>
                <w:rtl/>
              </w:rPr>
              <w:t xml:space="preserve">لا فقد ولا تكرار ولا ترحيل صامت</w:t>
            </w:r>
          </w:p>
        </w:tc>
        <w:tc>
          <w:tcPr>
            <w:tcW w:type="dxa" w:w="2200"/>
            <w:tcMar>
              <w:top w:type="dxa" w:w="70"/>
              <w:left w:type="dxa" w:w="95"/>
              <w:bottom w:type="dxa" w:w="70"/>
              <w:right w:type="dxa" w:w="95"/>
            </w:tcMar>
            <w:vAlign w:val="center"/>
          </w:tcPr>
          <w:p>
            <w:pPr>
              <w:bidi w:val="false"/>
              <w:spacing w:after="20" w:line="280"/>
              <w:jc w:val="center"/>
            </w:pPr>
            <w:r>
              <w:rPr>
                <w:b w:val="false"/>
                <w:bCs w:val="false"/>
                <w:color w:val="2E4A63"/>
                <w:sz w:val="18"/>
                <w:szCs w:val="18"/>
                <w:rtl w:val="false"/>
              </w:rPr>
              <w:t xml:space="preserve">count</w:t>
            </w:r>
            <w:r>
              <w:rPr>
                <w:b w:val="false"/>
                <w:bCs w:val="false"/>
                <w:color w:val="2E4A63"/>
                <w:sz w:val="18"/>
                <w:szCs w:val="18"/>
                <w:rtl/>
              </w:rPr>
              <w:t xml:space="preserve"> </w:t>
            </w:r>
            <w:r>
              <w:rPr>
                <w:b w:val="false"/>
                <w:bCs w:val="false"/>
                <w:color w:val="2E4A63"/>
                <w:sz w:val="18"/>
                <w:szCs w:val="18"/>
                <w:rtl w:val="false"/>
              </w:rPr>
              <w:t xml:space="preserve">before</w:t>
            </w:r>
            <w:r>
              <w:rPr>
                <w:b w:val="false"/>
                <w:bCs w:val="false"/>
                <w:color w:val="2E4A63"/>
                <w:sz w:val="18"/>
                <w:szCs w:val="18"/>
                <w:rtl/>
              </w:rPr>
              <w:t xml:space="preserve"> = </w:t>
            </w:r>
            <w:r>
              <w:rPr>
                <w:b w:val="false"/>
                <w:bCs w:val="false"/>
                <w:color w:val="2E4A63"/>
                <w:sz w:val="18"/>
                <w:szCs w:val="18"/>
                <w:rtl w:val="false"/>
              </w:rPr>
              <w:t xml:space="preserve">count</w:t>
            </w:r>
            <w:r>
              <w:rPr>
                <w:b w:val="false"/>
                <w:bCs w:val="false"/>
                <w:color w:val="2E4A63"/>
                <w:sz w:val="18"/>
                <w:szCs w:val="18"/>
                <w:rtl/>
              </w:rPr>
              <w:t xml:space="preserve"> </w:t>
            </w:r>
            <w:r>
              <w:rPr>
                <w:b w:val="false"/>
                <w:bCs w:val="false"/>
                <w:color w:val="2E4A63"/>
                <w:sz w:val="18"/>
                <w:szCs w:val="18"/>
                <w:rtl w:val="false"/>
              </w:rPr>
              <w:t xml:space="preserve">after</w:t>
            </w:r>
          </w:p>
        </w:tc>
      </w:tr>
    </w:tbl>
    <w:p>
      <w:pPr>
        <w:bidi/>
        <w:spacing w:before="130"/>
        <w:jc w:val="right"/>
      </w:pPr>
      <w:r>
        <w:rPr>
          <w:b w:val="false"/>
          <w:bCs w:val="false"/>
          <w:i/>
          <w:iCs/>
          <w:color w:val="3F5265"/>
          <w:sz w:val="24"/>
          <w:szCs w:val="24"/>
          <w:rtl/>
        </w:rPr>
        <w:t xml:space="preserve">وبوابة أخيرة فوقها كلها: كل فعلٍ كان صحيحًا قبل الجولة يظل يعمل بعدها، وصفر فقدٍ للبيانات، وصفر سجلٍّ مكرر، وصفر ترحيلٍ صامت.</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color w:val="777777"/>
        <w:sz w:val="18"/>
        <w:szCs w:val="18"/>
        <w:rtl/>
      </w:rPr>
      <w:t xml:space="preserve">الإصدار 1.0 · صفحة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1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3"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4"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5"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6"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7"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8"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29"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0"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1"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900" w:hanging="240"/>
      </w:pPr>
    </w:lvl>
  </w:abstractNum>
  <w:abstractNum w:abstractNumId="32" w15:restartNumberingAfterBreak="0">
    <w:multiLevelType w:val="hybridMultilevel"/>
    <w:lvl w:ilvl="0" w15:tentative="1">
      <w:start w:val="1"/>
      <w:numFmt w:val="decimal"/>
      <w:lvlText w:val="%1."/>
      <w:lvlJc w:val="right"/>
      <w:pPr>
        <w:ind w:left="520" w:hanging="300"/>
      </w:pPr>
    </w:lvl>
  </w:abstractNum>
  <w:abstractNum w:abstractNumId="33" w15:restartNumberingAfterBreak="0">
    <w:multiLevelType w:val="hybridMultilevel"/>
    <w:lvl w:ilvl="0" w15:tentative="1">
      <w:start w:val="1"/>
      <w:numFmt w:val="decimal"/>
      <w:lvlText w:val="%1."/>
      <w:lvlJc w:val="right"/>
      <w:pPr>
        <w:ind w:left="520" w:hanging="300"/>
      </w:pPr>
    </w:lvl>
  </w:abstractNum>
  <w:abstractNum w:abstractNumId="34" w15:restartNumberingAfterBreak="0">
    <w:multiLevelType w:val="hybridMultilevel"/>
    <w:lvl w:ilvl="0" w15:tentative="1">
      <w:start w:val="1"/>
      <w:numFmt w:val="decimal"/>
      <w:lvlText w:val="%1."/>
      <w:lvlJc w:val="right"/>
      <w:pPr>
        <w:ind w:left="520" w:hanging="300"/>
      </w:pPr>
    </w:lvl>
  </w:abstractNum>
  <w:abstractNum w:abstractNumId="35" w15:restartNumberingAfterBreak="0">
    <w:multiLevelType w:val="hybridMultilevel"/>
    <w:lvl w:ilvl="0" w15:tentative="1">
      <w:start w:val="1"/>
      <w:numFmt w:val="decimal"/>
      <w:lvlText w:val="%1."/>
      <w:lvlJc w:val="right"/>
      <w:pPr>
        <w:ind w:left="520" w:hanging="300"/>
      </w:pPr>
    </w:lvl>
  </w:abstractNum>
  <w:abstractNum w:abstractNumId="36" w15:restartNumberingAfterBreak="0">
    <w:multiLevelType w:val="hybridMultilevel"/>
    <w:lvl w:ilvl="0" w15:tentative="1">
      <w:start w:val="1"/>
      <w:numFmt w:val="decimal"/>
      <w:lvlText w:val="%1."/>
      <w:lvlJc w:val="right"/>
      <w:pPr>
        <w:ind w:left="520" w:hanging="300"/>
      </w:pPr>
    </w:lvl>
  </w:abstractNum>
  <w:abstractNum w:abstractNumId="37" w15:restartNumberingAfterBreak="0">
    <w:multiLevelType w:val="hybridMultilevel"/>
    <w:lvl w:ilvl="0" w15:tentative="1">
      <w:start w:val="1"/>
      <w:numFmt w:val="decimal"/>
      <w:lvlText w:val="%1."/>
      <w:lvlJc w:val="right"/>
      <w:pPr>
        <w:ind w:left="520" w:hanging="300"/>
      </w:pPr>
    </w:lvl>
  </w:abstractNum>
  <w:abstractNum w:abstractNumId="38" w15:restartNumberingAfterBreak="0">
    <w:multiLevelType w:val="hybridMultilevel"/>
    <w:lvl w:ilvl="0" w15:tentative="1">
      <w:start w:val="1"/>
      <w:numFmt w:val="decimal"/>
      <w:lvlText w:val="%1."/>
      <w:lvlJc w:val="right"/>
      <w:pPr>
        <w:ind w:left="520" w:hanging="300"/>
      </w:pPr>
    </w:lvl>
  </w:abstractNum>
  <w:abstractNum w:abstractNumId="39" w15:restartNumberingAfterBreak="0">
    <w:multiLevelType w:val="hybridMultilevel"/>
    <w:lvl w:ilvl="0" w15:tentative="1">
      <w:start w:val="1"/>
      <w:numFmt w:val="decimal"/>
      <w:lvlText w:val="%1."/>
      <w:lvlJc w:val="right"/>
      <w:pPr>
        <w:ind w:left="520" w:hanging="300"/>
      </w:pPr>
    </w:lvl>
  </w:abstractNum>
  <w:abstractNum w:abstractNumId="40" w15:restartNumberingAfterBreak="0">
    <w:multiLevelType w:val="hybridMultilevel"/>
    <w:lvl w:ilvl="0" w15:tentative="1">
      <w:start w:val="1"/>
      <w:numFmt w:val="decimal"/>
      <w:lvlText w:val="%1."/>
      <w:lvlJc w:val="right"/>
      <w:pPr>
        <w:ind w:left="520" w:hanging="300"/>
      </w:pPr>
    </w:lvl>
  </w:abstractNum>
  <w:abstractNum w:abstractNumId="41" w15:restartNumberingAfterBreak="0">
    <w:multiLevelType w:val="hybridMultilevel"/>
    <w:lvl w:ilvl="0" w15:tentative="1">
      <w:start w:val="1"/>
      <w:numFmt w:val="decimal"/>
      <w:lvlText w:val="%1."/>
      <w:lvlJc w:val="right"/>
      <w:pPr>
        <w:ind w:left="520" w:hanging="300"/>
      </w:pPr>
    </w:lvl>
  </w:abstractNum>
  <w:abstractNum w:abstractNumId="42" w15:restartNumberingAfterBreak="0">
    <w:multiLevelType w:val="hybridMultilevel"/>
    <w:lvl w:ilvl="0" w15:tentative="1">
      <w:start w:val="1"/>
      <w:numFmt w:val="decimal"/>
      <w:lvlText w:val="%1."/>
      <w:lvlJc w:val="right"/>
      <w:pPr>
        <w:ind w:left="520" w:hanging="300"/>
      </w:pPr>
    </w:lvl>
  </w:abstractNum>
  <w:abstractNum w:abstractNumId="43" w15:restartNumberingAfterBreak="0">
    <w:multiLevelType w:val="hybridMultilevel"/>
    <w:lvl w:ilvl="0" w15:tentative="1">
      <w:start w:val="1"/>
      <w:numFmt w:val="decimal"/>
      <w:lvlText w:val="%1."/>
      <w:lvlJc w:val="right"/>
      <w:pPr>
        <w:ind w:left="520" w:hanging="300"/>
      </w:pPr>
    </w:lvl>
  </w:abstractNum>
  <w:abstractNum w:abstractNumId="44" w15:restartNumberingAfterBreak="0">
    <w:multiLevelType w:val="hybridMultilevel"/>
    <w:lvl w:ilvl="0" w15:tentative="1">
      <w:start w:val="1"/>
      <w:numFmt w:val="decimal"/>
      <w:lvlText w:val="%1."/>
      <w:lvlJc w:val="right"/>
      <w:pPr>
        <w:ind w:left="520" w:hanging="300"/>
      </w:pPr>
    </w:lvl>
  </w:abstractNum>
  <w:abstractNum w:abstractNumId="45" w15:restartNumberingAfterBreak="0">
    <w:multiLevelType w:val="hybridMultilevel"/>
    <w:lvl w:ilvl="0" w15:tentative="1">
      <w:start w:val="1"/>
      <w:numFmt w:val="decimal"/>
      <w:lvlText w:val="%1."/>
      <w:lvlJc w:val="right"/>
      <w:pPr>
        <w:ind w:left="520" w:hanging="300"/>
      </w:pPr>
    </w:lvl>
  </w:abstractNum>
  <w:abstractNum w:abstractNumId="46" w15:restartNumberingAfterBreak="0">
    <w:multiLevelType w:val="hybridMultilevel"/>
    <w:lvl w:ilvl="0" w15:tentative="1">
      <w:start w:val="1"/>
      <w:numFmt w:val="decimal"/>
      <w:lvlText w:val="%1."/>
      <w:lvlJc w:val="right"/>
      <w:pPr>
        <w:ind w:left="520" w:hanging="300"/>
      </w:pPr>
    </w:lvl>
  </w:abstractNum>
  <w:num w:numId="1">
    <w:abstractNumId w:val="1"/>
    <w:lvlOverride w:ilvl="0">
      <w:startOverride w:val="1"/>
    </w:lvlOverride>
  </w:num>
  <w:num w:numId="2">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53A5B"/>
      <w:sz w:val="34"/>
      <w:szCs w:val="34"/>
    </w:rPr>
  </w:style>
  <w:style w:type="paragraph" w:styleId="Heading2">
    <w:name w:val="Heading 2"/>
    <w:basedOn w:val="Normal"/>
    <w:next w:val="Normal"/>
    <w:qFormat/>
    <w:pPr>
      <w:outlineLvl w:val="1"/>
    </w:pPr>
    <w:rPr>
      <w:rFonts w:ascii="Arial" w:cs="Arial" w:eastAsia="Arial" w:hAnsi="Arial"/>
      <w:b/>
      <w:bCs/>
      <w:color w:val="1F5C8B"/>
      <w:sz w:val="28"/>
      <w:szCs w:val="28"/>
    </w:rPr>
  </w:style>
  <w:style w:type="paragraph" w:styleId="Heading3">
    <w:name w:val="Heading 3"/>
    <w:basedOn w:val="Normal"/>
    <w:next w:val="Normal"/>
    <w:qFormat/>
    <w:pPr>
      <w:outlineLvl w:val="2"/>
    </w:pPr>
    <w:rPr>
      <w:rFonts w:ascii="Arial" w:cs="Arial" w:eastAsia="Arial" w:hAnsi="Arial"/>
      <w:b/>
      <w:bCs/>
      <w:color w:val="2E6E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2026-08-22T07:55:13.718Z</dcterms:created>
  <dcterms:modified xsi:type="dcterms:W3CDTF">2026-08-22T07:55:13.718Z</dcterms:modified>
</cp:coreProperties>
</file>

<file path=docProps/custom.xml><?xml version="1.0" encoding="utf-8"?>
<Properties xmlns="http://schemas.openxmlformats.org/officeDocument/2006/custom-properties" xmlns:vt="http://schemas.openxmlformats.org/officeDocument/2006/docPropsVTypes"/>
</file>