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spacing w:before="60" w:after="0"/>
        <w:jc w:val="center"/>
        <w:rPr>
          <w:rFonts w:ascii="Arial" w:hAnsi="Arial" w:cs="Arial"/>
          <w:sz w:val="22"/>
          <w:szCs w:val="22"/>
          <w:rtl/>
        </w:rPr>
      </w:pPr>
      <w:r>
        <w:rPr>
          <w:rFonts w:ascii="Arial" w:hAnsi="Arial" w:cs="Arial"/>
          <w:color w:val="6B7280"/>
          <w:sz w:val="22"/>
          <w:szCs w:val="22"/>
          <w:rtl/>
        </w:rPr>
        <w:t xml:space="preserve">مجموعة إكيوبيشن · قطاع تشغيل المعدات</w:t>
      </w:r>
    </w:p>
    <w:p>
      <w:pPr>
        <w:bidi/>
        <w:spacing w:before="120" w:after="40"/>
        <w:jc w:val="center"/>
        <w:rPr>
          <w:rFonts w:ascii="Arial" w:hAnsi="Arial" w:cs="Arial"/>
          <w:b/>
          <w:bCs/>
          <w:sz w:val="40"/>
          <w:szCs w:val="40"/>
          <w:rtl/>
        </w:rPr>
      </w:pPr>
      <w:r>
        <w:rPr>
          <w:rFonts w:ascii="Arial" w:hAnsi="Arial" w:cs="Arial"/>
          <w:b/>
          <w:bCs/>
          <w:color w:val="1F3864"/>
          <w:sz w:val="40"/>
          <w:szCs w:val="40"/>
          <w:rtl/>
        </w:rPr>
        <w:t xml:space="preserve">تقرير إعادة التسمية النصية — الأدوار وصفحاتها</w:t>
      </w:r>
    </w:p>
    <w:p>
      <w:pPr>
        <w:pBdr>
          <w:bottom w:val="single" w:sz="8" w:space="2" w:color="1F3864"/>
        </w:pBdr>
        <w:bidi/>
        <w:spacing w:before="60" w:after="200"/>
        <w:jc w:val="center"/>
        <w:rPr>
          <w:rFonts w:ascii="Arial" w:hAnsi="Arial" w:cs="Arial"/>
          <w:sz w:val="24"/>
          <w:szCs w:val="24"/>
          <w:rtl/>
        </w:rPr>
      </w:pPr>
      <w:r>
        <w:rPr>
          <w:rFonts w:ascii="Arial" w:hAnsi="Arial" w:cs="Arial"/>
          <w:color w:val="4B5563"/>
          <w:sz w:val="24"/>
          <w:szCs w:val="24"/>
          <w:rtl/>
        </w:rPr>
        <w:t xml:space="preserve">مقارنةٌ بين الأسماء القائمة في النظام والأسماء المعتمدة في دليل تجربة المستخدم</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2200"/>
        <w:gridCol w:w="10600"/>
      </w:tblGrid>
      <w:tr>
        <w:trPr>
          <w:tblHeader/>
        </w:trPr>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البند</w:t>
            </w:r>
          </w:p>
        </w:tc>
        <w:tc>
          <w:tcPr>
            <w:tcW w:w="10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القيمة</w:t>
            </w:r>
          </w:p>
        </w:tc>
      </w:tr>
      <w:tr>
        <w:tc>
          <w:tcPr>
            <w:tcW w:w="22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الغرض</w:t>
            </w:r>
          </w:p>
        </w:tc>
        <w:tc>
          <w:tcPr>
            <w:tcW w:w="10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حصرُ الأسماء الجديدة المعتمدة لكل دورٍ وصفحاته، وبيانُ سهولة تنفيذ التغيير النصّي ومعوّقاته</w:t>
            </w:r>
          </w:p>
        </w:tc>
      </w:tr>
      <w:tr>
        <w:tc>
          <w:tcPr>
            <w:tcW w:w="22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النطاق</w:t>
            </w:r>
          </w:p>
        </w:tc>
        <w:tc>
          <w:tcPr>
            <w:tcW w:w="10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تغييرٌ نصّيٌّ بحت: الأسماء فقط. لا حذفَ ولا دمجَ ولا نقلَ ولا تغييرَ في الصلاحيات أو المسارات أو الشاشات أو ترتيب القوائم</w:t>
            </w:r>
          </w:p>
        </w:tc>
      </w:tr>
      <w:tr>
        <w:tc>
          <w:tcPr>
            <w:tcW w:w="22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المصدران</w:t>
            </w:r>
          </w:p>
        </w:tc>
        <w:tc>
          <w:tcPr>
            <w:tcW w:w="10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① الواقع: تصييرٌ فعليٌّ لقائمة السايدبار لكل دورٍ من ملف insidebar.php  ·  ② المعتمد: مصفوفة الشاشات (§9) في دليل تجربة المستخدم EQUIP-UX-01-EMS</w:t>
            </w:r>
          </w:p>
        </w:tc>
      </w:tr>
      <w:tr>
        <w:tc>
          <w:tcPr>
            <w:tcW w:w="22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التغطية</w:t>
            </w:r>
          </w:p>
        </w:tc>
        <w:tc>
          <w:tcPr>
            <w:tcW w:w="10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13 دورًا  ·  220 رابطًا في القوائم  ·  صفر رابطٍ غير مطابَق</w:t>
            </w:r>
          </w:p>
        </w:tc>
      </w:tr>
      <w:tr>
        <w:tc>
          <w:tcPr>
            <w:tcW w:w="2200" w:type="dxa"/>
            <w:shd w:val="clear" w:color="auto" w:fill="FCE9C6"/>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حالة التقرير</w:t>
            </w:r>
          </w:p>
        </w:tc>
        <w:tc>
          <w:tcPr>
            <w:tcW w:w="10600" w:type="dx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مقارنةٌ ومناقشةٌ فقط — لم يُنفَّذ أي تعديلٍ على قاعدة البيانات ولا على الكود</w:t>
            </w:r>
          </w:p>
        </w:tc>
      </w:tr>
      <w:tr>
        <w:tc>
          <w:tcPr>
            <w:tcW w:w="22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التاريخ</w:t>
            </w:r>
          </w:p>
        </w:tc>
        <w:tc>
          <w:tcPr>
            <w:tcW w:w="10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2026-07-19</w:t>
            </w:r>
          </w:p>
        </w:tc>
      </w:tr>
    </w:tbl>
    <w:p>
      <w:pPr>
        <w:pBdr>
          <w:bottom w:val="single" w:sz="8" w:space="2" w:color="1F3864"/>
        </w:pBdr>
        <w:bidi/>
        <w:spacing w:before="320" w:after="80"/>
        <w:rPr>
          <w:rFonts w:ascii="Arial" w:hAnsi="Arial" w:cs="Arial"/>
          <w:b/>
          <w:bCs/>
          <w:sz w:val="30"/>
          <w:szCs w:val="30"/>
          <w:rtl/>
        </w:rPr>
      </w:pPr>
      <w:r>
        <w:rPr>
          <w:rFonts w:ascii="Arial" w:hAnsi="Arial" w:cs="Arial"/>
          <w:b/>
          <w:bCs/>
          <w:color w:val="1F3864"/>
          <w:sz w:val="30"/>
          <w:szCs w:val="30"/>
          <w:rtl/>
        </w:rPr>
        <w:t xml:space="preserve">1 · حدود هذا التقرير</w:t>
      </w:r>
    </w:p>
    <w:p>
      <w:pPr>
        <w:bidi/>
        <w:spacing w:before="60" w:after="60"/>
        <w:rPr>
          <w:rFonts w:ascii="Arial" w:hAnsi="Arial" w:cs="Arial"/>
          <w:sz w:val="22"/>
          <w:szCs w:val="22"/>
          <w:rtl/>
        </w:rPr>
      </w:pPr>
      <w:r>
        <w:rPr>
          <w:rFonts w:ascii="Arial" w:hAnsi="Arial" w:cs="Arial"/>
          <w:sz w:val="22"/>
          <w:szCs w:val="22"/>
          <w:rtl/>
        </w:rPr>
        <w:t xml:space="preserve">التغيير المطلوب نصّيٌّ بحت: لا يتغيّر شيءٌ سوى الأسماء التي يقرؤها المستخدم على مستوى الأدوار وصفحاتها. وعليه فإنّ كل ما يلي يقع خارج هذا التقرير ولم يُدرَج فيه ولم يُقيَّم: إلغاءُ أي رابط، ودمجُ أي شاشتين، ونقلُ أي شاشةٍ إلى بطاقةٍ أو تبويب، وإعادةُ تجميع القوائم في أبواب، وبناءُ لوحاتٍ للأدوار. وردت هذه البنود في الدليل المصدر، وأُغفلت هنا عمدًا التزامًا بحدود الطلب.</w:t>
      </w:r>
    </w:p>
    <w:p>
      <w:pPr>
        <w:bidi/>
        <w:spacing w:before="60" w:after="60"/>
        <w:rPr>
          <w:rFonts w:ascii="Arial" w:hAnsi="Arial" w:cs="Arial"/>
          <w:sz w:val="22"/>
          <w:szCs w:val="22"/>
          <w:rtl/>
        </w:rPr>
      </w:pPr>
      <w:r>
        <w:rPr>
          <w:rFonts w:ascii="Arial" w:hAnsi="Arial" w:cs="Arial"/>
          <w:sz w:val="22"/>
          <w:szCs w:val="22"/>
          <w:rtl/>
        </w:rPr>
        <w:t xml:space="preserve">كما لم يُحذَف من الجداول التالية أي رابطٍ قائم: تظهر الروابط الـ220 كلها، بما فيها التي لا يتغيّر اسمها — وهي موسومةٌ صراحةً بـ«بلا تغيير».</w:t>
      </w:r>
    </w:p>
    <w:p>
      <w:pPr>
        <w:pBdr>
          <w:bottom w:val="single" w:sz="8" w:space="2" w:color="1F3864"/>
        </w:pBdr>
        <w:bidi/>
        <w:spacing w:before="280" w:after="80"/>
        <w:rPr>
          <w:rFonts w:ascii="Arial" w:hAnsi="Arial" w:cs="Arial"/>
          <w:b/>
          <w:bCs/>
          <w:sz w:val="30"/>
          <w:szCs w:val="30"/>
          <w:rtl/>
        </w:rPr>
      </w:pPr>
      <w:r>
        <w:rPr>
          <w:rFonts w:ascii="Arial" w:hAnsi="Arial" w:cs="Arial"/>
          <w:b/>
          <w:bCs/>
          <w:color w:val="1F3864"/>
          <w:sz w:val="30"/>
          <w:szCs w:val="30"/>
          <w:rtl/>
        </w:rPr>
        <w:t xml:space="preserve">2 · الأدوار — لا تغيير في أي اسم</w:t>
      </w:r>
    </w:p>
    <w:p>
      <w:pPr>
        <w:bidi/>
        <w:spacing w:before="60" w:after="60"/>
        <w:rPr>
          <w:rFonts w:ascii="Arial" w:hAnsi="Arial" w:cs="Arial"/>
          <w:sz w:val="22"/>
          <w:szCs w:val="22"/>
          <w:rtl/>
        </w:rPr>
      </w:pPr>
      <w:r>
        <w:rPr>
          <w:rFonts w:ascii="Arial" w:hAnsi="Arial" w:cs="Arial"/>
          <w:sz w:val="22"/>
          <w:szCs w:val="22"/>
          <w:rtl/>
        </w:rPr>
        <w:t xml:space="preserve">قُوبل كل دورٍ من الثلاثة عشر باسمه في الدليل المعتمد (القسم 8)، فجاء مطابقًا حرفًا بحرف. لا يُعاد تسميةُ أي دورٍ أو إدارة، وجدول الأدوار في قاعدة البيانات لا يُمَسّ.</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700"/>
        <w:gridCol w:w="1200"/>
        <w:gridCol w:w="4300"/>
        <w:gridCol w:w="4300"/>
        <w:gridCol w:w="2300"/>
      </w:tblGrid>
      <w:tr>
        <w:trPr>
          <w:tblHeader/>
        </w:trPr>
        <w:tc>
          <w:tcPr>
            <w:tcW w:w="7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1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رقم الدور</w:t>
            </w:r>
          </w:p>
        </w:tc>
        <w:tc>
          <w:tcPr>
            <w:tcW w:w="4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 في النظام</w:t>
            </w:r>
          </w:p>
        </w:tc>
        <w:tc>
          <w:tcPr>
            <w:tcW w:w="4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في الدليل المعتمد</w:t>
            </w:r>
          </w:p>
        </w:tc>
        <w:tc>
          <w:tcPr>
            <w:tcW w:w="2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الحكم</w:t>
            </w:r>
          </w:p>
        </w:tc>
      </w:tr>
      <w:tr>
        <w:tc>
          <w:tcPr>
            <w:tcW w:w="7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12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التشغيل</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التشغيل</w:t>
            </w:r>
          </w:p>
        </w:tc>
        <w:tc>
          <w:tcPr>
            <w:tcW w:w="2300" w:type="dx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12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الموردين</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الموردين</w:t>
            </w:r>
          </w:p>
        </w:tc>
        <w:tc>
          <w:tcPr>
            <w:tcW w:w="23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12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الاسطول</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الاسطول</w:t>
            </w:r>
          </w:p>
        </w:tc>
        <w:tc>
          <w:tcPr>
            <w:tcW w:w="2300" w:type="dx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12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الموارد البشرية</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الموارد البشرية</w:t>
            </w:r>
          </w:p>
        </w:tc>
        <w:tc>
          <w:tcPr>
            <w:tcW w:w="23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12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الموقع</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الموقع</w:t>
            </w:r>
          </w:p>
        </w:tc>
        <w:tc>
          <w:tcPr>
            <w:tcW w:w="2300" w:type="dx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12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حركة وتشغيل</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حركة وتشغيل</w:t>
            </w:r>
          </w:p>
        </w:tc>
        <w:tc>
          <w:tcPr>
            <w:tcW w:w="23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12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المبيعات</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المبيعات</w:t>
            </w:r>
          </w:p>
        </w:tc>
        <w:tc>
          <w:tcPr>
            <w:tcW w:w="2300" w:type="dx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12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الصيانة</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ادارة الصيانة</w:t>
            </w:r>
          </w:p>
        </w:tc>
        <w:tc>
          <w:tcPr>
            <w:tcW w:w="23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12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الصلاحيات</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الصلاحيات</w:t>
            </w:r>
          </w:p>
        </w:tc>
        <w:tc>
          <w:tcPr>
            <w:tcW w:w="2300" w:type="dx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12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16</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مسؤول المشتريات</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مسؤول المشتريات</w:t>
            </w:r>
          </w:p>
        </w:tc>
        <w:tc>
          <w:tcPr>
            <w:tcW w:w="23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12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17</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المدير المالي</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المدير المالي</w:t>
            </w:r>
          </w:p>
        </w:tc>
        <w:tc>
          <w:tcPr>
            <w:tcW w:w="2300" w:type="dx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12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23</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النقل والترحيل</w:t>
            </w:r>
          </w:p>
        </w:tc>
        <w:tc>
          <w:tcPr>
            <w:tcW w:w="4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النقل والترحيل</w:t>
            </w:r>
          </w:p>
        </w:tc>
        <w:tc>
          <w:tcPr>
            <w:tcW w:w="23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r>
        <w:tc>
          <w:tcPr>
            <w:tcW w:w="7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12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24</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البلاغات</w:t>
            </w:r>
          </w:p>
        </w:tc>
        <w:tc>
          <w:tcPr>
            <w:tcW w:w="4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مدير البلاغات</w:t>
            </w:r>
          </w:p>
        </w:tc>
        <w:tc>
          <w:tcPr>
            <w:tcW w:w="2300" w:type="dxa"/>
            <w:vAlign w:val="center"/>
          </w:tcPr>
          <w:p>
            <w:pPr>
              <w:bidi/>
              <w:spacing w:before="20" w:after="20"/>
              <w:jc w:val="center"/>
              <w:rPr>
                <w:rFonts w:ascii="Arial" w:hAnsi="Arial" w:cs="Arial"/>
                <w:b/>
                <w:bCs/>
                <w:sz w:val="18"/>
                <w:szCs w:val="18"/>
                <w:rtl/>
              </w:rPr>
            </w:pPr>
            <w:r>
              <w:rPr>
                <w:rFonts w:ascii="Arial" w:hAnsi="Arial" w:cs="Arial"/>
                <w:b/>
                <w:bCs/>
                <w:color w:val="1E7A38"/>
                <w:sz w:val="18"/>
                <w:szCs w:val="18"/>
                <w:rtl/>
              </w:rPr>
              <w:t xml:space="preserve">بلا تغيير</w:t>
            </w:r>
          </w:p>
        </w:tc>
      </w:tr>
    </w:tbl>
    <w:p>
      <w:pPr>
        <w:pBdr>
          <w:bottom w:val="single" w:sz="8" w:space="2" w:color="1F3864"/>
        </w:pBdr>
        <w:bidi/>
        <w:spacing w:before="280" w:after="80"/>
        <w:rPr>
          <w:rFonts w:ascii="Arial" w:hAnsi="Arial" w:cs="Arial"/>
          <w:b/>
          <w:bCs/>
          <w:sz w:val="30"/>
          <w:szCs w:val="30"/>
          <w:rtl/>
        </w:rPr>
      </w:pPr>
      <w:r>
        <w:rPr>
          <w:rFonts w:ascii="Arial" w:hAnsi="Arial" w:cs="Arial"/>
          <w:b/>
          <w:bCs/>
          <w:color w:val="1F3864"/>
          <w:sz w:val="30"/>
          <w:szCs w:val="30"/>
          <w:rtl/>
        </w:rPr>
        <w:t xml:space="preserve">3 · ملخّص التغيير بالأرقام</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7000"/>
        <w:gridCol w:w="2400"/>
        <w:gridCol w:w="3400"/>
      </w:tblGrid>
      <w:tr>
        <w:trPr>
          <w:tblHeader/>
        </w:trPr>
        <w:tc>
          <w:tcPr>
            <w:tcW w:w="70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البند</w:t>
            </w:r>
          </w:p>
        </w:tc>
        <w:tc>
          <w:tcPr>
            <w:tcW w:w="24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العدد</w:t>
            </w:r>
          </w:p>
        </w:tc>
        <w:tc>
          <w:tcPr>
            <w:tcW w:w="34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ملاحظة</w:t>
            </w:r>
          </w:p>
        </w:tc>
      </w:tr>
      <w:tr>
        <w:tc>
          <w:tcPr>
            <w:tcW w:w="70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إجمالي الروابط في قوائم الإدارات الثلاث عشرة</w:t>
            </w:r>
          </w:p>
        </w:tc>
        <w:tc>
          <w:tcPr>
            <w:tcW w:w="2400" w:type="dxa"/>
            <w:vAlign w:val="center"/>
          </w:tcPr>
          <w:p>
            <w:pPr>
              <w:bidi/>
              <w:spacing w:before="20" w:after="20"/>
              <w:jc w:val="center"/>
              <w:rPr>
                <w:rFonts w:ascii="Arial" w:hAnsi="Arial" w:cs="Arial"/>
                <w:b/>
                <w:bCs/>
                <w:sz w:val="18"/>
                <w:szCs w:val="18"/>
                <w:rtl/>
              </w:rPr>
            </w:pPr>
            <w:r>
              <w:rPr>
                <w:rFonts w:ascii="Arial" w:hAnsi="Arial" w:cs="Arial"/>
                <w:b/>
                <w:bCs/>
                <w:sz w:val="18"/>
                <w:szCs w:val="18"/>
                <w:rtl/>
              </w:rPr>
              <w:t xml:space="preserve">220</w:t>
            </w:r>
          </w:p>
        </w:tc>
        <w:tc>
          <w:tcPr>
            <w:tcW w:w="34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كل ما يراه المستخدم</w:t>
            </w:r>
          </w:p>
        </w:tc>
      </w:tr>
      <w:tr>
        <w:tc>
          <w:tcPr>
            <w:tcW w:w="70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روابطُ يتغيّر اسمها</w:t>
            </w:r>
          </w:p>
        </w:tc>
        <w:tc>
          <w:tcPr>
            <w:tcW w:w="24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sz w:val="18"/>
                <w:szCs w:val="18"/>
                <w:rtl/>
              </w:rPr>
              <w:t xml:space="preserve">117</w:t>
            </w:r>
          </w:p>
        </w:tc>
        <w:tc>
          <w:tcPr>
            <w:tcW w:w="34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موزَّعةً على الإدارات</w:t>
            </w:r>
          </w:p>
        </w:tc>
      </w:tr>
      <w:tr>
        <w:tc>
          <w:tcPr>
            <w:tcW w:w="70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روابطُ يبقى اسمها كما هو</w:t>
            </w:r>
          </w:p>
        </w:tc>
        <w:tc>
          <w:tcPr>
            <w:tcW w:w="2400" w:type="dxa"/>
            <w:vAlign w:val="center"/>
          </w:tcPr>
          <w:p>
            <w:pPr>
              <w:bidi/>
              <w:spacing w:before="20" w:after="20"/>
              <w:jc w:val="center"/>
              <w:rPr>
                <w:rFonts w:ascii="Arial" w:hAnsi="Arial" w:cs="Arial"/>
                <w:b/>
                <w:bCs/>
                <w:sz w:val="18"/>
                <w:szCs w:val="18"/>
                <w:rtl/>
              </w:rPr>
            </w:pPr>
            <w:r>
              <w:rPr>
                <w:rFonts w:ascii="Arial" w:hAnsi="Arial" w:cs="Arial"/>
                <w:b/>
                <w:bCs/>
                <w:sz w:val="18"/>
                <w:szCs w:val="18"/>
                <w:rtl/>
              </w:rPr>
              <w:t xml:space="preserve">103</w:t>
            </w:r>
          </w:p>
        </w:tc>
        <w:tc>
          <w:tcPr>
            <w:tcW w:w="34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لا عمل عليها</w:t>
            </w:r>
          </w:p>
        </w:tc>
      </w:tr>
      <w:tr>
        <w:tc>
          <w:tcPr>
            <w:tcW w:w="70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الصفحات المتمايزة التي يتغيّر اسمها</w:t>
            </w:r>
          </w:p>
        </w:tc>
        <w:tc>
          <w:tcPr>
            <w:tcW w:w="24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sz w:val="18"/>
                <w:szCs w:val="18"/>
                <w:rtl/>
              </w:rPr>
              <w:t xml:space="preserve">72</w:t>
            </w:r>
          </w:p>
        </w:tc>
        <w:tc>
          <w:tcPr>
            <w:tcW w:w="34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وحدةُ العمل الحقيقية — الصفحة المشتركة تُسمّى مرةً واحدة</w:t>
            </w:r>
          </w:p>
        </w:tc>
      </w:tr>
    </w:tbl>
    <w:p>
      <w:pPr>
        <w:bidi/>
        <w:spacing w:before="160" w:after="60"/>
        <w:rPr>
          <w:rFonts w:ascii="Arial" w:hAnsi="Arial" w:cs="Arial"/>
          <w:sz w:val="22"/>
          <w:szCs w:val="22"/>
          <w:rtl/>
        </w:rPr>
      </w:pPr>
      <w:r>
        <w:rPr>
          <w:rFonts w:ascii="Arial" w:hAnsi="Arial" w:cs="Arial"/>
          <w:sz w:val="22"/>
          <w:szCs w:val="22"/>
          <w:rtl/>
        </w:rPr>
        <w:t xml:space="preserve">وتوزيع الروابط المتغيّرة بحسب موضع الاسم تقنيًّا:</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200"/>
        <w:gridCol w:w="1800"/>
        <w:gridCol w:w="4800"/>
      </w:tblGrid>
      <w:tr>
        <w:trPr>
          <w:tblHeader/>
        </w:trPr>
        <w:tc>
          <w:tcPr>
            <w:tcW w:w="6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c>
          <w:tcPr>
            <w:tcW w:w="18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العدد</w:t>
            </w:r>
          </w:p>
        </w:tc>
        <w:tc>
          <w:tcPr>
            <w:tcW w:w="48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طريقة التغيير</w:t>
            </w:r>
          </w:p>
        </w:tc>
      </w:tr>
      <w:tr>
        <w:tc>
          <w:tcPr>
            <w:tcW w:w="62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قاعدة البيانات · modules.name</w:t>
            </w:r>
          </w:p>
        </w:tc>
        <w:tc>
          <w:tcPr>
            <w:tcW w:w="1800" w:type="dxa"/>
            <w:vAlign w:val="center"/>
          </w:tcPr>
          <w:p>
            <w:pPr>
              <w:bidi/>
              <w:spacing w:before="20" w:after="20"/>
              <w:jc w:val="center"/>
              <w:rPr>
                <w:rFonts w:ascii="Arial" w:hAnsi="Arial" w:cs="Arial"/>
                <w:b/>
                <w:bCs/>
                <w:sz w:val="18"/>
                <w:szCs w:val="18"/>
                <w:rtl/>
              </w:rPr>
            </w:pPr>
            <w:r>
              <w:rPr>
                <w:rFonts w:ascii="Arial" w:hAnsi="Arial" w:cs="Arial"/>
                <w:b/>
                <w:bCs/>
                <w:sz w:val="18"/>
                <w:szCs w:val="18"/>
                <w:rtl/>
              </w:rPr>
              <w:t xml:space="preserve">102</w:t>
            </w:r>
          </w:p>
        </w:tc>
        <w:tc>
          <w:tcPr>
            <w:tcW w:w="48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من شاشة «إدارة الصفحات» — بلا نشرِ كودٍ ولا توقّفِ خدمة</w:t>
            </w:r>
          </w:p>
        </w:tc>
      </w:tr>
      <w:tr>
        <w:tc>
          <w:tcPr>
            <w:tcW w:w="62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كود · includes/finreq_badges.php</w:t>
            </w:r>
          </w:p>
        </w:tc>
        <w:tc>
          <w:tcPr>
            <w:tcW w:w="18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sz w:val="18"/>
                <w:szCs w:val="18"/>
                <w:rtl/>
              </w:rPr>
              <w:t xml:space="preserve">8</w:t>
            </w:r>
          </w:p>
        </w:tc>
        <w:tc>
          <w:tcPr>
            <w:tcW w:w="48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تعديلُ نصوصٍ في ملفٍّ واحد</w:t>
            </w:r>
          </w:p>
        </w:tc>
      </w:tr>
      <w:tr>
        <w:tc>
          <w:tcPr>
            <w:tcW w:w="62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كود · insidebar.php</w:t>
            </w:r>
          </w:p>
        </w:tc>
        <w:tc>
          <w:tcPr>
            <w:tcW w:w="1800" w:type="dxa"/>
            <w:vAlign w:val="center"/>
          </w:tcPr>
          <w:p>
            <w:pPr>
              <w:bidi/>
              <w:spacing w:before="20" w:after="20"/>
              <w:jc w:val="center"/>
              <w:rPr>
                <w:rFonts w:ascii="Arial" w:hAnsi="Arial" w:cs="Arial"/>
                <w:b/>
                <w:bCs/>
                <w:sz w:val="18"/>
                <w:szCs w:val="18"/>
                <w:rtl/>
              </w:rPr>
            </w:pPr>
            <w:r>
              <w:rPr>
                <w:rFonts w:ascii="Arial" w:hAnsi="Arial" w:cs="Arial"/>
                <w:b/>
                <w:bCs/>
                <w:sz w:val="18"/>
                <w:szCs w:val="18"/>
                <w:rtl/>
              </w:rPr>
              <w:t xml:space="preserve">7</w:t>
            </w:r>
          </w:p>
        </w:tc>
        <w:tc>
          <w:tcPr>
            <w:tcW w:w="48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تعديلُ نصوصٍ في ملفٍّ واحد</w:t>
            </w:r>
          </w:p>
        </w:tc>
      </w:tr>
    </w:tbl>
    <w:p>
      <w:pPr>
        <w:pBdr>
          <w:bottom w:val="single" w:sz="8" w:space="2" w:color="1F3864"/>
        </w:pBdr>
        <w:bidi/>
        <w:spacing w:before="300" w:after="80"/>
        <w:rPr>
          <w:rFonts w:ascii="Arial" w:hAnsi="Arial" w:cs="Arial"/>
          <w:b/>
          <w:bCs/>
          <w:sz w:val="30"/>
          <w:szCs w:val="30"/>
          <w:rtl/>
        </w:rPr>
      </w:pPr>
      <w:r>
        <w:rPr>
          <w:rFonts w:ascii="Arial" w:hAnsi="Arial" w:cs="Arial"/>
          <w:b/>
          <w:bCs/>
          <w:color w:val="1F3864"/>
          <w:sz w:val="30"/>
          <w:szCs w:val="30"/>
          <w:rtl/>
        </w:rPr>
        <w:t xml:space="preserve">4 · التفصيل لكل إدارة</w:t>
      </w:r>
    </w:p>
    <w:p>
      <w:pPr>
        <w:bidi/>
        <w:spacing w:before="60" w:after="60"/>
        <w:rPr>
          <w:rFonts w:ascii="Arial" w:hAnsi="Arial" w:cs="Arial"/>
          <w:sz w:val="22"/>
          <w:szCs w:val="22"/>
          <w:rtl/>
        </w:rPr>
      </w:pPr>
      <w:r>
        <w:rPr>
          <w:rFonts w:ascii="Arial" w:hAnsi="Arial" w:cs="Arial"/>
          <w:sz w:val="22"/>
          <w:szCs w:val="22"/>
          <w:rtl/>
        </w:rPr>
        <w:t xml:space="preserve">لكل إدارةٍ جدولُ روابطها كما تظهر في قائمتها وبترتيبها. عمود «موضع الاسم» يبيّن أين يُكتب الاسم الجديد.</w:t>
      </w:r>
    </w:p>
    <w:p>
      <w:pPr>
        <w:bidi/>
        <w:spacing w:before="240" w:after="40"/>
        <w:rPr>
          <w:rFonts w:ascii="Arial" w:hAnsi="Arial" w:cs="Arial"/>
          <w:b/>
          <w:bCs/>
          <w:sz w:val="26"/>
          <w:szCs w:val="26"/>
          <w:rtl/>
        </w:rPr>
      </w:pPr>
      <w:r>
        <w:rPr>
          <w:rFonts w:ascii="Arial" w:hAnsi="Arial" w:cs="Arial"/>
          <w:b/>
          <w:bCs/>
          <w:color w:val="1F3864"/>
          <w:sz w:val="26"/>
          <w:szCs w:val="26"/>
          <w:rtl/>
        </w:rPr>
        <w:t xml:space="preserve">4.1 · ادارة التشغيل   (رقم الدور 1)</w:t>
      </w:r>
    </w:p>
    <w:p>
      <w:pPr>
        <w:bidi/>
        <w:spacing w:before="60" w:after="60"/>
        <w:rPr>
          <w:rFonts w:ascii="Arial" w:hAnsi="Arial" w:cs="Arial"/>
          <w:sz w:val="20"/>
          <w:szCs w:val="20"/>
          <w:rtl/>
        </w:rPr>
      </w:pPr>
      <w:r>
        <w:rPr>
          <w:rFonts w:ascii="Arial" w:hAnsi="Arial" w:cs="Arial"/>
          <w:color w:val="4B5563"/>
          <w:sz w:val="20"/>
          <w:szCs w:val="20"/>
          <w:rtl/>
        </w:rPr>
        <w:t xml:space="preserve">عدد الروابط: 19   ·   يتغيّر اسمه: 12   ·   يبقى: 7</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حالة العملاء</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العملاء</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Clients/clients.php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حالة المشاريع</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المشاريع</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Projects/projects.php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الصلاحيات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الصلاحيات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main/users.php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شاشة انواع المعدات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أنواع المعدات</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Equipments/equipments_types.php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سجل النشاطات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سجل النشاط</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ActivityLogs/activity_logs.php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شاشة التقارير</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مركز التقارير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Reports/reports.php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العقود</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العقود</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Contracts/contracts.php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كشف الوحدات والتطابق</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مطابقة الوحدات اليومية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Finance/unit_records_fin.php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الميزانيات والانحراف</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الميزانية والانحراف</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Finance/budget_form_fin.php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التكاليف والربحية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Finance/cost_report_fin.php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اعتماد الساعات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اعتماد الوحدات التشغيلية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Approvals/hours_approval.php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التقارير</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emsreports/index.php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4.2 · ادارة الموردين   (رقم الدور 2)</w:t>
      </w:r>
    </w:p>
    <w:p>
      <w:pPr>
        <w:bidi/>
        <w:spacing w:before="60" w:after="60"/>
        <w:rPr>
          <w:rFonts w:ascii="Arial" w:hAnsi="Arial" w:cs="Arial"/>
          <w:sz w:val="20"/>
          <w:szCs w:val="20"/>
          <w:rtl/>
        </w:rPr>
      </w:pPr>
      <w:r>
        <w:rPr>
          <w:rFonts w:ascii="Arial" w:hAnsi="Arial" w:cs="Arial"/>
          <w:color w:val="4B5563"/>
          <w:sz w:val="20"/>
          <w:szCs w:val="20"/>
          <w:rtl/>
        </w:rPr>
        <w:t xml:space="preserve">عدد الروابط: 13   ·   يتغيّر اسمه: 5   ·   يبقى: 8</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علاقات الموردين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الموردون</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Suppliers/suppliers.php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مشرفي الموردين</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مشرفو الموردين</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main/project_users.php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شاشة التقارير</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مركز التقارير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Reports/reports.php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عقود الموردين</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Suppliers/supplierscontracts.php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كشف حساب المورد</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Finance/supplier_statement_fin.php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المدفوعات والخزينة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Finance/payments_fin.php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اعتماد الساعات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اعتماد الوحدات التشغيلية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Approvals/hours_approval.php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4.3 · ادارة الاسطول   (رقم الدور 3)</w:t>
      </w:r>
    </w:p>
    <w:p>
      <w:pPr>
        <w:bidi/>
        <w:spacing w:before="60" w:after="60"/>
        <w:rPr>
          <w:rFonts w:ascii="Arial" w:hAnsi="Arial" w:cs="Arial"/>
          <w:sz w:val="20"/>
          <w:szCs w:val="20"/>
          <w:rtl/>
        </w:rPr>
      </w:pPr>
      <w:r>
        <w:rPr>
          <w:rFonts w:ascii="Arial" w:hAnsi="Arial" w:cs="Arial"/>
          <w:color w:val="4B5563"/>
          <w:sz w:val="20"/>
          <w:szCs w:val="20"/>
          <w:rtl/>
        </w:rPr>
        <w:t xml:space="preserve">عدد الروابط: 16   ·   يتغيّر اسمه: 9   ·   يبقى: 7</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المعدات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المعدات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Equipments/equipments_fleet.php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سجل النوع والموديل</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الأنواع والموديلات</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Equipments/fleet_models.php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ملف الإهلاك المالي</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إعداد الإهلاك</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Equipments/fleet_depreciation_profiles.php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التشغيل</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Oprators/select_project.php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المشرفين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مشرفو الموردين</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main/project_users.php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التقارير</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مركز التقارير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Reports/reports.php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كشف الوحدات والتطابق</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مطابقة الوحدات اليومية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Finance/unit_records_fin.php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التكاليف والربحية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Finance/cost_report_fin.php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الأصول الثابتة والإهلاك</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الأصول والإهلاك</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Finance/assets_fin.php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اعتماد الساعات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اعتماد الوحدات التشغيلية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Approvals/hours_approval.php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4.4 · ادارة الموارد البشرية   (رقم الدور 4)</w:t>
      </w:r>
    </w:p>
    <w:p>
      <w:pPr>
        <w:bidi/>
        <w:spacing w:before="60" w:after="60"/>
        <w:rPr>
          <w:rFonts w:ascii="Arial" w:hAnsi="Arial" w:cs="Arial"/>
          <w:sz w:val="20"/>
          <w:szCs w:val="20"/>
          <w:rtl/>
        </w:rPr>
      </w:pPr>
      <w:r>
        <w:rPr>
          <w:rFonts w:ascii="Arial" w:hAnsi="Arial" w:cs="Arial"/>
          <w:color w:val="4B5563"/>
          <w:sz w:val="20"/>
          <w:szCs w:val="20"/>
          <w:rtl/>
        </w:rPr>
        <w:t xml:space="preserve">عدد الروابط: 24   ·   يتغيّر اسمه: 16   ·   يبقى: 8</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علاقات الموظفين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الموظفون</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Employees/employees.php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المسميات الوظيفية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Employees/job_titles.php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أدوار الموظفين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الأدوار الوظيفية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Employees/employee_roles.php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السائقون والمشغّلون</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المشغّلون والسائقون</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Employees/equipment_operators.php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المشرفين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مشرفو الموردين</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main/project_users.php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سجل العامل التشغيلي</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السجل التشغيلي للعامل</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Workforce/worker_register.php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عقود العاملين</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Workforce/worker_contract.php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الإجازات والغياب</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Workforce/worker_leave_absence.php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التحرّك والنقل</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تنقلات العاملين</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Workforce/worker_movement.php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تقييم العاملين</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تقييم الأداء</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Workforce/worker_evaluation.php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تسوية العاملين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تسويات العاملين</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Workforce/worker_settlement.php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الاحتياج والتخطيط</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احتياج القوى والتخطيط</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Workforce/workforce_requirement.php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السجل التشغيلي</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سجل الأحداث التشغيلية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Workforce/worker_worklog.php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وحدات السكن</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السكن والإعاشة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Workforce/housing_units.php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التقارير</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مركز التقارير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Reports/reports.php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الميزانيات والانحراف</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الميزانية والانحراف</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Finance/budget_form_fin.php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الذمم والمستحقات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الذمم والتحصيل</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Finance/dues_fin.php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اعتماد الساعات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اعتماد الوحدات التشغيلية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Approvals/hours_approval.php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4.5 · مدير الموقع   (رقم الدور 5)</w:t>
      </w:r>
    </w:p>
    <w:p>
      <w:pPr>
        <w:bidi/>
        <w:spacing w:before="60" w:after="60"/>
        <w:rPr>
          <w:rFonts w:ascii="Arial" w:hAnsi="Arial" w:cs="Arial"/>
          <w:sz w:val="20"/>
          <w:szCs w:val="20"/>
          <w:rtl/>
        </w:rPr>
      </w:pPr>
      <w:r>
        <w:rPr>
          <w:rFonts w:ascii="Arial" w:hAnsi="Arial" w:cs="Arial"/>
          <w:color w:val="4B5563"/>
          <w:sz w:val="20"/>
          <w:szCs w:val="20"/>
          <w:rtl/>
        </w:rPr>
        <w:t xml:space="preserve">عدد الروابط: 12   ·   يتغيّر اسمه: 5   ·   يبقى: 7</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تسجيل الوحدات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Timesheet/timesheet_type.php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المعاونين</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مشرفو الموردين</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main/project_users.php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التقارير</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مركز التقارير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Reports/reports.php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كشف الوحدات والتطابق</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مطابقة الوحدات اليومية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Finance/unit_records_fin.php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التكاليف والربحية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Finance/cost_report_fin.php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اعتماد الساعات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اعتماد الوحدات التشغيلية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Approvals/hours_approval.php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4.6 · مدير حركة وتشغيل   (رقم الدور 6)</w:t>
      </w:r>
    </w:p>
    <w:p>
      <w:pPr>
        <w:bidi/>
        <w:spacing w:before="60" w:after="60"/>
        <w:rPr>
          <w:rFonts w:ascii="Arial" w:hAnsi="Arial" w:cs="Arial"/>
          <w:sz w:val="20"/>
          <w:szCs w:val="20"/>
          <w:rtl/>
        </w:rPr>
      </w:pPr>
      <w:r>
        <w:rPr>
          <w:rFonts w:ascii="Arial" w:hAnsi="Arial" w:cs="Arial"/>
          <w:color w:val="4B5563"/>
          <w:sz w:val="20"/>
          <w:szCs w:val="20"/>
          <w:rtl/>
        </w:rPr>
        <w:t xml:space="preserve">عدد الروابط: 12   ·   يتغيّر اسمه: 6   ·   يبقى: 6</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حالة المشروع</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متابعة المشروع</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movement/map_page.php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الورديات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الورديات</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movement/movement_operations.php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المشرفين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مشرفو الموردين</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main/project_users.php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كشف الوحدات والتطابق</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مطابقة الوحدات اليومية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Finance/unit_records_fin.php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التكاليف والربحية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Finance/cost_report_fin.php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التقارير</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مركز التقارير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Reports/reports.php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4.7 · ادارة المبيعات   (رقم الدور 12)</w:t>
      </w:r>
    </w:p>
    <w:p>
      <w:pPr>
        <w:bidi/>
        <w:spacing w:before="60" w:after="60"/>
        <w:rPr>
          <w:rFonts w:ascii="Arial" w:hAnsi="Arial" w:cs="Arial"/>
          <w:sz w:val="20"/>
          <w:szCs w:val="20"/>
          <w:rtl/>
        </w:rPr>
      </w:pPr>
      <w:r>
        <w:rPr>
          <w:rFonts w:ascii="Arial" w:hAnsi="Arial" w:cs="Arial"/>
          <w:color w:val="4B5563"/>
          <w:sz w:val="20"/>
          <w:szCs w:val="20"/>
          <w:rtl/>
        </w:rPr>
        <w:t xml:space="preserve">عدد الروابط: 24   ·   يتغيّر اسمه: 16   ·   يبقى: 8</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مسار الفرص</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الفرص البيعية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Opportunities/opportunities.php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العملاء</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العملاء</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Clients/clients.php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المبيعات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المشاريع</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Projects/projects.php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العقود</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العقود</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Contracts/contracts.php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الأنشطة التجارية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أنشطة العملاء</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Clients/activities.php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المخاطر التجارية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Clients/commercial_risks.php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المناقصات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Clients/tenders.php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العروض</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عروض الأسعار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Clients/quotations.php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نماذج التسعير</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قوائم ونماذج التسعير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Clients/pricelists.php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المنتجات والخدمات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كتالوج المنتجات والخدمات</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Clients/products.php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وحدات القياس</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Clients/units_of_measure.php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الملاحق والتجديدات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ملاحق العقود وتجديداتها</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Clients/contract_amendments.php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سجل الأحداث التعاقدية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سجل حركة العقد</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Clients/contract_events.php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التزامات العقد</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التزامات العقود</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Clients/contract_commitments.php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فحص الجاهزية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جاهزية العروض</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Clients/readiness_lines.php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الميزانيات والانحراف</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الميزانية والانحراف</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Finance/budget_form_fin.php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التقارير</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مركز التقارير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Reports/reports.php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4.8 · ادارة الصيانة   (رقم الدور 13)</w:t>
      </w:r>
    </w:p>
    <w:p>
      <w:pPr>
        <w:bidi/>
        <w:spacing w:before="60" w:after="60"/>
        <w:rPr>
          <w:rFonts w:ascii="Arial" w:hAnsi="Arial" w:cs="Arial"/>
          <w:sz w:val="20"/>
          <w:szCs w:val="20"/>
          <w:rtl/>
        </w:rPr>
      </w:pPr>
      <w:r>
        <w:rPr>
          <w:rFonts w:ascii="Arial" w:hAnsi="Arial" w:cs="Arial"/>
          <w:color w:val="4B5563"/>
          <w:sz w:val="20"/>
          <w:szCs w:val="20"/>
          <w:rtl/>
        </w:rPr>
        <w:t xml:space="preserve">عدد الروابط: 15   ·   يتغيّر اسمه: 6   ·   يبقى: 9</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أوامر الصيانة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Maintenance/orders.php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التفتيش الفني</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الفحص الفني اليومي</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Maintenance/inspections.php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الخطة الوقائية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الصيانة الوقائية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Maintenance/preventive_plans.php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إعدادات الصيانة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Maintenance/master_data.php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تصنيف الاعطال</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تصنيفات الأعطال</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Equipments/manage_failure_codes.php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الميزانيات والانحراف</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الميزانية والانحراف</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Finance/budget_form_fin.php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التكاليف والربحية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Finance/cost_report_fin.php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التقارير</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emsreports/index.php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4.9 · مدير الصلاحيات   (رقم الدور 15)</w:t>
      </w:r>
    </w:p>
    <w:p>
      <w:pPr>
        <w:bidi/>
        <w:spacing w:before="60" w:after="60"/>
        <w:rPr>
          <w:rFonts w:ascii="Arial" w:hAnsi="Arial" w:cs="Arial"/>
          <w:sz w:val="20"/>
          <w:szCs w:val="20"/>
          <w:rtl/>
        </w:rPr>
      </w:pPr>
      <w:r>
        <w:rPr>
          <w:rFonts w:ascii="Arial" w:hAnsi="Arial" w:cs="Arial"/>
          <w:color w:val="4B5563"/>
          <w:sz w:val="20"/>
          <w:szCs w:val="20"/>
          <w:rtl/>
        </w:rPr>
        <w:t xml:space="preserve">عدد الروابط: 7   ·   يتغيّر اسمه: 2   ·   يبقى: 5</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المستخدمين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الصلاحيات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main/users.php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المعاونين الشاملة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المعاونون</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main/all_assistants.php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4.10 · مسؤول المشتريات   (رقم الدور 16)</w:t>
      </w:r>
    </w:p>
    <w:p>
      <w:pPr>
        <w:bidi/>
        <w:spacing w:before="60" w:after="60"/>
        <w:rPr>
          <w:rFonts w:ascii="Arial" w:hAnsi="Arial" w:cs="Arial"/>
          <w:sz w:val="20"/>
          <w:szCs w:val="20"/>
          <w:rtl/>
        </w:rPr>
      </w:pPr>
      <w:r>
        <w:rPr>
          <w:rFonts w:ascii="Arial" w:hAnsi="Arial" w:cs="Arial"/>
          <w:color w:val="4B5563"/>
          <w:sz w:val="20"/>
          <w:szCs w:val="20"/>
          <w:rtl/>
        </w:rPr>
        <w:t xml:space="preserve">عدد الروابط: 19   ·   يتغيّر اسمه: 9   ·   يبقى: 10</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لوحة المشتريات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Procurement/dashboard_proc.php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كتالوج الأصناف</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Procurement/items_proc.php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 الشراء</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Procurement/requests_proc.php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أوامر الشراء</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Procurement/orders_proc.php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عهدة الاستلام المؤقت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الاستلام المؤقت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Procurement/receipt_custody_proc.php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المخزون التشغيلي</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المخزون</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Procurement/stock_proc.php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الصرف والعهدة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صرف المخزون والعهدة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Procurement/issue_proc.php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قواعد إعادة الطلب</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حدود إعادة الطلب</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Procurement/reordering_proc.php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الموردون التشغيليون</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موردو المشتريات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Procurement/suppliers_proc.php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بيانات مرجعية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البيانات المرجعية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Procurement/master_data_proc.php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الميزانيات والانحراف</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الميزانية والانحراف</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Finance/budget_form_fin.php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المدفوعات والخزينة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Finance/payments_fin.php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4.11 · المدير المالي   (رقم الدور 17)</w:t>
      </w:r>
    </w:p>
    <w:p>
      <w:pPr>
        <w:bidi/>
        <w:spacing w:before="60" w:after="60"/>
        <w:rPr>
          <w:rFonts w:ascii="Arial" w:hAnsi="Arial" w:cs="Arial"/>
          <w:sz w:val="20"/>
          <w:szCs w:val="20"/>
          <w:rtl/>
        </w:rPr>
      </w:pPr>
      <w:r>
        <w:rPr>
          <w:rFonts w:ascii="Arial" w:hAnsi="Arial" w:cs="Arial"/>
          <w:color w:val="4B5563"/>
          <w:sz w:val="20"/>
          <w:szCs w:val="20"/>
          <w:rtl/>
        </w:rPr>
        <w:t xml:space="preserve">عدد الروابط: 35   ·   يتغيّر اسمه: 20   ·   يبقى: 15</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لوحة المدير المالي اليومية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لوحة المدير المالي</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Finance/cfo_daily_board_fin.php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اللوحة التنفيذية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Finance/executive_dashboard_fin.php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دليل الحسابات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Finance/accounts_fin.php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المحاسبون والوحدات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Finance/accountants_fin.php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المعاونين</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مشرفو الموردين</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main/project_users.php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كشف الوحدات والتطابق</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مطابقة الوحدات اليومية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Finance/unit_records_fin.php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استيراد أحداث الإدارات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استقبال معاملات الإدارات</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Finance/import_events_fin.php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القيود المالية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القيود اليومية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Finance/journal_form_fin.php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القوائم المالية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Finance/financial_statements_fin.php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الميزانيات والانحراف</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الميزانية والانحراف</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Finance/budget_form_fin.php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مراقبة الانحراف والمعالجة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متابعة الانحراف</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Finance/variance_monitor_fin.php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الضرائب / القيمة المضافة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الضرائب والقيمة المضافة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Finance/tax_fin.php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الذمم والمستحقات</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الذمم والتحصيل</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Finance/dues_fin.php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كشف حساب المورد</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Finance/supplier_statement_fin.php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المدفوعات والخزينة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Finance/payments_fin.php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المطابقة البنكية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Finance/bank_reconciliation_fin.php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التكاليف والربحية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Finance/cost_report_fin.php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الفترات والإقفال</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إقفال الفترات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Finance/periods_fin.php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التمويل والالتزامات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Finance/funding_fin.php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السيولة والتنبؤ النقدي</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Finance/cash_forecast_fin.php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الأصول الثابتة والإهلاك</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الأصول والإهلاك</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Finance/assets_fin.php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المحاسبة الإدارية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Finance/management_accounting_fin.php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مخصّص الصيانة (المروحة)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قواعد مخصص الصيانة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Finance/maintenance_provision_fin.php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مستحق المشغّل (المروحة)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قواعد مستحقات المشغّلين</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Finance/operator_pay_fin.php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بوابة الطلبات المالية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الطلبات المالية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FinRequests/finance_gateway.php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خريطة تفريع الأثر</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سجل الحركة المالية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FinRequests/effect_map.php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30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توجيه الطلبات المالية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قواعد توجيه الطلبات</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FinRequests/routing_admin.php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لوحة زمن الدورة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زمن دورة الطلبات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FinRequests/cycle_time_board.php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32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تقارير الطلبات المالية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FinRequests/requests_reports.php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22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34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مكتب محاسب الإدارة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مكتب المحاسب</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FinRequests/accountant_desk.php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4.12 · مدير النقل والترحيل   (رقم الدور 23)</w:t>
      </w:r>
    </w:p>
    <w:p>
      <w:pPr>
        <w:bidi/>
        <w:spacing w:before="60" w:after="60"/>
        <w:rPr>
          <w:rFonts w:ascii="Arial" w:hAnsi="Arial" w:cs="Arial"/>
          <w:sz w:val="20"/>
          <w:szCs w:val="20"/>
          <w:rtl/>
        </w:rPr>
      </w:pPr>
      <w:r>
        <w:rPr>
          <w:rFonts w:ascii="Arial" w:hAnsi="Arial" w:cs="Arial"/>
          <w:color w:val="4B5563"/>
          <w:sz w:val="20"/>
          <w:szCs w:val="20"/>
          <w:rtl/>
        </w:rPr>
        <w:t xml:space="preserve">عدد الروابط: 14   ·   يتغيّر اسمه: 6   ·   يبقى: 8</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لوحة الرحلات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Transport/transfer_dashboard.php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أوامر الترحيل</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Transport/transfer_orders_list.php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 الترحيل</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الترحيل</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Transport/transfer_requests.php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أنواع الترحيل</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إعدادات الترحيل</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Transport/transfer_types_config.php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قواعد المتحمِّل</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قواعد تحميل تكلفة الترحيل</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Transport/transfer_cost_rules_config.php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إعداد المواقع</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المواقع</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Transport/trs_locations_config.php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 مالي جديد</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FinRequests/request_form.php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طلباتي المالية</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FinRequests/my_requests.php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الميزانيات والانحراف</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الميزانية والانحراف</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Finance/budget_form_fin.php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التكاليف والربحية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Finance/cost_report_fin.php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bidi/>
        <w:spacing w:before="240" w:after="40"/>
        <w:rPr>
          <w:rFonts w:ascii="Arial" w:hAnsi="Arial" w:cs="Arial"/>
          <w:b/>
          <w:bCs/>
          <w:sz w:val="26"/>
          <w:szCs w:val="26"/>
          <w:rtl/>
        </w:rPr>
      </w:pPr>
      <w:r>
        <w:rPr>
          <w:rFonts w:ascii="Arial" w:hAnsi="Arial" w:cs="Arial"/>
          <w:b/>
          <w:bCs/>
          <w:color w:val="1F3864"/>
          <w:sz w:val="26"/>
          <w:szCs w:val="26"/>
          <w:rtl/>
        </w:rPr>
        <w:t xml:space="preserve">4.13 · مدير البلاغات   (رقم الدور 24)</w:t>
      </w:r>
    </w:p>
    <w:p>
      <w:pPr>
        <w:bidi/>
        <w:spacing w:before="60" w:after="60"/>
        <w:rPr>
          <w:rFonts w:ascii="Arial" w:hAnsi="Arial" w:cs="Arial"/>
          <w:sz w:val="20"/>
          <w:szCs w:val="20"/>
          <w:rtl/>
        </w:rPr>
      </w:pPr>
      <w:r>
        <w:rPr>
          <w:rFonts w:ascii="Arial" w:hAnsi="Arial" w:cs="Arial"/>
          <w:color w:val="4B5563"/>
          <w:sz w:val="20"/>
          <w:szCs w:val="20"/>
          <w:rtl/>
        </w:rPr>
        <w:t xml:space="preserve">عدد الروابط: 10   ·   يتغيّر اسمه: 5   ·   يبقى: 5</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300"/>
        <w:gridCol w:w="3600"/>
        <w:gridCol w:w="3100"/>
        <w:gridCol w:w="22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1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2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الرئيسية</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المراسلات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chats/index.php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البلاغات</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Tickets/tickets_list.php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أنواع البلاغات والتوجيه</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إعداد أنواع البلاغات</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Tickets/ticket_types_config.php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التصنيف الفنّي للبلاغات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تصنيفات الأعطال والبلاغات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Tickets/ticket_categories_config.php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سياسات الاستحقاق (SLA)</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أزمنة الاستجابة والإنجاز</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Tickets/ticket_sla_config.php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سلّم التصعيد</w:t>
            </w:r>
          </w:p>
        </w:tc>
        <w:tc>
          <w:tcPr>
            <w:tcW w:w="3600" w:type="dx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Tickets/ticket_escalation_config.php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القوالب الدورية</w:t>
            </w:r>
          </w:p>
        </w:tc>
        <w:tc>
          <w:tcPr>
            <w:tcW w:w="3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البلاغات الدورية</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Tickets/ticket_recurrence.php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لوحة متابعة البلاغات</w:t>
            </w:r>
          </w:p>
        </w:tc>
        <w:tc>
          <w:tcPr>
            <w:tcW w:w="36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أداء البلاغات</w:t>
            </w:r>
          </w:p>
        </w:tc>
        <w:tc>
          <w:tcPr>
            <w:tcW w:w="31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Tickets/ticket_dashboard.php</w:t>
            </w:r>
          </w:p>
        </w:tc>
        <w:tc>
          <w:tcPr>
            <w:tcW w:w="22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الإعدادات</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color w:val="6B7280"/>
                <w:sz w:val="18"/>
                <w:szCs w:val="18"/>
                <w:rtl/>
              </w:rPr>
              <w:t xml:space="preserve">بلا تغيير</w:t>
            </w:r>
          </w:p>
        </w:tc>
        <w:tc>
          <w:tcPr>
            <w:tcW w:w="31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Settings/settings.php</w:t>
            </w:r>
          </w:p>
        </w:tc>
        <w:tc>
          <w:tcPr>
            <w:tcW w:w="22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w:t>
            </w:r>
          </w:p>
        </w:tc>
      </w:tr>
    </w:tbl>
    <w:p>
      <w:pPr>
        <w:pBdr>
          <w:bottom w:val="single" w:sz="8" w:space="2" w:color="1F3864"/>
        </w:pBdr>
        <w:bidi/>
        <w:spacing w:before="320" w:after="80"/>
        <w:rPr>
          <w:rFonts w:ascii="Arial" w:hAnsi="Arial" w:cs="Arial"/>
          <w:b/>
          <w:bCs/>
          <w:sz w:val="30"/>
          <w:szCs w:val="30"/>
          <w:rtl/>
        </w:rPr>
      </w:pPr>
      <w:r>
        <w:rPr>
          <w:rFonts w:ascii="Arial" w:hAnsi="Arial" w:cs="Arial"/>
          <w:b/>
          <w:bCs/>
          <w:color w:val="1F3864"/>
          <w:sz w:val="30"/>
          <w:szCs w:val="30"/>
          <w:rtl/>
        </w:rPr>
        <w:t xml:space="preserve">5 · قائمة العمل الموحّدة — الأسماء المتمايزة</w:t>
      </w:r>
    </w:p>
    <w:p>
      <w:pPr>
        <w:bidi/>
        <w:spacing w:before="60" w:after="60"/>
        <w:rPr>
          <w:rFonts w:ascii="Arial" w:hAnsi="Arial" w:cs="Arial"/>
          <w:sz w:val="22"/>
          <w:szCs w:val="22"/>
          <w:rtl/>
        </w:rPr>
      </w:pPr>
      <w:r>
        <w:rPr>
          <w:rFonts w:ascii="Arial" w:hAnsi="Arial" w:cs="Arial"/>
          <w:sz w:val="22"/>
          <w:szCs w:val="22"/>
          <w:rtl/>
        </w:rPr>
        <w:t xml:space="preserve">الصفحة المشتركة بين إداراتٍ عدّةٍ اسمُها واحدٌ في النظام، فتُسمّى مرةً واحدةً ويسري الاسم على كل إدارةٍ تراها. هذه هي قائمة العمل الفعلية مرتَّبةً بموضع الاسم، وعدد سطورها 72.</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600"/>
        <w:gridCol w:w="3600"/>
        <w:gridCol w:w="3900"/>
        <w:gridCol w:w="3200"/>
        <w:gridCol w:w="1500"/>
      </w:tblGrid>
      <w:tr>
        <w:trPr>
          <w:tblHeader/>
        </w:trPr>
        <w:tc>
          <w:tcPr>
            <w:tcW w:w="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w:t>
            </w:r>
          </w:p>
        </w:tc>
        <w:tc>
          <w:tcPr>
            <w:tcW w:w="3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الحالي</w:t>
            </w:r>
          </w:p>
        </w:tc>
        <w:tc>
          <w:tcPr>
            <w:tcW w:w="39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الاسم الجديد المعتمد</w:t>
            </w:r>
          </w:p>
        </w:tc>
        <w:tc>
          <w:tcPr>
            <w:tcW w:w="3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المسار (لا يتغيّر)</w:t>
            </w:r>
          </w:p>
        </w:tc>
        <w:tc>
          <w:tcPr>
            <w:tcW w:w="15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موضع الاسم</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أدوار الموظفين</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الأدوار الوظيفية</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Employees/employee_roles.php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أنواع البلاغات والتوجيه</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إعداد أنواع البلاغات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Tickets/ticket_types_config.php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أنواع الترحيل</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إعدادات الترحيل</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Transport/transfer_types_config.php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العقود</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العقود</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Contracts/contracts.php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العملاء</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العملاء</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Clients/clients.php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المبيعات</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المشاريع</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Projects/projects.php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المستخدمين</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الصلاحيات</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main/users.php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8</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المعاونين الشاملة</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المعاونون</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main/all_assistants.php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9</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المعدات</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المعدات</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Equipments/equipments_fleet.php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10</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إدارة الورديات</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الورديات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movement/movement_operations.php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11</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إعداد المواقع</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المواقع</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Transport/trs_locations_config.php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12</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استيراد أحداث الإدارات</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استقبال معاملات الإدارات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Finance/import_events_fin.php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13</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الأحداث المالية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المعاملات المالية</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Finance/events_list_fin.php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14</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الأصول الثابتة والإهلاك</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الأصول والإهلاك</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Finance/assets_fin.php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15</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الأنشطة التجارية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أنشطة العملاء</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Clients/activities.php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16</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الاحتياج والتخطيط</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احتياج القوى والتخطيط</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Workforce/workforce_requirement.php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17</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التحرّك والنقل</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تنقلات العاملين</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Workforce/worker_movement.php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18</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التزامات العقد</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التزامات العقود</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Clients/contract_commitments.php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19</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التصنيف الفنّي للبلاغات</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تصنيفات الأعطال والبلاغات</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Tickets/ticket_categories_config.php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20</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التفتيش الفني</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الفحص الفني اليومي</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Maintenance/inspections.php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21</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الخطة الوقائية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الصيانة الوقائية</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Maintenance/preventive_plans.php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22</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الذمم والمستحقات</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الذمم والتحصيل</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Finance/dues_fin.php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23</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السائقون والمشغّلون</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المشغّلون والسائقون</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Employees/equipment_operators.php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24</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السجل التشغيلي</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سجل الأحداث التشغيلية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Workforce/worker_worklog.php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25</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الصرف والعهدة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صرف المخزون والعهدة</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Procurement/issue_proc.php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26</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الضرائب / القيمة المضافة</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الضرائب والقيمة المضافة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Finance/tax_fin.php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27</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العروض</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عروض الأسعار</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Clients/quotations.php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28</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الفترات والإقفال</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إقفال الفترات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Finance/periods_fin.php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29</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القوالب الدورية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البلاغات الدورية</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Tickets/ticket_recurrence.php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30</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القيود المالية</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القيود اليومية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Finance/journal_form_fin.php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31</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المخزون التشغيلي</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المخزون</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Procurement/stock_proc.php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32</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المعاونين</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مشرفو الموردين</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main/project_users.php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33</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الملاحق والتجديدات</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ملاحق العقود وتجديداتها</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Clients/contract_amendments.php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34</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المنتجات والخدمات</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كتالوج المنتجات والخدمات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Clients/products.php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35</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الموردون التشغيليون</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موردو المشتريات</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Procurement/suppliers_proc.php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36</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الميزانيات والانحراف</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الميزانية والانحراف</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Finance/budget_form_fin.php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37</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بوابة الطلبات المالية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الطلبات المالية</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FinRequests/finance_gateway.php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38</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بيانات مرجعية</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البيانات المرجعية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Procurement/master_data_proc.php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39</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تسوية العاملين</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تسويات العاملين</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Workforce/worker_settlement.php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40</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تصنيف الاعطال</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تصنيفات الأعطال</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Equipments/manage_failure_codes.php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41</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تقييم العاملين</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تقييم الأداء</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Workforce/worker_evaluation.php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42</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توجيه الطلبات المالية</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قواعد توجيه الطلبات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FinRequests/routing_admin.php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43</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حالة المشروع</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متابعة المشروع</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movement/map_page.php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44</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خريطة تفريع الأثر</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سجل الحركة المالية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FinRequests/effect_map.php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45</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سجل الأحداث التعاقدية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سجل حركة العقد</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Clients/contract_events.php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46</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سجل العامل التشغيلي</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السجل التشغيلي للعامل</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Workforce/worker_register.php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47</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سجل النشاطات</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سجل النشاط</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ActivityLogs/activity_logs.php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48</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سجل النوع والموديل</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الأنواع والموديلات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Equipments/fleet_models.php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49</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سياسات الاستحقاق (SLA)</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أزمنة الاستجابة والإنجاز</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Tickets/ticket_sla_config.php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50</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شاشة انواع المعدات</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أنواع المعدات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Equipments/equipments_types.php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51</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طلبات الترحيل</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الترحيل</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Transport/transfer_requests.php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52</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علاقات الموردين</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الموردون</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Suppliers/suppliers.php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53</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علاقات الموظفين</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الموظفون</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Employees/employees.php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54</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عهدة الاستلام المؤقت</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الاستلام المؤقت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Procurement/receipt_custody_proc.php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55</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فحص الجاهزية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جاهزية العروض</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Clients/readiness_lines.php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56</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قواعد إعادة الطلب</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حدود إعادة الطلب</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Procurement/reordering_proc.php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57</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قواعد المتحمِّل</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قواعد تحميل تكلفة الترحيل</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Transport/transfer_cost_rules_config.php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58</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كشف الوحدات والتطابق</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مطابقة الوحدات اليومية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Finance/unit_records_fin.php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59</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لوحة المدير المالي اليومية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لوحة المدير المالي</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Finance/cfo_daily_board_fin.php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60</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لوحة زمن الدورة</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زمن دورة الطلبات</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FinRequests/cycle_time_board.php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61</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لوحة متابعة البلاغات</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أداء البلاغات</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Tickets/ticket_dashboard.php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62</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مخصّص الصيانة (المروحة)</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قواعد مخصص الصيانة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Finance/maintenance_provision_fin.php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63</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مراقبة الانحراف والمعالجة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متابعة الانحراف</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Finance/variance_monitor_fin.php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64</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مسار الفرص</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الفرص البيعية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Opportunities/opportunities.php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65</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مستحق المشغّل (المروحة)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قواعد مستحقات المشغّلين</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Finance/operator_pay_fin.php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66</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ملف الإهلاك المالي</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إعداد الإهلاك</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Equipments/fleet_depreciation_profiles.php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67</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نماذج التسعير</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قوائم ونماذج التسعير</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Clients/pricelists.php</w:t>
            </w:r>
          </w:p>
        </w:tc>
        <w:tc>
          <w:tcPr>
            <w:tcW w:w="1500" w:type="dx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68</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وحدات السكن</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السكن والإعاشة</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Workforce/housing_units.php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4B5563"/>
                <w:sz w:val="18"/>
                <w:szCs w:val="18"/>
                <w:rtl/>
              </w:rPr>
              <w:t xml:space="preserve">قاعدة البيانات</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69</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صندوق طلبات الإدارة</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موافقات إدارتي</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FinRequests/dept_inbox.php</w:t>
            </w:r>
          </w:p>
        </w:tc>
        <w:tc>
          <w:tcPr>
            <w:tcW w:w="15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70</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مكتب محاسب الإدارة</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مكتب المحاسب</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FinRequests/accountant_desk.php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vAlign w:val="center"/>
          </w:tcPr>
          <w:p>
            <w:pPr>
              <w:bidi/>
              <w:spacing w:before="20" w:after="20"/>
              <w:jc w:val="center"/>
              <w:rPr>
                <w:rFonts w:ascii="Arial" w:hAnsi="Arial" w:cs="Arial"/>
                <w:sz w:val="18"/>
                <w:szCs w:val="18"/>
                <w:rtl/>
              </w:rPr>
            </w:pPr>
            <w:r>
              <w:rPr>
                <w:rFonts w:ascii="Arial" w:hAnsi="Arial" w:cs="Arial"/>
                <w:sz w:val="18"/>
                <w:szCs w:val="18"/>
                <w:rtl/>
              </w:rPr>
              <w:t xml:space="preserve">71</w:t>
            </w:r>
          </w:p>
        </w:tc>
        <w:tc>
          <w:tcPr>
            <w:tcW w:w="36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اعتماد الساعات</w:t>
            </w:r>
          </w:p>
        </w:tc>
        <w:tc>
          <w:tcPr>
            <w:tcW w:w="3900" w:type="dx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اعتماد الوحدات التشغيلية</w:t>
            </w:r>
          </w:p>
        </w:tc>
        <w:tc>
          <w:tcPr>
            <w:tcW w:w="3200" w:type="dx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Approvals/hours_approval.php</w:t>
            </w:r>
          </w:p>
        </w:tc>
        <w:tc>
          <w:tcPr>
            <w:tcW w:w="1500" w:type="dx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r>
        <w:tc>
          <w:tcPr>
            <w:tcW w:w="600" w:type="dxa"/>
            <w:shd w:val="clear" w:color="auto" w:fill="F2F5FA"/>
            <w:vAlign w:val="center"/>
          </w:tcPr>
          <w:p>
            <w:pPr>
              <w:bidi/>
              <w:spacing w:before="20" w:after="20"/>
              <w:jc w:val="center"/>
              <w:rPr>
                <w:rFonts w:ascii="Arial" w:hAnsi="Arial" w:cs="Arial"/>
                <w:sz w:val="18"/>
                <w:szCs w:val="18"/>
                <w:rtl/>
              </w:rPr>
            </w:pPr>
            <w:r>
              <w:rPr>
                <w:rFonts w:ascii="Arial" w:hAnsi="Arial" w:cs="Arial"/>
                <w:sz w:val="18"/>
                <w:szCs w:val="18"/>
                <w:rtl/>
              </w:rPr>
              <w:t xml:space="preserve">72</w:t>
            </w:r>
          </w:p>
        </w:tc>
        <w:tc>
          <w:tcPr>
            <w:tcW w:w="36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التقارير</w:t>
            </w:r>
          </w:p>
        </w:tc>
        <w:tc>
          <w:tcPr>
            <w:tcW w:w="39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color w:val="1F3864"/>
                <w:sz w:val="18"/>
                <w:szCs w:val="18"/>
                <w:rtl/>
              </w:rPr>
              <w:t xml:space="preserve">مركز التقارير</w:t>
            </w:r>
          </w:p>
        </w:tc>
        <w:tc>
          <w:tcPr>
            <w:tcW w:w="3200" w:type="dxa"/>
            <w:shd w:val="clear" w:color="auto" w:fill="F2F5FA"/>
            <w:vAlign w:val="center"/>
          </w:tcPr>
          <w:p>
            <w:pPr>
              <w:bidi/>
              <w:spacing w:before="20" w:after="20"/>
              <w:jc w:val="right"/>
              <w:rPr>
                <w:rFonts w:ascii="Arial" w:hAnsi="Arial" w:cs="Arial"/>
                <w:sz w:val="16"/>
                <w:szCs w:val="16"/>
                <w:rtl/>
              </w:rPr>
            </w:pPr>
            <w:r>
              <w:rPr>
                <w:rFonts w:ascii="Arial" w:hAnsi="Arial" w:cs="Arial"/>
                <w:color w:val="6B7280"/>
                <w:sz w:val="16"/>
                <w:szCs w:val="16"/>
                <w:rtl/>
              </w:rPr>
              <w:t xml:space="preserve">Reports/reports.php</w:t>
            </w:r>
          </w:p>
        </w:tc>
        <w:tc>
          <w:tcPr>
            <w:tcW w:w="1500" w:type="dxa"/>
            <w:shd w:val="clear" w:color="auto" w:fill="F2F5FA"/>
            <w:vAlign w:val="center"/>
          </w:tcPr>
          <w:p>
            <w:pPr>
              <w:bidi/>
              <w:spacing w:before="20" w:after="20"/>
              <w:jc w:val="center"/>
              <w:rPr>
                <w:rFonts w:ascii="Arial" w:hAnsi="Arial" w:cs="Arial"/>
                <w:sz w:val="18"/>
                <w:szCs w:val="18"/>
                <w:rtl/>
              </w:rPr>
            </w:pPr>
            <w:r>
              <w:rPr>
                <w:rFonts w:ascii="Arial" w:hAnsi="Arial" w:cs="Arial"/>
                <w:color w:val="B45309"/>
                <w:sz w:val="18"/>
                <w:szCs w:val="18"/>
                <w:rtl/>
              </w:rPr>
              <w:t xml:space="preserve">كود</w:t>
            </w:r>
          </w:p>
        </w:tc>
      </w:tr>
    </w:tbl>
    <w:p>
      <w:pPr>
        <w:pBdr>
          <w:bottom w:val="single" w:sz="8" w:space="2" w:color="1F3864"/>
        </w:pBdr>
        <w:bidi/>
        <w:spacing w:before="320" w:after="80"/>
        <w:rPr>
          <w:rFonts w:ascii="Arial" w:hAnsi="Arial" w:cs="Arial"/>
          <w:b/>
          <w:bCs/>
          <w:sz w:val="30"/>
          <w:szCs w:val="30"/>
          <w:rtl/>
        </w:rPr>
      </w:pPr>
      <w:r>
        <w:rPr>
          <w:rFonts w:ascii="Arial" w:hAnsi="Arial" w:cs="Arial"/>
          <w:b/>
          <w:bCs/>
          <w:color w:val="1F3864"/>
          <w:sz w:val="30"/>
          <w:szCs w:val="30"/>
          <w:rtl/>
        </w:rPr>
        <w:t xml:space="preserve">6 · سهولة التنفيذ وإمكانه</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2600"/>
        <w:gridCol w:w="10200"/>
      </w:tblGrid>
      <w:tr>
        <w:trPr>
          <w:tblHeader/>
        </w:trPr>
        <w:tc>
          <w:tcPr>
            <w:tcW w:w="26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الوجه</w:t>
            </w:r>
          </w:p>
        </w:tc>
        <w:tc>
          <w:tcPr>
            <w:tcW w:w="102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البيان</w:t>
            </w:r>
          </w:p>
        </w:tc>
      </w:tr>
      <w:tr>
        <w:tc>
          <w:tcPr>
            <w:tcW w:w="2600" w:type="dx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الحكم العام</w:t>
            </w:r>
          </w:p>
        </w:tc>
        <w:tc>
          <w:tcPr>
            <w:tcW w:w="102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التغيير النصّي ممكنٌ بالكامل، ومنخفضُ الكلفة والخطر. لا يمسّ بنيةً ولا صلاحيةً ولا مسارًا ولا بيانات عمل.</w:t>
            </w:r>
          </w:p>
        </w:tc>
      </w:tr>
      <w:tr>
        <w:tc>
          <w:tcPr>
            <w:tcW w:w="2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لماذا هو سهل</w:t>
            </w:r>
          </w:p>
        </w:tc>
        <w:tc>
          <w:tcPr>
            <w:tcW w:w="102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‏87٪ من الأسماء مخزَّنةٌ بيانًا في عمودٍ واحدٍ بجدول الوحدات (modules.name)، وتُحرَّر من شاشة «إدارة الصفحات» في النظام نفسه. لا نشرَ كودٍ ولا توقّفَ خدمة، والأثر فوريٌّ في القائمة الجانبية وفي روابط الوصول السريع بلوحة التحكم معًا.</w:t>
            </w:r>
          </w:p>
        </w:tc>
      </w:tr>
      <w:tr>
        <w:tc>
          <w:tcPr>
            <w:tcW w:w="2600" w:type="dx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ما لا يتأثر</w:t>
            </w:r>
          </w:p>
        </w:tc>
        <w:tc>
          <w:tcPr>
            <w:tcW w:w="102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المسارات والملفات كما هي، فلا يُكسر رابطٌ محفوظٌ ولا إشارةٌ مرجعية. والصلاحيات مربوطةٌ برقم الوحدة لا باسمها، فلا يفقد أحدٌ وصولًا ولا يكتسبه. وتحليلُ الصلاحيات في النظام يبحث بالمسار لا بالاسم، فلا يتأثر بإعادة التسمية.</w:t>
            </w:r>
          </w:p>
        </w:tc>
      </w:tr>
      <w:tr>
        <w:tc>
          <w:tcPr>
            <w:tcW w:w="2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اتساع الأثر</w:t>
            </w:r>
          </w:p>
        </w:tc>
        <w:tc>
          <w:tcPr>
            <w:tcW w:w="102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جدول الوحدات بلا عمود شركة، فالاسم واحدٌ لكل الشركات: تُكتب التسمية مرةً وتسري على الجميع — وهذا يقلّل العمل ويمنع تباين التسمية بين المستأجرين.</w:t>
            </w:r>
          </w:p>
        </w:tc>
      </w:tr>
      <w:tr>
        <w:tc>
          <w:tcPr>
            <w:tcW w:w="2600" w:type="dx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قابلية التراجع</w:t>
            </w:r>
          </w:p>
        </w:tc>
        <w:tc>
          <w:tcPr>
            <w:tcW w:w="102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تسميةُ قاعدة البيانات قابلةٌ للعكس بالكامل متى حُفظ جدولُ «قبل/بعد» قبل التنفيذ. أما تعديلات الكود فتُراجَع بالمستودع.</w:t>
            </w:r>
          </w:p>
        </w:tc>
      </w:tr>
      <w:tr>
        <w:tc>
          <w:tcPr>
            <w:tcW w:w="26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حجم العمل المقدَّر</w:t>
            </w:r>
          </w:p>
        </w:tc>
        <w:tc>
          <w:tcPr>
            <w:tcW w:w="102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‏72 اسمًا: منها ما يُحرَّر من الشاشة، وما يقع في ملفَّين اثنين فقط لا غير.</w:t>
            </w:r>
          </w:p>
        </w:tc>
      </w:tr>
    </w:tbl>
    <w:p>
      <w:pPr>
        <w:pBdr>
          <w:bottom w:val="single" w:sz="8" w:space="2" w:color="1F3864"/>
        </w:pBdr>
        <w:bidi/>
        <w:spacing w:before="320" w:after="80"/>
        <w:rPr>
          <w:rFonts w:ascii="Arial" w:hAnsi="Arial" w:cs="Arial"/>
          <w:b/>
          <w:bCs/>
          <w:sz w:val="30"/>
          <w:szCs w:val="30"/>
          <w:rtl/>
        </w:rPr>
      </w:pPr>
      <w:r>
        <w:rPr>
          <w:rFonts w:ascii="Arial" w:hAnsi="Arial" w:cs="Arial"/>
          <w:b/>
          <w:bCs/>
          <w:color w:val="1F3864"/>
          <w:sz w:val="30"/>
          <w:szCs w:val="30"/>
          <w:rtl/>
        </w:rPr>
        <w:t xml:space="preserve">7 · المعوّقات</w:t>
      </w:r>
    </w:p>
    <w:p>
      <w:pPr>
        <w:bidi/>
        <w:spacing w:before="60" w:after="60"/>
        <w:rPr>
          <w:rFonts w:ascii="Arial" w:hAnsi="Arial" w:cs="Arial"/>
          <w:sz w:val="22"/>
          <w:szCs w:val="22"/>
          <w:rtl/>
        </w:rPr>
      </w:pPr>
      <w:r>
        <w:rPr>
          <w:rFonts w:ascii="Arial" w:hAnsi="Arial" w:cs="Arial"/>
          <w:sz w:val="22"/>
          <w:szCs w:val="22"/>
          <w:rtl/>
        </w:rPr>
        <w:t xml:space="preserve">ليست موانعَ تمنع التنفيذ، بل مواضعُ إن أُغفلت ظهر النظام غيرَ متّسقٍ أمام المستخدم.</w:t>
      </w:r>
    </w:p>
    <w:tbl>
      <w:tblPr>
        <w:tblStyle w:val="TableGrid"/>
        <w:bidiVisual/>
        <w:tblW w:w="12800" w:type="dxa"/>
        <w:tblBorders>
          <w:top w:val="single" w:sz="4" w:color="B7C0D0"/>
          <w:left w:val="single" w:sz="4" w:color="B7C0D0"/>
          <w:bottom w:val="single" w:sz="4" w:color="B7C0D0"/>
          <w:right w:val="single" w:sz="4" w:color="B7C0D0"/>
          <w:insideH w:val="single" w:sz="4" w:color="B7C0D0"/>
          <w:insideV w:val="single" w:sz="4" w:color="B7C0D0"/>
        </w:tblBorders>
      </w:tblPr>
      <w:tblGrid>
        <w:gridCol w:w="500"/>
        <w:gridCol w:w="3000"/>
        <w:gridCol w:w="9300"/>
      </w:tblGrid>
      <w:tr>
        <w:trPr>
          <w:tblHeader/>
        </w:trPr>
        <w:tc>
          <w:tcPr>
            <w:tcW w:w="5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
            </w:r>
          </w:p>
        </w:tc>
        <w:tc>
          <w:tcPr>
            <w:tcW w:w="30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المعوّق</w:t>
            </w:r>
          </w:p>
        </w:tc>
        <w:tc>
          <w:tcPr>
            <w:tcW w:w="9300" w:type="dxa"/>
            <w:shd w:val="clear" w:color="auto" w:fill="1F3864"/>
            <w:vAlign w:val="center"/>
          </w:tcPr>
          <w:p>
            <w:pPr>
              <w:bidi/>
              <w:spacing w:before="20" w:after="20"/>
              <w:jc w:val="center"/>
              <w:rPr>
                <w:rFonts w:ascii="Arial" w:hAnsi="Arial" w:cs="Arial"/>
                <w:b/>
                <w:bCs/>
                <w:sz w:val="18"/>
                <w:szCs w:val="18"/>
                <w:rtl/>
              </w:rPr>
            </w:pPr>
            <w:r>
              <w:rPr>
                <w:rFonts w:ascii="Arial" w:hAnsi="Arial" w:cs="Arial"/>
                <w:b/>
                <w:bCs/>
                <w:color w:val="FFFFFF"/>
                <w:sz w:val="18"/>
                <w:szCs w:val="18"/>
                <w:rtl/>
              </w:rPr>
              <w:t xml:space="preserve">بيانه وعلاجه</w:t>
            </w:r>
          </w:p>
        </w:tc>
      </w:tr>
      <w:tr>
        <w:tc>
          <w:tcPr>
            <w:tcW w:w="500" w:type="dxa"/>
            <w:vAlign w:val="center"/>
          </w:tcPr>
          <w:p>
            <w:pPr>
              <w:bidi/>
              <w:spacing w:before="20" w:after="20"/>
              <w:jc w:val="center"/>
              <w:rPr>
                <w:rFonts w:ascii="Arial" w:hAnsi="Arial" w:cs="Arial"/>
                <w:b/>
                <w:bCs/>
                <w:sz w:val="18"/>
                <w:szCs w:val="18"/>
                <w:rtl/>
              </w:rPr>
            </w:pPr>
            <w:r>
              <w:rPr>
                <w:rFonts w:ascii="Arial" w:hAnsi="Arial" w:cs="Arial"/>
                <w:b/>
                <w:bCs/>
                <w:color w:val="B45309"/>
                <w:sz w:val="18"/>
                <w:szCs w:val="18"/>
                <w:rtl/>
              </w:rPr>
              <w:t xml:space="preserve">①</w:t>
            </w:r>
          </w:p>
        </w:tc>
        <w:tc>
          <w:tcPr>
            <w:tcW w:w="3000" w:type="dx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اسمٌ واحدٌ في موضعين — أخطرها</w:t>
            </w:r>
          </w:p>
        </w:tc>
        <w:tc>
          <w:tcPr>
            <w:tcW w:w="9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ثلاث شاشاتٍ في بوابة الطلبات المالية (طلب مالي جديد · طلباتي المالية · صندوق طلبات الإدارة) يصلها بعض الإدارات من جدول الوحدات، وبعضها من نصٍّ مكتوبٍ في ملف includes/finreq_badges.php. فلو غُيّر اسمُها في قاعدة البيانات وحدها، رأت إدارةُ الصيانة الاسمَ الجديد ورأت سبعُ إداراتٍ أخرى الاسمَ القديم — للشاشة نفسها. العلاج: أن يتحرك الموضعان في دفعةٍ واحدة.</w:t>
            </w:r>
          </w:p>
        </w:tc>
      </w:tr>
      <w:tr>
        <w:tc>
          <w:tcPr>
            <w:tcW w:w="5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B45309"/>
                <w:sz w:val="18"/>
                <w:szCs w:val="18"/>
                <w:rtl/>
              </w:rPr>
              <w:t xml:space="preserve">②</w:t>
            </w:r>
          </w:p>
        </w:tc>
        <w:tc>
          <w:tcPr>
            <w:tcW w:w="30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رابطان لصفحةٍ واحدةٍ باسمين</w:t>
            </w:r>
          </w:p>
        </w:tc>
        <w:tc>
          <w:tcPr>
            <w:tcW w:w="9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خمسة روابطَ تظهر مرّتين في القائمة الواحدة اليوم لأنّ مصدرين يطبعانها — وهي تمرّ الآن دون انتباهٍ لتطابق الاسمين. فإن غُيّر أحدُ الاسمين دون الآخر ظهر رابطان متجاوران باسمين مختلفين يفتحان الصفحة نفسها. المواضع: «الإعدادات» عند إدارة التشغيل، و«التقارير» عند الموردين والأسطول والموارد البشرية ومدير الموقع.</w:t>
            </w:r>
          </w:p>
        </w:tc>
      </w:tr>
      <w:tr>
        <w:tc>
          <w:tcPr>
            <w:tcW w:w="500" w:type="dxa"/>
            <w:vAlign w:val="center"/>
          </w:tcPr>
          <w:p>
            <w:pPr>
              <w:bidi/>
              <w:spacing w:before="20" w:after="20"/>
              <w:jc w:val="center"/>
              <w:rPr>
                <w:rFonts w:ascii="Arial" w:hAnsi="Arial" w:cs="Arial"/>
                <w:b/>
                <w:bCs/>
                <w:sz w:val="18"/>
                <w:szCs w:val="18"/>
                <w:rtl/>
              </w:rPr>
            </w:pPr>
            <w:r>
              <w:rPr>
                <w:rFonts w:ascii="Arial" w:hAnsi="Arial" w:cs="Arial"/>
                <w:b/>
                <w:bCs/>
                <w:color w:val="B45309"/>
                <w:sz w:val="18"/>
                <w:szCs w:val="18"/>
                <w:rtl/>
              </w:rPr>
              <w:t xml:space="preserve">③</w:t>
            </w:r>
          </w:p>
        </w:tc>
        <w:tc>
          <w:tcPr>
            <w:tcW w:w="3000" w:type="dx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اسمُ الرابط وعنوانُ الصفحة</w:t>
            </w:r>
          </w:p>
        </w:tc>
        <w:tc>
          <w:tcPr>
            <w:tcW w:w="9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تغييرُ اسم الرابط لا يغيّر العنوان المكتوب داخل الشاشة نفسها؛ فيضغط المستخدم اسمًا ويفتح عنوانًا آخر. العناوين الداخلية مكتوبةٌ في كل ملفِ شاشةٍ على حدة، وتوحيدُها معها عملٌ منفصلٌ بحجم عدد الشاشات — يُقرَّر إن كان داخل النطاق أم لا.</w:t>
            </w:r>
          </w:p>
        </w:tc>
      </w:tr>
      <w:tr>
        <w:tc>
          <w:tcPr>
            <w:tcW w:w="5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B45309"/>
                <w:sz w:val="18"/>
                <w:szCs w:val="18"/>
                <w:rtl/>
              </w:rPr>
              <w:t xml:space="preserve">④</w:t>
            </w:r>
          </w:p>
        </w:tc>
        <w:tc>
          <w:tcPr>
            <w:tcW w:w="30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الشاشة المشتركة المسمّاة بأسماءٍ مختلفةٍ عمدًا</w:t>
            </w:r>
          </w:p>
        </w:tc>
        <w:tc>
          <w:tcPr>
            <w:tcW w:w="9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شاشةُ المشرفين مسجَّلةٌ ستَّ مراتٍ بأربعة أسماء لكل إدارةٍ اسمُها، وشاشةُ التقارير خمسَ مرات. والاسم المعتمد واحد، فتوحيدُه يُلغي تمييزًا كان مقصودًا. قرارٌ إداريٌّ لا تقني: أيُوحَّد الاسم أم يبقى لكل إدارةٍ اسمُها؟</w:t>
            </w:r>
          </w:p>
        </w:tc>
      </w:tr>
      <w:tr>
        <w:tc>
          <w:tcPr>
            <w:tcW w:w="500" w:type="dxa"/>
            <w:vAlign w:val="center"/>
          </w:tcPr>
          <w:p>
            <w:pPr>
              <w:bidi/>
              <w:spacing w:before="20" w:after="20"/>
              <w:jc w:val="center"/>
              <w:rPr>
                <w:rFonts w:ascii="Arial" w:hAnsi="Arial" w:cs="Arial"/>
                <w:b/>
                <w:bCs/>
                <w:sz w:val="18"/>
                <w:szCs w:val="18"/>
                <w:rtl/>
              </w:rPr>
            </w:pPr>
            <w:r>
              <w:rPr>
                <w:rFonts w:ascii="Arial" w:hAnsi="Arial" w:cs="Arial"/>
                <w:b/>
                <w:bCs/>
                <w:color w:val="B45309"/>
                <w:sz w:val="18"/>
                <w:szCs w:val="18"/>
                <w:rtl/>
              </w:rPr>
              <w:t xml:space="preserve">⑤</w:t>
            </w:r>
          </w:p>
        </w:tc>
        <w:tc>
          <w:tcPr>
            <w:tcW w:w="3000" w:type="dx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السجلّ التاريخي</w:t>
            </w:r>
          </w:p>
        </w:tc>
        <w:tc>
          <w:tcPr>
            <w:tcW w:w="9300" w:type="dxa"/>
            <w:vAlign w:val="center"/>
          </w:tcPr>
          <w:p>
            <w:pPr>
              <w:bidi/>
              <w:spacing w:before="20" w:after="20"/>
              <w:jc w:val="right"/>
              <w:rPr>
                <w:rFonts w:ascii="Arial" w:hAnsi="Arial" w:cs="Arial"/>
                <w:sz w:val="18"/>
                <w:szCs w:val="18"/>
                <w:rtl/>
              </w:rPr>
            </w:pPr>
            <w:r>
              <w:rPr>
                <w:rFonts w:ascii="Arial" w:hAnsi="Arial" w:cs="Arial"/>
                <w:sz w:val="18"/>
                <w:szCs w:val="18"/>
                <w:rtl/>
              </w:rPr>
              <w:t xml:space="preserve">لم يُتحقَّق بعدُ ممّا إذا كان سجلُّ النشاطات يخزّن اسم الشاشة لحظةَ وقوع الحدث أم يقرؤه حيًّا. فإن كان يخزّنه، حملت السجلاتُ القديمة الأسماءَ القديمة — وهو سلوكٌ سليمٌ تدقيقيًّا لكن ينبغي أن يعلمه المدقّق سلفًا.</w:t>
            </w:r>
          </w:p>
        </w:tc>
      </w:tr>
      <w:tr>
        <w:tc>
          <w:tcPr>
            <w:tcW w:w="500" w:type="dxa"/>
            <w:shd w:val="clear" w:color="auto" w:fill="F2F5FA"/>
            <w:vAlign w:val="center"/>
          </w:tcPr>
          <w:p>
            <w:pPr>
              <w:bidi/>
              <w:spacing w:before="20" w:after="20"/>
              <w:jc w:val="center"/>
              <w:rPr>
                <w:rFonts w:ascii="Arial" w:hAnsi="Arial" w:cs="Arial"/>
                <w:b/>
                <w:bCs/>
                <w:sz w:val="18"/>
                <w:szCs w:val="18"/>
                <w:rtl/>
              </w:rPr>
            </w:pPr>
            <w:r>
              <w:rPr>
                <w:rFonts w:ascii="Arial" w:hAnsi="Arial" w:cs="Arial"/>
                <w:b/>
                <w:bCs/>
                <w:color w:val="B45309"/>
                <w:sz w:val="18"/>
                <w:szCs w:val="18"/>
                <w:rtl/>
              </w:rPr>
              <w:t xml:space="preserve">⑥</w:t>
            </w:r>
          </w:p>
        </w:tc>
        <w:tc>
          <w:tcPr>
            <w:tcW w:w="3000" w:type="dxa"/>
            <w:shd w:val="clear" w:color="auto" w:fill="F2F5FA"/>
            <w:vAlign w:val="center"/>
          </w:tcPr>
          <w:p>
            <w:pPr>
              <w:bidi/>
              <w:spacing w:before="20" w:after="20"/>
              <w:jc w:val="right"/>
              <w:rPr>
                <w:rFonts w:ascii="Arial" w:hAnsi="Arial" w:cs="Arial"/>
                <w:b/>
                <w:bCs/>
                <w:sz w:val="18"/>
                <w:szCs w:val="18"/>
                <w:rtl/>
              </w:rPr>
            </w:pPr>
            <w:r>
              <w:rPr>
                <w:rFonts w:ascii="Arial" w:hAnsi="Arial" w:cs="Arial"/>
                <w:b/>
                <w:bCs/>
                <w:sz w:val="18"/>
                <w:szCs w:val="18"/>
                <w:rtl/>
              </w:rPr>
              <w:t xml:space="preserve">ألفةُ المستخدم</w:t>
            </w:r>
          </w:p>
        </w:tc>
        <w:tc>
          <w:tcPr>
            <w:tcW w:w="9300" w:type="dxa"/>
            <w:shd w:val="clear" w:color="auto" w:fill="F2F5FA"/>
            <w:vAlign w:val="center"/>
          </w:tcPr>
          <w:p>
            <w:pPr>
              <w:bidi/>
              <w:spacing w:before="20" w:after="20"/>
              <w:jc w:val="right"/>
              <w:rPr>
                <w:rFonts w:ascii="Arial" w:hAnsi="Arial" w:cs="Arial"/>
                <w:sz w:val="18"/>
                <w:szCs w:val="18"/>
                <w:rtl/>
              </w:rPr>
            </w:pPr>
            <w:r>
              <w:rPr>
                <w:rFonts w:ascii="Arial" w:hAnsi="Arial" w:cs="Arial"/>
                <w:sz w:val="18"/>
                <w:szCs w:val="18"/>
                <w:rtl/>
              </w:rPr>
              <w:t xml:space="preserve">ستةُ أسماءٍ تنتقل من مفردة «الساعات» إلى مفردة «الوحدات». تغييرٌ في لغة العمل اليومية لا في نصِّ شاشة — يستحق إشعارًا للمستخدمين قبل يوم التنفيذ.</w:t>
            </w:r>
          </w:p>
        </w:tc>
      </w:tr>
    </w:tbl>
    <w:p>
      <w:pPr>
        <w:pBdr>
          <w:bottom w:val="single" w:sz="8" w:space="2" w:color="1F3864"/>
        </w:pBdr>
        <w:bidi/>
        <w:spacing w:before="320" w:after="80"/>
        <w:rPr>
          <w:rFonts w:ascii="Arial" w:hAnsi="Arial" w:cs="Arial"/>
          <w:b/>
          <w:bCs/>
          <w:sz w:val="30"/>
          <w:szCs w:val="30"/>
          <w:rtl/>
        </w:rPr>
      </w:pPr>
      <w:r>
        <w:rPr>
          <w:rFonts w:ascii="Arial" w:hAnsi="Arial" w:cs="Arial"/>
          <w:b/>
          <w:bCs/>
          <w:color w:val="1F3864"/>
          <w:sz w:val="30"/>
          <w:szCs w:val="30"/>
          <w:rtl/>
        </w:rPr>
        <w:t xml:space="preserve">8 · ما يحتاج قرارًا قبل البدء</w:t>
      </w:r>
    </w:p>
    <w:p>
      <w:pPr>
        <w:bidi/>
        <w:spacing w:before="40" w:after="40"/>
        <w:rPr>
          <w:rFonts w:ascii="Arial" w:hAnsi="Arial" w:cs="Arial"/>
          <w:sz w:val="22"/>
          <w:szCs w:val="22"/>
          <w:rtl/>
        </w:rPr>
      </w:pPr>
      <w:r>
        <w:rPr>
          <w:rFonts w:ascii="Arial" w:hAnsi="Arial" w:cs="Arial"/>
          <w:sz w:val="22"/>
          <w:szCs w:val="22"/>
          <w:rtl/>
        </w:rPr>
        <w:t xml:space="preserve">•  الشاشة المشتركة: اسمٌ موحَّدٌ لكل الإدارات، أم يبقى لكل إدارةٍ اسمُها الحالي؟ (المعوّق ④)</w:t>
      </w:r>
    </w:p>
    <w:p>
      <w:pPr>
        <w:bidi/>
        <w:spacing w:before="40" w:after="40"/>
        <w:rPr>
          <w:rFonts w:ascii="Arial" w:hAnsi="Arial" w:cs="Arial"/>
          <w:sz w:val="22"/>
          <w:szCs w:val="22"/>
          <w:rtl/>
        </w:rPr>
      </w:pPr>
      <w:r>
        <w:rPr>
          <w:rFonts w:ascii="Arial" w:hAnsi="Arial" w:cs="Arial"/>
          <w:sz w:val="22"/>
          <w:szCs w:val="22"/>
          <w:rtl/>
        </w:rPr>
        <w:t xml:space="preserve">•  نطاق التسمية: أسماءُ الروابط في القوائم فقط، أم معها العناوين المكتوبة داخل الشاشات؟ (المعوّق ③)</w:t>
      </w:r>
    </w:p>
    <w:p>
      <w:pPr>
        <w:bidi/>
        <w:spacing w:before="40" w:after="40"/>
        <w:rPr>
          <w:rFonts w:ascii="Arial" w:hAnsi="Arial" w:cs="Arial"/>
          <w:sz w:val="22"/>
          <w:szCs w:val="22"/>
          <w:rtl/>
        </w:rPr>
      </w:pPr>
      <w:r>
        <w:rPr>
          <w:rFonts w:ascii="Arial" w:hAnsi="Arial" w:cs="Arial"/>
          <w:sz w:val="22"/>
          <w:szCs w:val="22"/>
          <w:rtl/>
        </w:rPr>
        <w:t xml:space="preserve">•  الروابط المكرَّرة الخمسة: أتُترك على حالها في هذه المرحلة، أم يُوحَّد اسماها لئلا يظهر اختلافٌ ظاهر؟ (المعوّق ②)</w:t>
      </w:r>
    </w:p>
    <w:p>
      <w:pPr>
        <w:bidi/>
        <w:spacing w:before="40" w:after="40"/>
        <w:rPr>
          <w:rFonts w:ascii="Arial" w:hAnsi="Arial" w:cs="Arial"/>
          <w:sz w:val="22"/>
          <w:szCs w:val="22"/>
          <w:rtl/>
        </w:rPr>
      </w:pPr>
      <w:r>
        <w:rPr>
          <w:rFonts w:ascii="Arial" w:hAnsi="Arial" w:cs="Arial"/>
          <w:sz w:val="22"/>
          <w:szCs w:val="22"/>
          <w:rtl/>
        </w:rPr>
        <w:t xml:space="preserve">•  التوقيت: أتُنفَّذ الأسماء دفعةً واحدةً لكل الإدارات، أم إدارةً إدارةً مع إشعارٍ لكلٍّ منها؟</w:t>
      </w:r>
    </w:p>
    <w:p>
      <w:pPr>
        <w:shd w:val="clear" w:fill="FDECEC"/>
        <w:bidi/>
        <w:spacing w:before="200" w:after="60"/>
        <w:rPr>
          <w:rFonts w:ascii="Arial" w:hAnsi="Arial" w:cs="Arial"/>
          <w:b/>
          <w:bCs/>
          <w:sz w:val="22"/>
          <w:szCs w:val="22"/>
          <w:rtl/>
        </w:rPr>
      </w:pPr>
      <w:r>
        <w:rPr>
          <w:rFonts w:ascii="Arial" w:hAnsi="Arial" w:cs="Arial"/>
          <w:b/>
          <w:bCs/>
          <w:color w:val="B45309"/>
          <w:sz w:val="22"/>
          <w:szCs w:val="22"/>
          <w:rtl/>
        </w:rPr>
        <w:t xml:space="preserve">لم يُنفَّذ أي تغييرٍ حتى تاريخه — هذا التقرير مقارنةٌ ومناقشةٌ فقط.</w:t>
      </w:r>
    </w:p>
    <w:sectPr>
      <w:pgSz w:w="16838" w:h="11906" w:orient="landscape"/>
      <w:pgMar w:top="800" w:right="800" w:bottom="800" w:left="800" w:header="450" w:footer="450" w:gutter="0"/>
      <w:bidi/>
    </w:sectPr>
  </w:body>
</w:document>
</file>

<file path=word/settings.xml><?xml version="1.0" encoding="utf-8"?>
<w:settings xmlns:w="http://schemas.openxmlformats.org/wordprocessingml/2006/main">
  <w:themeFontLang w:val="en-US" w:bidi="ar-SA"/>
</w:settings>
</file>

<file path=word/styles.xml><?xml version="1.0" encoding="utf-8"?>
<w:styles xmlns:w="http://schemas.openxmlformats.org/wordprocessingml/2006/main">
  <w:docDefaults>
    <w:rPrDefault>
      <w:rPr>
        <w:rFonts w:ascii="Arial" w:hAnsi="Arial" w:cs="Arial"/>
        <w:sz w:val="22"/>
        <w:szCs w:val="22"/>
      </w:rPr>
    </w:rPrDefault>
    <w:pPrDefault>
      <w:pPr>
        <w:bidi/>
        <w:spacing w:after="60"/>
      </w:pPr>
    </w:pPrDefault>
  </w:docDefaults>
  <w:style w:type="paragraph" w:default="1" w:styleId="Normal">
    <w:name w:val="Normal"/>
  </w:style>
  <w:style w:type="table" w:styleId="TableGrid">
    <w:name w:val="Table Grid"/>
    <w:tblPr>
      <w:tblCellMar>
        <w:top w:w="60" w:type="dxa"/>
        <w:left w:w="90" w:type="dxa"/>
        <w:bottom w:w="60" w:type="dxa"/>
        <w:right w:w="9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