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1F4E79" w:color="auto" w:val="clear"/>
            <w:tcMar>
              <w:top w:type="dxa" w:w="240"/>
              <w:left w:type="dxa" w:w="160"/>
              <w:bottom w:type="dxa" w:w="240"/>
              <w:right w:type="dxa" w:w="160"/>
            </w:tcMar>
          </w:tcPr>
          <w:p>
            <w:pPr>
              <w:bidi/>
              <w:spacing w:after="40" w:line="280"/>
              <w:jc w:val="center"/>
            </w:pPr>
            <w:r>
              <w:rPr>
                <w:rFonts w:ascii="Arial" w:cs="Arial" w:eastAsia="Arial" w:hAnsi="Arial"/>
                <w:b/>
                <w:bCs/>
                <w:color w:val="CFE0F3"/>
                <w:sz w:val="17"/>
                <w:szCs w:val="17"/>
                <w:rtl/>
              </w:rPr>
              <w:t xml:space="preserve">مجموعة إكيوبيشن · قطاع تشغيل المعدات</w:t>
            </w:r>
          </w:p>
          <w:p>
            <w:pPr>
              <w:bidi/>
              <w:spacing w:after="70" w:line="32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  <w:rtl/>
              </w:rPr>
              <w:t xml:space="preserve">الورديات والحضور وسياسات الخصم</w:t>
            </w:r>
          </w:p>
          <w:p>
            <w:pPr>
              <w:bidi w:val="false"/>
              <w:spacing w:after="60" w:line="260"/>
              <w:jc w:val="center"/>
            </w:pPr>
            <w:r>
              <w:rPr>
                <w:rFonts w:ascii="Arial" w:cs="Arial" w:eastAsia="Arial" w:hAnsi="Arial"/>
                <w:color w:val="D6E4F5"/>
                <w:sz w:val="17"/>
                <w:szCs w:val="17"/>
                <w:rtl w:val="false"/>
              </w:rPr>
              <w:t xml:space="preserve">Shifts, Attendance &amp; Deduction Policies — Site vs Head Office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سياستان لا سياسةٌ واحدة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موظفو المقر ببصمةٍ ودوامٍ ثابت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وموظفو المشاريع بورديةٍ وتناوبٍ وإجازةٍ ميدانية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الوردياتُ بفتراتها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فترتان في الوردية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ومشغّلٌ لكل فترة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و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8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أو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10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ساعات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وحتى ثلاث ورديات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عشرةُ رموزِ حضورٍ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بأثرها الخماسي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الراتبُ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الحافزُ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التواجدُ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الفوترةُ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استحقاقُ المورد والمشغّل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لا خصمَ يُرحَّل مباشرةً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يُحتسب مقترحًا ← يُراجَع ← يُعتمد بمصفوفة الموافقات ← ثم يُرحَّل</w:t>
            </w:r>
          </w:p>
          <w:p>
            <w:pPr>
              <w:bidi/>
              <w:spacing w:after="20" w:line="250"/>
              <w:jc w:val="center"/>
            </w:pP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مُقيّد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للاستخدام المؤسسي —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Restricted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Internal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color w:val="EAF1FB"/>
                <w:sz w:val="17"/>
                <w:szCs w:val="17"/>
                <w:rtl w:val="false"/>
              </w:rPr>
              <w:t xml:space="preserve">Use</w:t>
            </w:r>
          </w:p>
        </w:tc>
      </w:tr>
    </w:tbl>
    <w:p>
      <w:pPr>
        <w:spacing w:after="140"/>
      </w:pP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960"/>
        <w:gridCol w:w="2400"/>
      </w:tblGrid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EQUIP-WRK-01-EMS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معرّف الوثيقة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الورديات والحضور وسياسات الخصم — المقر والمشاريع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العنوان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وثيقةٌ حاكمةٌ تملك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بنيةَ الوردية والفترة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رموزَ حالات الحضور وأثرَها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وسياساتِ الخصم — وتقرؤها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UX-03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UX-06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ENT-01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ENT-02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ENT-03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مرتبتها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تحتسب راتبًا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(ENT-01)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ولا تعتمد وحدةً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(UX-03)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ولا تعرّف مسارَ الاستثناء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(GOV-01)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تعرّف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الحالةَ وأثرَها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حدودها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1.0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الإصدار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مواصفةٌ نافذةٌ — ولا تُحتسب حالةُ حضورٍ ليست في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4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حالة الوثيقة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السياستان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الورديات والفترات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المشغّل لكل فترة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رموز الحالات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مصفوفة الأثر الخماسي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جدول الخصومات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دورة الاعتماد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الشاشات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المواصفة التنفيذية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القبول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النطاق</w:t>
            </w:r>
          </w:p>
        </w:tc>
      </w:tr>
      <w:tr>
        <w:tc>
          <w:tcPr>
            <w:tcW w:type="dxa" w:w="69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2026</w:t>
            </w:r>
          </w:p>
        </w:tc>
        <w:tc>
          <w:tcPr>
            <w:tcW w:type="dxa" w:w="2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60"/>
              <w:left w:type="dxa" w:w="110"/>
              <w:bottom w:type="dxa" w:w="60"/>
              <w:right w:type="dxa" w:w="110"/>
            </w:tcMar>
            <w:vAlign w:val="center"/>
          </w:tcPr>
          <w:p>
            <w:pPr>
              <w:bidi/>
              <w:spacing w:after="0" w:line="244"/>
              <w:jc w:val="both"/>
            </w:pPr>
            <w:r>
              <w:rPr>
                <w:rFonts w:ascii="Arial" w:cs="Arial" w:eastAsia="Arial" w:hAnsi="Arial"/>
                <w:b/>
                <w:bCs/>
                <w:color w:val="1F4E79"/>
                <w:sz w:val="17"/>
                <w:szCs w:val="17"/>
                <w:rtl/>
              </w:rPr>
              <w:t xml:space="preserve">تاريخ الإصدار</w:t>
            </w:r>
          </w:p>
        </w:tc>
      </w:tr>
    </w:tbl>
    <w:p>
      <w:pPr>
        <w:spacing w:after="140"/>
      </w:pPr>
    </w:p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1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سياستان لا سياسةٌ واحدة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الحكم الأول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تُطبَّق سياسةُ حضورٍ واحدةٌ على الجميع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سياسةُ المقر مبنيةٌ على بصمةٍ ودوامٍ ثابت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(8:00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–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4:00)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وفترةِ سماحٍ وتأخّرٍ يُحتسب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وموظفو المشاريع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بصمةَ لهم أصلًا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، ودوامُهم ورديةٌ وتناوبٌ وإجازةٌ ميدانيةٌ ووصولٌ ومغادرة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وفرضُ سياسةٍ على الأخرى يخلق خصومًا باطلةً أو يفقد ضبطًا حقيقيًّا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3400"/>
        <w:gridCol w:w="2560"/>
      </w:tblGrid>
      <w:tr>
        <w:trPr>
          <w:tblHeader/>
        </w:trPr>
        <w:tc>
          <w:tcPr>
            <w:tcW w:type="dxa" w:w="3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سياسةُ المشاريع والمواقع</w:t>
            </w:r>
          </w:p>
        </w:tc>
        <w:tc>
          <w:tcPr>
            <w:tcW w:type="dxa" w:w="3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سياسةُ المقر</w:t>
            </w:r>
          </w:p>
        </w:tc>
        <w:tc>
          <w:tcPr>
            <w:tcW w:type="dxa" w:w="25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المحور</w:t>
            </w:r>
          </w:p>
        </w:tc>
      </w:tr>
      <w:tr>
        <w:tc>
          <w:tcPr>
            <w:tcW w:type="dxa" w:w="3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ورديةٌ بفتراتها — ولا بصمةَ غالبًا; الإثباتُ بكشف الموقع وسجل التوزيع</w:t>
            </w:r>
          </w:p>
        </w:tc>
        <w:tc>
          <w:tcPr>
            <w:tcW w:type="dxa" w:w="3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بصمةُ دخولٍ وخروجٍ إلزامية</w:t>
            </w:r>
          </w:p>
        </w:tc>
        <w:tc>
          <w:tcPr>
            <w:tcW w:type="dxa" w:w="25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الإثبات</w:t>
            </w:r>
          </w:p>
        </w:tc>
      </w:tr>
      <w:tr>
        <w:tc>
          <w:tcPr>
            <w:tcW w:type="dxa" w:w="3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بدايةُ الوردية ونهايتُها بحسب نمطها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2)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وقد تعبر منتصفَ الليل</w:t>
            </w:r>
          </w:p>
        </w:tc>
        <w:tc>
          <w:tcPr>
            <w:tcW w:type="dxa" w:w="3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8:00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صباحًا إلى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4:00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مساءً</w:t>
            </w:r>
          </w:p>
        </w:tc>
        <w:tc>
          <w:tcPr>
            <w:tcW w:type="dxa" w:w="25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الدوام</w:t>
            </w:r>
          </w:p>
        </w:tc>
      </w:tr>
      <w:tr>
        <w:tc>
          <w:tcPr>
            <w:tcW w:type="dxa" w:w="3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تأخّرَ بالمعنى المكتبي — الغيابُ عن الوردية حالةٌ لا دقائق</w:t>
            </w:r>
          </w:p>
        </w:tc>
        <w:tc>
          <w:tcPr>
            <w:tcW w:type="dxa" w:w="3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سماحٌ حتى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8:15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ثم يُحتسب التأخر</w:t>
            </w:r>
          </w:p>
        </w:tc>
        <w:tc>
          <w:tcPr>
            <w:tcW w:type="dxa" w:w="25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التأخر</w:t>
            </w:r>
          </w:p>
        </w:tc>
      </w:tr>
      <w:tr>
        <w:tc>
          <w:tcPr>
            <w:tcW w:type="dxa" w:w="3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دورةُ تناوبٍ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شهرٌ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شهر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شهران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شهر…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وإجازةٌ ميدانيةٌ خارج الموقع</w:t>
            </w:r>
          </w:p>
        </w:tc>
        <w:tc>
          <w:tcPr>
            <w:tcW w:type="dxa" w:w="3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رصيدٌ سنويٌّ يُطلب ويُعتمد</w:t>
            </w:r>
          </w:p>
        </w:tc>
        <w:tc>
          <w:tcPr>
            <w:tcW w:type="dxa" w:w="25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الإجازة</w:t>
            </w:r>
          </w:p>
        </w:tc>
      </w:tr>
      <w:tr>
        <w:tc>
          <w:tcPr>
            <w:tcW w:type="dxa" w:w="3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يومُ وصولٍ ويومُ مغادرة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حالتان مستقلتان لهما أثرُهما</w:t>
            </w:r>
          </w:p>
        </w:tc>
        <w:tc>
          <w:tcPr>
            <w:tcW w:type="dxa" w:w="3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تنطبق</w:t>
            </w:r>
          </w:p>
        </w:tc>
        <w:tc>
          <w:tcPr>
            <w:tcW w:type="dxa" w:w="25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الحركة</w:t>
            </w:r>
          </w:p>
        </w:tc>
      </w:tr>
      <w:tr>
        <w:tc>
          <w:tcPr>
            <w:tcW w:type="dxa" w:w="3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انتظارٌ تشغيليٌّ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حاضرٌ ولا عملَ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حالةٌ مستقلةٌ لها أثرٌ مختلف</w:t>
            </w:r>
          </w:p>
        </w:tc>
        <w:tc>
          <w:tcPr>
            <w:tcW w:type="dxa" w:w="3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تنطبق</w:t>
            </w:r>
          </w:p>
        </w:tc>
        <w:tc>
          <w:tcPr>
            <w:tcW w:type="dxa" w:w="25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الانتظار</w:t>
            </w:r>
          </w:p>
        </w:tc>
      </w:tr>
      <w:tr>
        <w:tc>
          <w:tcPr>
            <w:tcW w:type="dxa" w:w="3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يظهر وحداتٍ أو استعدادًا بحسب الإسناد لا إضافيًّا غالبًا</w:t>
            </w:r>
          </w:p>
        </w:tc>
        <w:tc>
          <w:tcPr>
            <w:tcW w:type="dxa" w:w="3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إضافيٌّ باعتمادٍ مسبق</w:t>
            </w:r>
          </w:p>
        </w:tc>
        <w:tc>
          <w:tcPr>
            <w:tcW w:type="dxa" w:w="25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الإضافي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قاعدةُ الاختيار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السياسةُ تُختار بمحدداتٍ لا بالفئة وحدها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نوعُ الموظف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المقرُّ أو المشروع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العقدُ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نظامُ الوردية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نظامُ التناوب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طبيعةُ الوظيفة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الموقع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والنظامُ يدعم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سياساتِ حضورٍ متعددةً متزامنة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، ولكل عقدٍ سياستُه المرتبطة —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ولا سياسةَ افتراضيةٌ صامتة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2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الورديات والفترات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الحكم</w:t>
      </w:r>
      <w:r>
        <w:rPr>
          <w:rFonts w:ascii="Arial" w:cs="Arial" w:eastAsia="Arial" w:hAnsi="Arial"/>
          <w:sz w:val="19"/>
          <w:szCs w:val="19"/>
          <w:rtl/>
        </w:rPr>
        <w:t xml:space="preserve">:**</w:t>
      </w:r>
      <w:r>
        <w:rPr>
          <w:rFonts w:ascii="Arial" w:cs="Arial" w:eastAsia="Arial" w:hAnsi="Arial"/>
          <w:sz w:val="19"/>
          <w:szCs w:val="19"/>
          <w:rtl/>
        </w:rPr>
        <w:t xml:space="preserve"> الورديةُ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وعاءٌ زمنيٌّ يُقسَّم فتراتٍ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، ولكل فترةٍ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مشغّلُها المستقل</w:t>
      </w:r>
      <w:r>
        <w:rPr>
          <w:rFonts w:ascii="Arial" w:cs="Arial" w:eastAsia="Arial" w:hAnsi="Arial"/>
          <w:sz w:val="19"/>
          <w:szCs w:val="19"/>
          <w:rtl/>
        </w:rPr>
        <w:t xml:space="preserve">**.</w:t>
      </w:r>
      <w:r>
        <w:rPr>
          <w:rFonts w:ascii="Arial" w:cs="Arial" w:eastAsia="Arial" w:hAnsi="Arial"/>
          <w:sz w:val="19"/>
          <w:szCs w:val="19"/>
          <w:rtl/>
        </w:rPr>
        <w:t xml:space="preserve"> فقد تعمل الوردةُ بمشغّلٍ واحدٍ في فترتيها، وقد يعمل في كل فترةٍ مشغّلٌ مختلف —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والنظامُ يستوعب الحالتين بالبنية نفسها</w:t>
      </w:r>
      <w:r>
        <w:rPr>
          <w:rFonts w:ascii="Arial" w:cs="Arial" w:eastAsia="Arial" w:hAnsi="Arial"/>
          <w:sz w:val="19"/>
          <w:szCs w:val="19"/>
          <w:rtl/>
        </w:rPr>
        <w:t xml:space="preserve">**.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بنيتُها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النمط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فترتان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الأولى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06:00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–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12:00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راحةُ الغداء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الثانية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14:00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–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18:00.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الإجمالي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8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ساعاتٍ أساسية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والمواعيدُ معرَّفةٌ في نمط الوردية لا مثبَّتةٌ في الكود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ورديةٌ واحدة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(8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ساعات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)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فترتان بامتدادٍ في إحداهما أو كلتيهما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**8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ساعاتٍ أساسيةٍ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ساعتان إضافيتان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والإضافيُّ يُميَّز بندًا مستقلًّا لا يُدمج بالأساسي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ورديةٌ واحدة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(10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ساعات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)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كلٌّ منهما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بفترتين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ومشغّلٍ لكل فترة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وردةُ صباحٍ ووردةُ ليل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وقد تعبر الليليةُ منتصفَ الليل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فتُنسب إلى يوم بدئها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ورديتان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(8+8)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**8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أساسيةٍ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إضافيةٍ لكلٍّ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والإضافيُّ في كل وردةٍ بندٌ مستقل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ورديتان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(10+10)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ثلاثُ ورديات،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كلٌّ بفترتيها ومشغّليها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والتغطيةُ متصلةٌ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24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ساعة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ثلاث ورديات 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(8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×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3)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نمطٌ مخصَّصٌ بمواعيده وفتراته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يُعرَّف بقرارٍ ولا يُجتهد فيه ميدانيًّا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نمطٌ آخر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2.1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الفترة — الوحدة الأدق للتسجيل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الحكم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العنصر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لكل فترة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رقمُها في الوردية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بدايتُها ونهايتُها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ساعاتُها الأساسية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ساعاتُها الإضافية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الزمن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مشغّلٌ واحدٌ لكل فترةٍ إلزامًا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فإن عمل مشغّلٌ واحدٌ الفترتين سُجّل في كلٍّ منهما؛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فترةَ بلا مشغّل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المشغّل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المعدةُ ثابتةٌ للوردية والمشغّلُ يتغير بالفترة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فالإنتاجُ يُنسب للمعدة، والأجرُ والحافزُ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يُنسبان لمشغّل الفترة التي أنتجت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النسبة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كميةُ الإنتاج وزمنُ الحالات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تشغيلٌ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استعدادٌ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توقفٌ بمسؤوله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تُسجَّل على مستوى الفترة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ثم تُجمع للوردية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القياس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ساعاتُ الفترة الإضافيةُ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بندٌ مستقلٌّ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يُحتسب بمعدّله — ولا يُدمج في الأساسي فيضيع تمييزُه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الإضافي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مثالٌ — يومُ معدةٍ بورديتين (10+10) ومشغّلين مختلفين في فترات الصباح: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الوردية 1 (06:00–18:00) — 8 أساسية + 2 إضافية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الفترة 1: 06:00–12:00 · المشغّل: أحمد   · إنتاج 62 طن · توقف 0.5س (وقود العميل)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الفترة 2: 14:00–18:00 · المشغّل: بشير   · إنتاج 41 طن · توقف 0.0س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الوردية 2 (18:00–06:00) — 8 أساسية + 2 إضافية   ← تُنسب ليومِ بدئها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الفترة 1: 18:00–23:00 · المشغّل: خالد   · إنتاج 48 طن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الفترة 2: 01:00–06:00 · المشغّل: خالد   · إنتاج 39 طن · توقف 1.0س (عطل)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─────────────────────────────────────────────────────────────────────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إنتاجُ المعدة اليومي 190 طنًا · وأربعةُ استحقاقات مشغّلين بفتراتها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والتوقفُ 0.5س مسنَدٌ للعميل (مفوتر) · و1.0س عطلٌ مسنَدٌ للمورد (غير مفوتر)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3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رموز حالات الحضور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عشرةُ رموزٍ لا تُختصر ولا يُجمع منها اثنان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 — لأن أثرَها المالي والتشغيلي مختلف</w:t>
      </w:r>
      <w:r>
        <w:rPr>
          <w:rFonts w:ascii="Arial" w:cs="Arial" w:eastAsia="Arial" w:hAnsi="Arial"/>
          <w:sz w:val="19"/>
          <w:szCs w:val="19"/>
          <w:rtl/>
        </w:rPr>
        <w:t xml:space="preserve">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60"/>
        <w:gridCol w:w="2600"/>
        <w:gridCol w:w="2500"/>
      </w:tblGrid>
      <w:tr>
        <w:trPr>
          <w:tblHeader/>
        </w:trPr>
        <w:tc>
          <w:tcPr>
            <w:tcW w:type="dxa" w:w="42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معناه</w:t>
            </w:r>
          </w:p>
        </w:tc>
        <w:tc>
          <w:tcPr>
            <w:tcW w:type="dxa" w:w="26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بالإنجليزية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الرمز</w:t>
            </w:r>
          </w:p>
        </w:tc>
      </w:tr>
      <w:tr>
        <w:tc>
          <w:tcPr>
            <w:tcW w:type="dxa" w:w="42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حاضرٌ ويعمل في الموقع — والإنتاجُ يُسجَّل بفتراته</w:t>
            </w:r>
          </w:p>
        </w:tc>
        <w:tc>
          <w:tcPr>
            <w:tcW w:type="dxa" w:w="26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Working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Day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1</w:t>
            </w:r>
          </w:p>
        </w:tc>
      </w:tr>
      <w:tr>
        <w:tc>
          <w:tcPr>
            <w:tcW w:type="dxa" w:w="42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إجازةٌ ميدانيةٌ أو راحةٌ دوريةٌ خارج الموقع بدورة التناوب</w:t>
            </w:r>
          </w:p>
        </w:tc>
        <w:tc>
          <w:tcPr>
            <w:tcW w:type="dxa" w:w="26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Field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Leave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0</w:t>
            </w:r>
          </w:p>
        </w:tc>
      </w:tr>
      <w:tr>
        <w:tc>
          <w:tcPr>
            <w:tcW w:type="dxa" w:w="42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يومُ الوصول أو العودة إلى موقع العمل</w:t>
            </w:r>
          </w:p>
        </w:tc>
        <w:tc>
          <w:tcPr>
            <w:tcW w:type="dxa" w:w="26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Arriving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Day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10</w:t>
            </w:r>
          </w:p>
        </w:tc>
      </w:tr>
      <w:tr>
        <w:tc>
          <w:tcPr>
            <w:tcW w:type="dxa" w:w="42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يومُ مغادرة الموقع والتوجه إلى الإجازة</w:t>
            </w:r>
          </w:p>
        </w:tc>
        <w:tc>
          <w:tcPr>
            <w:tcW w:type="dxa" w:w="26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Leaving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Date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11</w:t>
            </w:r>
          </w:p>
        </w:tc>
      </w:tr>
      <w:tr>
        <w:tc>
          <w:tcPr>
            <w:tcW w:type="dxa" w:w="42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حاضرٌ في الموقع أو المعسكر بانتظار أمر عملٍ أو معدةٍ أو مادةِ تشغيل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لا غائبٌ ولا في إجازة</w:t>
            </w:r>
          </w:p>
        </w:tc>
        <w:tc>
          <w:tcPr>
            <w:tcW w:type="dxa" w:w="26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Standby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Waiting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**ST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— جديد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**</w:t>
            </w:r>
          </w:p>
        </w:tc>
      </w:tr>
      <w:tr>
        <w:tc>
          <w:tcPr>
            <w:tcW w:type="dxa" w:w="42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إجازةٌ مرضيةٌ بتقريرٍ طبيٍّ معتمد</w:t>
            </w:r>
          </w:p>
        </w:tc>
        <w:tc>
          <w:tcPr>
            <w:tcW w:type="dxa" w:w="26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Sick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Leave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S</w:t>
            </w:r>
          </w:p>
        </w:tc>
      </w:tr>
      <w:tr>
        <w:tc>
          <w:tcPr>
            <w:tcW w:type="dxa" w:w="42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مأموريةُ عملٍ خارج الموقع</w:t>
            </w:r>
          </w:p>
        </w:tc>
        <w:tc>
          <w:tcPr>
            <w:tcW w:type="dxa" w:w="26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Mission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M</w:t>
            </w:r>
          </w:p>
        </w:tc>
      </w:tr>
      <w:tr>
        <w:tc>
          <w:tcPr>
            <w:tcW w:type="dxa" w:w="42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غيابٌ مبرَّرٌ بعذرٍ موثَّقٍ مقبول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6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Excused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Absence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**A1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— مفصول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**</w:t>
            </w:r>
          </w:p>
        </w:tc>
      </w:tr>
      <w:tr>
        <w:tc>
          <w:tcPr>
            <w:tcW w:type="dxa" w:w="42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غيابٌ غيرُ مبرَّر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يُخصم ويُسجَّل مخالفةً سلوكية</w:t>
            </w:r>
          </w:p>
        </w:tc>
        <w:tc>
          <w:tcPr>
            <w:tcW w:type="dxa" w:w="26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Unexcused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Absence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**A2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— مفصول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**</w:t>
            </w:r>
          </w:p>
        </w:tc>
      </w:tr>
      <w:tr>
        <w:tc>
          <w:tcPr>
            <w:tcW w:type="dxa" w:w="42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حالةٌ أو إجازةٌ طارئةٌ تُقدَّر بالموارد البشرية والإدارة العليا</w:t>
            </w:r>
          </w:p>
        </w:tc>
        <w:tc>
          <w:tcPr>
            <w:tcW w:type="dxa" w:w="26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Emergency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EM</w:t>
            </w:r>
          </w:p>
        </w:tc>
      </w:tr>
      <w:tr>
        <w:tc>
          <w:tcPr>
            <w:tcW w:type="dxa" w:w="42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إجازةٌ بلا أجرٍ توقف الاستحقاقَ الزمنيَّ بمدتها</w:t>
            </w:r>
          </w:p>
        </w:tc>
        <w:tc>
          <w:tcPr>
            <w:tcW w:type="dxa" w:w="26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Unpaid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Leave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UP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9C5700" w:sz="12"/>
            </w:tcBorders>
            <w:shd w:fill="FDF3E2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لماذا فُصل الغياب ولماذا أُضيف الانتظار 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9C5700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فصلُ `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A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 إلى مبرَّرٍ وغيرِ مبرَّر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لأن الأولَ لا يُخصم والثانيَ يُخصم ويُسجَّل مخالفةً — ودمجُهما يُنتج خصمًا ظالمًا أو تهاونًا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وإضافةُ `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ST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لأن الموظفَ الحاضرَ المنتظِرَ ليس عاملًا ولا غائبًا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أثرُه مختلفٌ في الاستحقاق والإنتاجية ومسؤوليةِ التوقف والفوترة واستحقاقِ المورد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ودمجُه في «يوم عمل»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يخفي توقفًا مسؤولٌ عنه طرفٌ ما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، وهو تحديدًا ما نبنيه في أسباب التعطل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(PLAN-04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2.2).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4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مصفوفة الأثر الخماسي</w:t>
      </w:r>
    </w:p>
    <w:p>
      <w:pPr>
        <w:bidi/>
        <w:spacing w:after="110" w:line="276"/>
        <w:jc w:val="both"/>
      </w:pPr>
      <w:r>
        <w:rPr>
          <w:rFonts w:ascii="Arial" w:cs="Arial" w:eastAsia="Arial" w:hAnsi="Arial"/>
          <w:sz w:val="19"/>
          <w:szCs w:val="19"/>
          <w:rtl/>
        </w:rPr>
        <w:t xml:space="preserve">لكل حالةٍ </w:t>
      </w:r>
      <w:r>
        <w:rPr>
          <w:rFonts w:ascii="Arial" w:cs="Arial" w:eastAsia="Arial" w:hAnsi="Arial"/>
          <w:sz w:val="19"/>
          <w:szCs w:val="19"/>
          <w:rtl/>
        </w:rPr>
        <w:t xml:space="preserve">**</w:t>
      </w:r>
      <w:r>
        <w:rPr>
          <w:rFonts w:ascii="Arial" w:cs="Arial" w:eastAsia="Arial" w:hAnsi="Arial"/>
          <w:sz w:val="19"/>
          <w:szCs w:val="19"/>
          <w:rtl/>
        </w:rPr>
        <w:t xml:space="preserve">خمسةُ آثارٍ مستقلةٍ لا تُشتق من بعضها</w:t>
      </w:r>
      <w:r>
        <w:rPr>
          <w:rFonts w:ascii="Arial" w:cs="Arial" w:eastAsia="Arial" w:hAnsi="Arial"/>
          <w:sz w:val="19"/>
          <w:szCs w:val="19"/>
          <w:rtl/>
        </w:rPr>
        <w:t xml:space="preserve">**: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500"/>
        <w:gridCol w:w="1400"/>
        <w:gridCol w:w="1500"/>
        <w:gridCol w:w="1660"/>
        <w:gridCol w:w="1500"/>
      </w:tblGrid>
      <w:tr>
        <w:trPr>
          <w:tblHeader/>
        </w:trPr>
        <w:tc>
          <w:tcPr>
            <w:tcW w:type="dxa" w:w="18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استحقاقُ المورد</w:t>
            </w:r>
          </w:p>
        </w:tc>
        <w:tc>
          <w:tcPr>
            <w:tcW w:type="dxa" w:w="1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الفوترة</w:t>
            </w:r>
          </w:p>
        </w:tc>
        <w:tc>
          <w:tcPr>
            <w:tcW w:type="dxa" w:w="1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التواجد</w:t>
            </w:r>
          </w:p>
        </w:tc>
        <w:tc>
          <w:tcPr>
            <w:tcW w:type="dxa" w:w="1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الحافز</w:t>
            </w:r>
          </w:p>
        </w:tc>
        <w:tc>
          <w:tcPr>
            <w:tcW w:type="dxa" w:w="16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الراتب</w:t>
            </w:r>
          </w:p>
        </w:tc>
        <w:tc>
          <w:tcPr>
            <w:tcW w:type="dxa" w:w="1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الحالة</w:t>
            </w:r>
          </w:p>
        </w:tc>
      </w:tr>
      <w:tr>
        <w:tc>
          <w:tcPr>
            <w:tcW w:type="dxa" w:w="18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يستحق</w:t>
            </w:r>
          </w:p>
        </w:tc>
        <w:tc>
          <w:tcPr>
            <w:tcW w:type="dxa" w:w="1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تُفوتر</w:t>
            </w:r>
          </w:p>
        </w:tc>
        <w:tc>
          <w:tcPr>
            <w:tcW w:type="dxa" w:w="1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بالموقع</w:t>
            </w:r>
          </w:p>
        </w:tc>
        <w:tc>
          <w:tcPr>
            <w:tcW w:type="dxa" w:w="1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بأساسه</w:t>
            </w:r>
          </w:p>
        </w:tc>
        <w:tc>
          <w:tcPr>
            <w:tcW w:type="dxa" w:w="16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كامل</w:t>
            </w:r>
          </w:p>
        </w:tc>
        <w:tc>
          <w:tcPr>
            <w:tcW w:type="dxa" w:w="1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عمل</w:t>
            </w:r>
          </w:p>
        </w:tc>
      </w:tr>
      <w:tr>
        <w:tc>
          <w:tcPr>
            <w:tcW w:type="dxa" w:w="18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</w:t>
            </w:r>
          </w:p>
        </w:tc>
        <w:tc>
          <w:tcPr>
            <w:tcW w:type="dxa" w:w="1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</w:t>
            </w:r>
          </w:p>
        </w:tc>
        <w:tc>
          <w:tcPr>
            <w:tcW w:type="dxa" w:w="1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خارج</w:t>
            </w:r>
          </w:p>
        </w:tc>
        <w:tc>
          <w:tcPr>
            <w:tcW w:type="dxa" w:w="1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</w:t>
            </w:r>
          </w:p>
        </w:tc>
        <w:tc>
          <w:tcPr>
            <w:tcW w:type="dxa" w:w="16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بعقده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غالبًا لا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</w:p>
        </w:tc>
        <w:tc>
          <w:tcPr>
            <w:tcW w:type="dxa" w:w="1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0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إجازة ميدانية</w:t>
            </w:r>
          </w:p>
        </w:tc>
      </w:tr>
      <w:tr>
        <w:tc>
          <w:tcPr>
            <w:tcW w:type="dxa" w:w="18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بعقده</w:t>
            </w:r>
          </w:p>
        </w:tc>
        <w:tc>
          <w:tcPr>
            <w:tcW w:type="dxa" w:w="1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</w:t>
            </w:r>
          </w:p>
        </w:tc>
        <w:tc>
          <w:tcPr>
            <w:tcW w:type="dxa" w:w="1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انتقال</w:t>
            </w:r>
          </w:p>
        </w:tc>
        <w:tc>
          <w:tcPr>
            <w:tcW w:type="dxa" w:w="1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</w:t>
            </w:r>
          </w:p>
        </w:tc>
        <w:tc>
          <w:tcPr>
            <w:tcW w:type="dxa" w:w="16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بعقده</w:t>
            </w:r>
          </w:p>
        </w:tc>
        <w:tc>
          <w:tcPr>
            <w:tcW w:type="dxa" w:w="1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10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وصول</w:t>
            </w:r>
          </w:p>
        </w:tc>
      </w:tr>
      <w:tr>
        <w:tc>
          <w:tcPr>
            <w:tcW w:type="dxa" w:w="18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بعقده</w:t>
            </w:r>
          </w:p>
        </w:tc>
        <w:tc>
          <w:tcPr>
            <w:tcW w:type="dxa" w:w="1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</w:t>
            </w:r>
          </w:p>
        </w:tc>
        <w:tc>
          <w:tcPr>
            <w:tcW w:type="dxa" w:w="1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انتقال</w:t>
            </w:r>
          </w:p>
        </w:tc>
        <w:tc>
          <w:tcPr>
            <w:tcW w:type="dxa" w:w="1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</w:t>
            </w:r>
          </w:p>
        </w:tc>
        <w:tc>
          <w:tcPr>
            <w:tcW w:type="dxa" w:w="16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بعقده</w:t>
            </w:r>
          </w:p>
        </w:tc>
        <w:tc>
          <w:tcPr>
            <w:tcW w:type="dxa" w:w="1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11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مغادرة</w:t>
            </w:r>
          </w:p>
        </w:tc>
      </w:tr>
      <w:tr>
        <w:tc>
          <w:tcPr>
            <w:tcW w:type="dxa" w:w="18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بحسب الإسناد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1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بحسب الإسناد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1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بالموقع</w:t>
            </w:r>
          </w:p>
        </w:tc>
        <w:tc>
          <w:tcPr>
            <w:tcW w:type="dxa" w:w="1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— إلا بنصٍّ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16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نعم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حضور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)**</w:t>
            </w:r>
          </w:p>
        </w:tc>
        <w:tc>
          <w:tcPr>
            <w:tcW w:type="dxa" w:w="1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**ST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انتظار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**</w:t>
            </w:r>
          </w:p>
        </w:tc>
      </w:tr>
      <w:tr>
        <w:tc>
          <w:tcPr>
            <w:tcW w:type="dxa" w:w="18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</w:t>
            </w:r>
          </w:p>
        </w:tc>
        <w:tc>
          <w:tcPr>
            <w:tcW w:type="dxa" w:w="1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</w:t>
            </w:r>
          </w:p>
        </w:tc>
        <w:tc>
          <w:tcPr>
            <w:tcW w:type="dxa" w:w="1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خارج</w:t>
            </w:r>
          </w:p>
        </w:tc>
        <w:tc>
          <w:tcPr>
            <w:tcW w:type="dxa" w:w="1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</w:t>
            </w:r>
          </w:p>
        </w:tc>
        <w:tc>
          <w:tcPr>
            <w:tcW w:type="dxa" w:w="16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بالسياسة والتقرير</w:t>
            </w:r>
          </w:p>
        </w:tc>
        <w:tc>
          <w:tcPr>
            <w:tcW w:type="dxa" w:w="1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S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مرضية</w:t>
            </w:r>
          </w:p>
        </w:tc>
      </w:tr>
      <w:tr>
        <w:tc>
          <w:tcPr>
            <w:tcW w:type="dxa" w:w="18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بعقده</w:t>
            </w:r>
          </w:p>
        </w:tc>
        <w:tc>
          <w:tcPr>
            <w:tcW w:type="dxa" w:w="1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</w:t>
            </w:r>
          </w:p>
        </w:tc>
        <w:tc>
          <w:tcPr>
            <w:tcW w:type="dxa" w:w="1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مأمورية</w:t>
            </w:r>
          </w:p>
        </w:tc>
        <w:tc>
          <w:tcPr>
            <w:tcW w:type="dxa" w:w="1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</w:t>
            </w:r>
          </w:p>
        </w:tc>
        <w:tc>
          <w:tcPr>
            <w:tcW w:type="dxa" w:w="16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كامل</w:t>
            </w:r>
          </w:p>
        </w:tc>
        <w:tc>
          <w:tcPr>
            <w:tcW w:type="dxa" w:w="1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M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مأمورية</w:t>
            </w:r>
          </w:p>
        </w:tc>
      </w:tr>
      <w:tr>
        <w:tc>
          <w:tcPr>
            <w:tcW w:type="dxa" w:w="18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</w:t>
            </w:r>
          </w:p>
        </w:tc>
        <w:tc>
          <w:tcPr>
            <w:tcW w:type="dxa" w:w="1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</w:t>
            </w:r>
          </w:p>
        </w:tc>
        <w:tc>
          <w:tcPr>
            <w:tcW w:type="dxa" w:w="1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خارج</w:t>
            </w:r>
          </w:p>
        </w:tc>
        <w:tc>
          <w:tcPr>
            <w:tcW w:type="dxa" w:w="1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</w:t>
            </w:r>
          </w:p>
        </w:tc>
        <w:tc>
          <w:tcPr>
            <w:tcW w:type="dxa" w:w="16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يُخصم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1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A1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غيابٌ مبرَّر</w:t>
            </w:r>
          </w:p>
        </w:tc>
      </w:tr>
      <w:tr>
        <w:tc>
          <w:tcPr>
            <w:tcW w:type="dxa" w:w="18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ويُجزى مورده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1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</w:t>
            </w:r>
          </w:p>
        </w:tc>
        <w:tc>
          <w:tcPr>
            <w:tcW w:type="dxa" w:w="1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خارج</w:t>
            </w:r>
          </w:p>
        </w:tc>
        <w:tc>
          <w:tcPr>
            <w:tcW w:type="dxa" w:w="1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</w:t>
            </w:r>
          </w:p>
        </w:tc>
        <w:tc>
          <w:tcPr>
            <w:tcW w:type="dxa" w:w="16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يُخصم يومًا بيوم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1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A2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غيابٌ غير مبرَّر</w:t>
            </w:r>
          </w:p>
        </w:tc>
      </w:tr>
      <w:tr>
        <w:tc>
          <w:tcPr>
            <w:tcW w:type="dxa" w:w="18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</w:t>
            </w:r>
          </w:p>
        </w:tc>
        <w:tc>
          <w:tcPr>
            <w:tcW w:type="dxa" w:w="1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</w:t>
            </w:r>
          </w:p>
        </w:tc>
        <w:tc>
          <w:tcPr>
            <w:tcW w:type="dxa" w:w="1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خارج</w:t>
            </w:r>
          </w:p>
        </w:tc>
        <w:tc>
          <w:tcPr>
            <w:tcW w:type="dxa" w:w="1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</w:t>
            </w:r>
          </w:p>
        </w:tc>
        <w:tc>
          <w:tcPr>
            <w:tcW w:type="dxa" w:w="16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بقرار الموارد البشرية</w:t>
            </w:r>
          </w:p>
        </w:tc>
        <w:tc>
          <w:tcPr>
            <w:tcW w:type="dxa" w:w="1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EM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طارئة</w:t>
            </w:r>
          </w:p>
        </w:tc>
      </w:tr>
      <w:tr>
        <w:tc>
          <w:tcPr>
            <w:tcW w:type="dxa" w:w="18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</w:t>
            </w:r>
          </w:p>
        </w:tc>
        <w:tc>
          <w:tcPr>
            <w:tcW w:type="dxa" w:w="1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</w:t>
            </w:r>
          </w:p>
        </w:tc>
        <w:tc>
          <w:tcPr>
            <w:tcW w:type="dxa" w:w="14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خارج</w:t>
            </w:r>
          </w:p>
        </w:tc>
        <w:tc>
          <w:tcPr>
            <w:tcW w:type="dxa" w:w="1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</w:t>
            </w:r>
          </w:p>
        </w:tc>
        <w:tc>
          <w:tcPr>
            <w:tcW w:type="dxa" w:w="16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يوقف الاستحقاق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1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UP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بلا أجر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حالةُ الانتظار — أدقُّ صفٍّ في المصفوفة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ST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 تستحق الراتبَ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الموظفُ حاضرٌ ملتزم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ولا تستحق حافزَ إنتاجٍ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إنتاج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وفوترتُها واستحقاقُ موردها يُقرآن من إسناد التوقف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(CON-02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5):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إن كان الانتظارُ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بمسؤولية العميل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لم يجهّز الموقعَ أو المادة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فهي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استعدادٌ مفوترٌ يستحقه المورد والمشغّل بعقديهما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؛ وإن كان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بمسؤولية المورد أو بمسؤوليتنا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فلا تُفوتر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فالحالةُ واحدةٌ والأثرُ يتبع الإسناد لا العكس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5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جدول الخصومات — من سياسة الحضور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القاعدة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وسياستُها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الحالة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المقر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بدايةُ الدوام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8:00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وسماحٌ حتى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8:15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؛ وما بعده تأخّرٌ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يُحتسب بإجمالي زمن التأخير في الشهر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بعدد المرات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المشاريع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تنطبق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التأخير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المقر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غيابُ بصمة الدخول أو الخروج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خصمُ نصف يوم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ما لم يوجد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تصحيحٌ أو استثناءٌ معتمد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(GOV-01).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المشاريع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تنطبق — والإثباتُ بكشف الموقع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بصمةٌ ناقصة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تُخصم أولًا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من رصيد الإجازة السنوية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؛ فإن لم يكفِ الرصيدُ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انتقل الأثرُ إلى خصمٍ من الراتب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بالسياسة المعتمدة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إجازةٌ بلا رصيد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خصمَ تلقائيَّ للحالة المرضية الصحيحة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يُعالَج بالتقرير والرصيد والسياسة؛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وبلا تقريرٍ معتمدٍ يتحول التصنيفُ إلى غيابٍ غيرِ مبرَّر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الغياب المرضي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تُعامَل تلقائيًّا غيابًا غيرَ مبرَّر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تُحال إلى الموارد البشرية والإدارة العليا للتقدير، وتبقى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معلَّقةً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حتى القرار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الطارئة والقاهرة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خصمُ يومٍ بيوم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تسجيلُ مخالفةٍ إداريةٍ في ملف السلوك الوظيفي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وهما أثران لا أثرٌ واحد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غيابٌ غير مبرَّر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مرتان شهريًّا حدًّا أقصى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بطلبٍ مسبقٍ وموافقةٍ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خصمَ مستقلٌّ له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؛ لكن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عدمَ الالتزام بالإجراء مخالفة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، وتكرارَه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مؤشرٌ سلبيٌّ في التقييم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⑦ الإذن الجزئي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تنسيقٌ مسبقٌ من المدير المباشر والموارد البشرية ثم موافقةُ الإدارة العليا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وقد يترتب عليه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حافزٌ إضافيٌّ بقرار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خصم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⑧ العمل بعد الدوام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6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دورة اعتماد الخصم — لا ترحيلَ مباشر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الحكم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لا يُرحَّل خصمٌ إلى مسيّر الرواتب مباشرةً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يُحتسب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مقترحًا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ويظهر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معلَّقًا للمراجعة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، ثم يراجعه مسؤولُ الموارد البشرية بمستنداته، ثم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يُعتمد بسلّم الموافقات 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(GOV-01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§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4):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ثلاثُ موافقاتٍ لا اثنتان — ومديرُ الحركة والتشغيل أولُها إن مسّ الخصمُ ساعاتِ عملٍ أو حالةَ وحدة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وعندها فقط يُرحَّل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وأيُّ إعفاءٍ لاحقٍ قرارٌ مستقلٌّ والأثرُ الأصليُّ لا يُحذف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.**</w:t>
            </w:r>
          </w:p>
        </w:tc>
      </w:tr>
    </w:tbl>
    <w:p>
      <w:pPr>
        <w:bidi/>
        <w:spacing w:after="70" w:line="266"/>
        <w:ind w:right="220"/>
        <w:jc w:val="both"/>
      </w:pPr>
      <w:r>
        <w:rPr>
          <w:rFonts w:ascii="Arial" w:cs="Arial" w:eastAsia="Arial" w:hAnsi="Arial"/>
          <w:b/>
          <w:bCs/>
          <w:color w:val="6B3FA0"/>
          <w:sz w:val="17"/>
          <w:szCs w:val="17"/>
          <w:rtl/>
        </w:rPr>
        <w:t xml:space="preserve">◄ </w:t>
      </w:r>
      <w:r>
        <w:rPr>
          <w:rFonts w:ascii="Arial" w:cs="Arial" w:eastAsia="Arial" w:hAnsi="Arial"/>
          <w:sz w:val="17"/>
          <w:szCs w:val="17"/>
          <w:rtl/>
        </w:rPr>
        <w:t xml:space="preserve">① النظامُ يحتسب الأثرَ المقترحَ من الحالة والسياسة ← ② يظهر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معلَّقًا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بمرجعه ومستنداته</w:t>
      </w:r>
    </w:p>
    <w:p>
      <w:pPr>
        <w:bidi/>
        <w:spacing w:after="70" w:line="266"/>
        <w:ind w:right="220"/>
        <w:jc w:val="both"/>
      </w:pPr>
      <w:r>
        <w:rPr>
          <w:rFonts w:ascii="Arial" w:cs="Arial" w:eastAsia="Arial" w:hAnsi="Arial"/>
          <w:b/>
          <w:bCs/>
          <w:color w:val="6B3FA0"/>
          <w:sz w:val="17"/>
          <w:szCs w:val="17"/>
          <w:rtl/>
        </w:rPr>
        <w:t xml:space="preserve">◄ </w:t>
      </w:r>
      <w:r>
        <w:rPr>
          <w:rFonts w:ascii="Arial" w:cs="Arial" w:eastAsia="Arial" w:hAnsi="Arial"/>
          <w:sz w:val="17"/>
          <w:szCs w:val="17"/>
          <w:rtl/>
        </w:rPr>
        <w:t xml:space="preserve">③ مراجعةُ الموارد البشرية</w:t>
      </w:r>
      <w:r>
        <w:rPr>
          <w:rFonts w:ascii="Arial" w:cs="Arial" w:eastAsia="Arial" w:hAnsi="Arial"/>
          <w:sz w:val="17"/>
          <w:szCs w:val="17"/>
          <w:rtl/>
        </w:rPr>
        <w:t xml:space="preserve">:</w:t>
      </w:r>
      <w:r>
        <w:rPr>
          <w:rFonts w:ascii="Arial" w:cs="Arial" w:eastAsia="Arial" w:hAnsi="Arial"/>
          <w:sz w:val="17"/>
          <w:szCs w:val="17"/>
          <w:rtl/>
        </w:rPr>
        <w:t xml:space="preserve"> تصنيفٌ صحيح؟ مستندٌ مقبول؟ استثناءٌ قائم؟ ← ④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ثلاثُ موافقاتٍ بالترتيب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(</w:t>
      </w:r>
      <w:r>
        <w:rPr>
          <w:rFonts w:ascii="Arial" w:cs="Arial" w:eastAsia="Arial" w:hAnsi="Arial"/>
          <w:sz w:val="17"/>
          <w:szCs w:val="17"/>
          <w:rtl/>
        </w:rPr>
        <w:t xml:space="preserve">سلّمُ </w:t>
      </w:r>
      <w:r>
        <w:rPr>
          <w:rFonts w:ascii="Arial" w:cs="Arial" w:eastAsia="Arial" w:hAnsi="Arial"/>
          <w:sz w:val="17"/>
          <w:szCs w:val="17"/>
          <w:rtl w:val="false"/>
        </w:rPr>
        <w:t xml:space="preserve">GOV-01</w:t>
      </w:r>
      <w:r>
        <w:rPr>
          <w:rFonts w:ascii="Arial" w:cs="Arial" w:eastAsia="Arial" w:hAnsi="Arial"/>
          <w:sz w:val="17"/>
          <w:szCs w:val="17"/>
          <w:rtl/>
        </w:rPr>
        <w:t xml:space="preserve"> §</w:t>
      </w:r>
      <w:r>
        <w:rPr>
          <w:rFonts w:ascii="Arial" w:cs="Arial" w:eastAsia="Arial" w:hAnsi="Arial"/>
          <w:sz w:val="17"/>
          <w:szCs w:val="17"/>
          <w:rtl w:val="false"/>
        </w:rPr>
        <w:t xml:space="preserve">4):</w:t>
      </w:r>
      <w:r>
        <w:rPr>
          <w:rFonts w:ascii="Arial" w:cs="Arial" w:eastAsia="Arial" w:hAnsi="Arial"/>
          <w:sz w:val="17"/>
          <w:szCs w:val="17"/>
          <w:rtl/>
        </w:rPr>
        <w:t xml:space="preserve"> مديرُ الحركة </w:t>
      </w:r>
      <w:r>
        <w:rPr>
          <w:rFonts w:ascii="Arial" w:cs="Arial" w:eastAsia="Arial" w:hAnsi="Arial"/>
          <w:sz w:val="17"/>
          <w:szCs w:val="17"/>
          <w:rtl/>
        </w:rPr>
        <w:t xml:space="preserve">(</w:t>
      </w:r>
      <w:r>
        <w:rPr>
          <w:rFonts w:ascii="Arial" w:cs="Arial" w:eastAsia="Arial" w:hAnsi="Arial"/>
          <w:sz w:val="17"/>
          <w:szCs w:val="17"/>
          <w:rtl/>
        </w:rPr>
        <w:t xml:space="preserve">إن مسّ ساعاتٍ</w:t>
      </w:r>
      <w:r>
        <w:rPr>
          <w:rFonts w:ascii="Arial" w:cs="Arial" w:eastAsia="Arial" w:hAnsi="Arial"/>
          <w:sz w:val="17"/>
          <w:szCs w:val="17"/>
          <w:rtl/>
        </w:rPr>
        <w:t xml:space="preserve">)</w:t>
      </w:r>
      <w:r>
        <w:rPr>
          <w:rFonts w:ascii="Arial" w:cs="Arial" w:eastAsia="Arial" w:hAnsi="Arial"/>
          <w:sz w:val="17"/>
          <w:szCs w:val="17"/>
          <w:rtl/>
        </w:rPr>
        <w:t xml:space="preserve"> ← الإدارةُ المعنية ← المالية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</w:t>
      </w:r>
      <w:r>
        <w:rPr>
          <w:rFonts w:ascii="Arial" w:cs="Arial" w:eastAsia="Arial" w:hAnsi="Arial"/>
          <w:sz w:val="17"/>
          <w:szCs w:val="17"/>
          <w:rtl/>
        </w:rPr>
        <w:t xml:space="preserve">+</w:t>
      </w:r>
      <w:r>
        <w:rPr>
          <w:rFonts w:ascii="Arial" w:cs="Arial" w:eastAsia="Arial" w:hAnsi="Arial"/>
          <w:sz w:val="17"/>
          <w:szCs w:val="17"/>
          <w:rtl/>
        </w:rPr>
        <w:t xml:space="preserve"> الإدارةُ العامة إن تجاوز الأثرُ الحد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وهي الدورةُ الموحَّدةُ لخصوم كل الإدارات </w:t>
      </w:r>
      <w:r>
        <w:rPr>
          <w:rFonts w:ascii="Arial" w:cs="Arial" w:eastAsia="Arial" w:hAnsi="Arial"/>
          <w:sz w:val="17"/>
          <w:szCs w:val="17"/>
          <w:rtl w:val="false"/>
        </w:rPr>
        <w:t xml:space="preserve">(POL-01</w:t>
      </w:r>
      <w:r>
        <w:rPr>
          <w:rFonts w:ascii="Arial" w:cs="Arial" w:eastAsia="Arial" w:hAnsi="Arial"/>
          <w:sz w:val="17"/>
          <w:szCs w:val="17"/>
          <w:rtl/>
        </w:rPr>
        <w:t xml:space="preserve"> §</w:t>
      </w:r>
      <w:r>
        <w:rPr>
          <w:rFonts w:ascii="Arial" w:cs="Arial" w:eastAsia="Arial" w:hAnsi="Arial"/>
          <w:sz w:val="17"/>
          <w:szCs w:val="17"/>
          <w:rtl w:val="false"/>
        </w:rPr>
        <w:t xml:space="preserve">9)</w:t>
      </w:r>
      <w:r>
        <w:rPr>
          <w:rFonts w:ascii="Arial" w:cs="Arial" w:eastAsia="Arial" w:hAnsi="Arial"/>
          <w:sz w:val="17"/>
          <w:szCs w:val="17"/>
          <w:rtl/>
        </w:rPr>
        <w:t xml:space="preserve"> لا للموظفين وحدهم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</w:p>
    <w:p>
      <w:pPr>
        <w:bidi/>
        <w:spacing w:after="70" w:line="266"/>
        <w:ind w:right="220"/>
        <w:jc w:val="both"/>
      </w:pPr>
      <w:r>
        <w:rPr>
          <w:rFonts w:ascii="Arial" w:cs="Arial" w:eastAsia="Arial" w:hAnsi="Arial"/>
          <w:b/>
          <w:bCs/>
          <w:color w:val="6B3FA0"/>
          <w:sz w:val="17"/>
          <w:szCs w:val="17"/>
          <w:rtl/>
        </w:rPr>
        <w:t xml:space="preserve">◄ </w:t>
      </w:r>
      <w:r>
        <w:rPr>
          <w:rFonts w:ascii="Arial" w:cs="Arial" w:eastAsia="Arial" w:hAnsi="Arial"/>
          <w:sz w:val="17"/>
          <w:szCs w:val="17"/>
          <w:rtl/>
        </w:rPr>
        <w:t xml:space="preserve">⑤ الترحيلُ إلى المسيّر ببنده ومرجعه ← ⑥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الإعفاءُ لاحقًا</w:t>
      </w:r>
      <w:r>
        <w:rPr>
          <w:rFonts w:ascii="Arial" w:cs="Arial" w:eastAsia="Arial" w:hAnsi="Arial"/>
          <w:sz w:val="17"/>
          <w:szCs w:val="17"/>
          <w:rtl/>
        </w:rPr>
        <w:t xml:space="preserve">:</w:t>
      </w:r>
      <w:r>
        <w:rPr>
          <w:rFonts w:ascii="Arial" w:cs="Arial" w:eastAsia="Arial" w:hAnsi="Arial"/>
          <w:sz w:val="17"/>
          <w:szCs w:val="17"/>
          <w:rtl/>
        </w:rPr>
        <w:t xml:space="preserve"> قرارٌ مستقلٌّ يشير للأصل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والأصلُ باقٍ معلَّمًا</w:t>
      </w:r>
    </w:p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7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الشاشات — توسعةُ القائم لا إنشاءُ جديد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5B2E91" w:sz="12"/>
            </w:tcBorders>
            <w:shd w:fill="F1EAF9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قاعدةُ الشاشات 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5B2E91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الوردياتُ والفتراتُ والمشغّلون لها شاشاتُها القائمةُ في إدارة الحركة والتشغيل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والمطلوبُ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تعميقُها بمستوى الفترة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لا استبدالُها ولا مجاورتُها بشاشةٍ ثانية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والجديدُ الحقيقيُّ شاشتا إعداداتٍ فقط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أنماطُ الورديات وسياساتُ الحضور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60"/>
        <w:gridCol w:w="2300"/>
      </w:tblGrid>
      <w:tr>
        <w:trPr>
          <w:tblHeader/>
        </w:trP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موضعُها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قائمٌ يُوسَّع أم جديد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وعقدُها السلوكي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الوظيفة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جديدةٌ حقًّا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في باب الإعدادات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الأنماطُ بفتراتها ومواعيدِها وساعاتِها الأساسية والإضافية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تحذيرُ الأثر قبل الحفظ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يُحذف نمطٌ عليه حركة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أنماط الورديات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جديدةٌ حقًّا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في باب الإعدادات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سياسةٌ لكل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نوعِ موظفٍ × مقرٍّ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مشروعٍ × عقد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قواعدُ التأخير والبصمة والإذن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سياسةَ افتراضيةٌ صامتة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سياسات الحضور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قائمٌ يُوسَّع — التايم شيت اليومي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الصفُّ الحاليُّ يصير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فترةً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ويُضاف صفُّ الفترة الثانية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والمشغّلُ إلزاميٌّ لكل فترة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الكميةُ وزمنُ الحالات ومسؤولُ التوقف كما هي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ونسخُ فترةٍ سابقةٍ للمعدة نفسها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شاشةَ تسجيلٍ ثانية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التايم شيت بالفترات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قائمٌ يُوسَّع — الحضور والغياب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قائمةُ الحالة تُستبدل بالرموز العشرة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بإضافة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وفصل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تصنيفٌ خلال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48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ساعة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وما لم يُصنَّف يُعامَل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بعد إشعارٍ لا بصمت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حالات الحضور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قائمٌ يُوسَّع — شاشةُ الخصومات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صندوقُ الاعتماد الجامع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تبويبُ «مقترحة» يعرضها بمرجعها ومستندها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والاعتمادُ في الصندوق الجامع لا في شاشةٍ خاصة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ترحيلَ قبل الاعتماد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⑤ الخصوم المقترحة</w:t>
            </w:r>
          </w:p>
        </w:tc>
      </w:tr>
      <w:tr>
        <w:tc>
          <w:tcPr>
            <w:tcW w:type="dxa" w:w="70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قائمٌ يُوسَّع — مركزُ التقارير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من عمل في أي فترةٍ على أي معدةٍ خلال مدة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بحثٌ بالمشغّل أو المعدة أو الموقع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ومنه يُشتق استحقاقُ كلِّ مشغّلٍ بفتراته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3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⑥ تقرير الفترات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8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المواصفة التنفيذية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Type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Null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Default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Index/Constraint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Column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pattern_id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name_ar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shifts_per_day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(1·2·3)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**base_hours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overtime_hours**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crosses_midnight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(TINYINT)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active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قاموسٌ يُضاف إليه بقرار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shift_patterns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def_id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pattern_id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shift_no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**period_no**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start_time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end_time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base_hours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overtime_hours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**UQ(pattern_id,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shift_no,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period_no)**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ومواعيدُ الفترات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معرَّفةٌ لا مثبَّتةٌ في الكود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shift_period_defs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log_id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work_date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equipment_id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shift_no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**period_no**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**operator_person_id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NOT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NULL)**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qty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unit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run_minutes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standby_minutes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stop_minutes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**stop_reason_code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أسبابُ التعطل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site_id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state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**UQ(work_date,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equipment_id,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shift_no,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period_no)**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يمنع تكرارَ المزامنة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فهرس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(operator_person_id,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work_date)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shift_period_logs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policy_id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name_ar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**applies_to_json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نوعُ الموظف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المقر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المشروع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العقد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نمطُ الوردية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الوظيفة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الموقع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grace_minutes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missing_punch_rule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late_rule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partial_permission_limit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valid_from/to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سياسةَ افتراضيةٌ صامتة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attendance_policies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att_id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person_id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att_date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**status_code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(1·0·10·11·ST·S·M·A1·A2·EM·UP)**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policy_id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(FK)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reference_doc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classified_by/at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**stop_reason_code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لحالة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ST)**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**UQ(person_id,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att_date)**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attendance_days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قاموسُ الحالات يُوسَّع ولا يُستبدل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:**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جدولُ أنواع الغياب القائم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payroll_absence_types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هو قاموسُ الرموز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تُضاف إليه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و`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/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بأثرها،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attendance_days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سجلُّ اليوم الذي يشير إليه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قاموسان لشيءٍ واحد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◆ القاموس والسجل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ded_id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(PK)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person_id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period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**source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(late·missing_punch·leave_no_balance·unexcused·penalty)**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source_ref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proposed_amount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**state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(Proposed·Reviewed·Approved·Posted·Waived)**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approvals_ref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posted_run_id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ولا ترحيلَ إلا من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Approved**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deduction_proposals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مواصفتها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الخدمة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**ShiftPeriodService**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Inputs: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التاريخُ والمعدةُ والوردية والفترة والمشغّل والكمية والأزمنة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Validation: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فترةٌ بلا مشغّل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422**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مجموعُ الأزمنة يتجاوز مدةَ الفترة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توقفٌ بلا سبب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تكرارُ المفتاح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409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بمرجعه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Events: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PeriodLogged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ShiftCompleted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① الفترات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**AttendancePolicyResolver**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يحدد السياسةَ النافذة من محددات 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بأولويةٍ محسومة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العقدُ يغلب المشروع، والمشروعُ يغلب النوع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وبلا سياسةٍ مطابقةٍ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افتراضٌ صامت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② السياسة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**AttendanceImpactService**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Output: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الآثارُ الخمسة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لكل يومِ حضورٍ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راتبٌ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حافزٌ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تواجدٌ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فوترةٌ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استحقاقُ مورد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وحالةُ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تقرأ الإسنادَ لتحديد الفوترة والاستحقاق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Events: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ImpactResolved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③ الأثر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**DeductionProposalService**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— يحتسب المقترحَ من السياسة والحالة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يُنشئه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Proposed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حصرًا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Posted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إلا بعد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Approved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بمصفوفة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GOV-01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Events: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DeductionProposed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DeductionApproved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DeductionWaived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(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بمرجع الأصل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)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④ الخصم</w:t>
            </w:r>
          </w:p>
        </w:tc>
      </w:tr>
    </w:tbl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5F7FA" w:color="auto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// مثال — POST /shift-periods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Request: { "work_date": "2026-08-02", "equipment_id": 214,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"shift_no": 1, "period_no": 2, "operator_person_id": 88,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"qty": 41, "unit": "ton", "run_minutes": 210,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"standby_minutes": 30, "stop_reason_code": "client_fuel"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Response 201: { "log_id": 55120, "shift_complete": false,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"periods_logged": 1, "periods_expected": 2 }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Errors: 422 فترةٌ بلا مشغّل · 422 أزمنةٌ تتجاوز مدة الفترة</w:t>
            </w:r>
          </w:p>
          <w:p>
            <w:pPr>
              <w:bidi w:val="false"/>
              <w:spacing w:after="0" w:line="230"/>
              <w:jc w:val="left"/>
            </w:pPr>
            <w:r>
              <w:rPr>
                <w:rFonts w:ascii="Consolas" w:cs="Consolas" w:eastAsia="Consolas" w:hAnsi="Consolas"/>
                <w:color w:val="1A1A1A"/>
                <w:sz w:val="15"/>
                <w:szCs w:val="15"/>
                <w:rtl w:val="false"/>
              </w:rPr>
              <w:t xml:space="preserve">        · 422 توقفٌ بلا سبب · 409 مفتاحٌ مكرر</w:t>
            </w:r>
          </w:p>
        </w:tc>
      </w:tr>
    </w:tbl>
    <w:p>
      <w:pPr>
        <w:pStyle w:val="Heading2"/>
        <w:bidi/>
        <w:spacing w:after="90" w:before="180" w:line="270"/>
        <w:jc w:val="right"/>
      </w:pP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8.1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·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حالات اختبار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(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بقالب 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FES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/>
        </w:rPr>
        <w:t xml:space="preserve"> §</w:t>
      </w:r>
      <w:r>
        <w:rPr>
          <w:rFonts w:ascii="Arial" w:cs="Arial" w:eastAsia="Arial" w:hAnsi="Arial"/>
          <w:b/>
          <w:bCs/>
          <w:color w:val="6B3FA0"/>
          <w:sz w:val="22"/>
          <w:szCs w:val="22"/>
          <w:rtl w:val="false"/>
        </w:rPr>
        <w:t xml:space="preserve">10.8)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60"/>
        <w:gridCol w:w="2500"/>
      </w:tblGrid>
      <w:tr>
        <w:trPr>
          <w:tblHeader/>
        </w:trP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Input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←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Expected: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DB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Event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Ledger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Notification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1F4E79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 w:val="false"/>
              </w:rPr>
              <w:t xml:space="preserve">Case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وردةٌ بفترتين ومشغّلين مختلفين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DB: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سطران بمشغّليهما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استحقاقان منفصلان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وإنتاجُ المعدة مجموعُهما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W1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الفترتان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فترةٌ بلا مشغّل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422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تُحفظ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W2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المشغّل إلزامي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وردةٌ ليليةٌ تعبر منتصفَ الليل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تُنسب ليومِ بدئها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تُقسَّم يومين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W3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منتصف الليل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ورديةٌ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10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ساعات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**8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أساسيةٌ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+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إضافيةٌ بندًا مستقلًّا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مدموجة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W4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الإضافي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حالةُ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بانتظار وقود العميل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راتبٌ نعم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حافزٌ لا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مفوترةٌ نعم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يستحقها المورد والمشغّل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بعقديهما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W5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الانتظار بمسؤولية العميل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حالةُ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ST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بعطل معدةِ المورد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راتبٌ نعم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حافزٌ لا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غيرُ مفوترةٍ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يستحقها المورد ويُجزى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W6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الانتظار بمسؤولية المورد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غيابٌ لم يُصنَّف خلال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48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ساعة ← `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A2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`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بعد إشعارِ المسؤول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بصمت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وخصمٌ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مقترحٌ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لا مرحَّل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W7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التصنيف الآلي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إجازةٌ بلا رصيد ← تُخصم من الرصيد أولًا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فإن نفد انتقل الأثرُ للراتب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بالسياسة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W8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الرصيد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خصمٌ مقترحٌ يُرحَّل بلا اعتماد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يُرفض بنيويًّا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يظهر في المسيّر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W9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لا ترحيلَ مباشر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إعفاءٌ بعد الترحيل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الأصلُ باقٍ معلَّمًا «مُعفًى»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وقرارٌ مستقلٌّ يشير إليه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Ledger: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عكسٌ بمرجعه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صفرُ حذف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W10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الإعفاء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موظفُ مقرٍّ بلا بصمةِ خروج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خصمُ نصف يومٍ مقترحًا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ما لم يوجد تصحيحٌ أو استثناءٌ معتمد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FFFFFF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W11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البصمة</w:t>
            </w:r>
          </w:p>
        </w:tc>
      </w:tr>
      <w:tr>
        <w:tc>
          <w:tcPr>
            <w:tcW w:type="dxa" w:w="686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تطبيقُ سياسة المقر على موظف مشروع ←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لا تُطابق أي سياسة → 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 w:val="false"/>
              </w:rPr>
              <w:t xml:space="preserve">422**</w:t>
            </w:r>
            <w:r>
              <w:rPr>
                <w:rFonts w:ascii="Arial" w:cs="Arial" w:eastAsia="Arial" w:hAnsi="Arial"/>
                <w:b w:val="false"/>
                <w:bCs w:val="false"/>
                <w:color w:val="1A1A1A"/>
                <w:sz w:val="17"/>
                <w:szCs w:val="17"/>
                <w:rtl/>
              </w:rPr>
              <w:t xml:space="preserve"> ولا يُفترض</w:t>
            </w:r>
          </w:p>
        </w:tc>
        <w:tc>
          <w:tcPr>
            <w:tcW w:type="dxa" w:w="2500"/>
            <w:tcBorders>
              <w:top w:val="single" w:color="C9D3DF" w:sz="2"/>
              <w:left w:val="single" w:color="C9D3DF" w:sz="2"/>
              <w:bottom w:val="single" w:color="C9D3DF" w:sz="2"/>
              <w:right w:val="single" w:color="C9D3DF" w:sz="2"/>
            </w:tcBorders>
            <w:shd w:fill="EAF1F8" w:color="auto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bidi/>
              <w:spacing w:after="0" w:line="250"/>
              <w:jc w:val="both"/>
            </w:pP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 w:val="false"/>
              </w:rPr>
              <w:t xml:space="preserve">W12</w:t>
            </w:r>
            <w:r>
              <w:rPr>
                <w:rFonts w:ascii="Arial" w:cs="Arial" w:eastAsia="Arial" w:hAnsi="Arial"/>
                <w:b/>
                <w:bCs/>
                <w:color w:val="1A1A1A"/>
                <w:sz w:val="17"/>
                <w:szCs w:val="17"/>
                <w:rtl/>
              </w:rPr>
              <w:t xml:space="preserve"> السياستان</w:t>
            </w:r>
          </w:p>
        </w:tc>
      </w:tr>
    </w:tbl>
    <w:p>
      <w:pPr>
        <w:pStyle w:val="Heading1"/>
        <w:bidi/>
        <w:spacing w:after="120" w:before="260" w:line="280"/>
        <w:jc w:val="right"/>
      </w:pPr>
      <w:r>
        <w:rPr>
          <w:rFonts w:ascii="Arial" w:cs="Arial" w:eastAsia="Arial" w:hAnsi="Arial"/>
          <w:b/>
          <w:bCs/>
          <w:color w:val="1F4E79"/>
          <w:sz w:val="26"/>
          <w:szCs w:val="26"/>
          <w:rtl w:val="false"/>
        </w:rPr>
        <w:t xml:space="preserve">9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·</w:t>
      </w:r>
      <w:r>
        <w:rPr>
          <w:rFonts w:ascii="Arial" w:cs="Arial" w:eastAsia="Arial" w:hAnsi="Arial"/>
          <w:b/>
          <w:bCs/>
          <w:color w:val="1F4E79"/>
          <w:sz w:val="26"/>
          <w:szCs w:val="26"/>
          <w:rtl/>
        </w:rPr>
        <w:t xml:space="preserve"> التوافق والقبول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التوافق — </w:t>
      </w:r>
      <w:r>
        <w:rPr>
          <w:rFonts w:ascii="Arial" w:cs="Arial" w:eastAsia="Arial" w:hAnsi="Arial"/>
          <w:sz w:val="17"/>
          <w:szCs w:val="17"/>
          <w:rtl/>
        </w:rPr>
        <w:t xml:space="preserve">التايم شيتُ القائم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يُوسَّع بمستوى الفترة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ولا يُستبدل</w:t>
      </w:r>
      <w:r>
        <w:rPr>
          <w:rFonts w:ascii="Arial" w:cs="Arial" w:eastAsia="Arial" w:hAnsi="Arial"/>
          <w:sz w:val="17"/>
          <w:szCs w:val="17"/>
          <w:rtl/>
        </w:rPr>
        <w:t xml:space="preserve">:</w:t>
      </w:r>
      <w:r>
        <w:rPr>
          <w:rFonts w:ascii="Arial" w:cs="Arial" w:eastAsia="Arial" w:hAnsi="Arial"/>
          <w:sz w:val="17"/>
          <w:szCs w:val="17"/>
          <w:rtl/>
        </w:rPr>
        <w:t xml:space="preserve"> الصفُّ الحاليُّ يصير فترةً واحدةً بمشغّلها،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والترحيلُ يملأ `</w:t>
      </w:r>
      <w:r>
        <w:rPr>
          <w:rFonts w:ascii="Arial" w:cs="Arial" w:eastAsia="Arial" w:hAnsi="Arial"/>
          <w:sz w:val="17"/>
          <w:szCs w:val="17"/>
          <w:rtl w:val="false"/>
        </w:rPr>
        <w:t xml:space="preserve">period_no=1</w:t>
      </w:r>
      <w:r>
        <w:rPr>
          <w:rFonts w:ascii="Arial" w:cs="Arial" w:eastAsia="Arial" w:hAnsi="Arial"/>
          <w:sz w:val="17"/>
          <w:szCs w:val="17"/>
          <w:rtl/>
        </w:rPr>
        <w:t xml:space="preserve">`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— فلا يضيع تاريخ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  <w:r>
        <w:rPr>
          <w:rFonts w:ascii="Arial" w:cs="Arial" w:eastAsia="Arial" w:hAnsi="Arial"/>
          <w:sz w:val="17"/>
          <w:szCs w:val="17"/>
          <w:rtl/>
        </w:rPr>
        <w:t xml:space="preserve"> وسجلُّ الحضور القائم يُربط برموزه العشرة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بتصنيفٍ رجعيٍّ موثَّق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لا بمسح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الترتيبُ من الحزمة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بعد `</w:t>
      </w:r>
      <w:r>
        <w:rPr>
          <w:rFonts w:ascii="Arial" w:cs="Arial" w:eastAsia="Arial" w:hAnsi="Arial"/>
          <w:sz w:val="17"/>
          <w:szCs w:val="17"/>
          <w:rtl w:val="false"/>
        </w:rPr>
        <w:t xml:space="preserve">N-12</w:t>
      </w:r>
      <w:r>
        <w:rPr>
          <w:rFonts w:ascii="Arial" w:cs="Arial" w:eastAsia="Arial" w:hAnsi="Arial"/>
          <w:sz w:val="17"/>
          <w:szCs w:val="17"/>
          <w:rtl/>
        </w:rPr>
        <w:t xml:space="preserve">`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(</w:t>
      </w:r>
      <w:r>
        <w:rPr>
          <w:rFonts w:ascii="Arial" w:cs="Arial" w:eastAsia="Arial" w:hAnsi="Arial"/>
          <w:sz w:val="17"/>
          <w:szCs w:val="17"/>
          <w:rtl/>
        </w:rPr>
        <w:t xml:space="preserve">أسبابُ التعطل</w:t>
      </w:r>
      <w:r>
        <w:rPr>
          <w:rFonts w:ascii="Arial" w:cs="Arial" w:eastAsia="Arial" w:hAnsi="Arial"/>
          <w:sz w:val="17"/>
          <w:szCs w:val="17"/>
          <w:rtl/>
        </w:rPr>
        <w:t xml:space="preserve">)</w:t>
      </w:r>
      <w:r>
        <w:rPr>
          <w:rFonts w:ascii="Arial" w:cs="Arial" w:eastAsia="Arial" w:hAnsi="Arial"/>
          <w:sz w:val="17"/>
          <w:szCs w:val="17"/>
          <w:rtl/>
        </w:rPr>
        <w:t xml:space="preserve"> لأن حالة `</w:t>
      </w:r>
      <w:r>
        <w:rPr>
          <w:rFonts w:ascii="Arial" w:cs="Arial" w:eastAsia="Arial" w:hAnsi="Arial"/>
          <w:sz w:val="17"/>
          <w:szCs w:val="17"/>
          <w:rtl w:val="false"/>
        </w:rPr>
        <w:t xml:space="preserve">ST</w:t>
      </w:r>
      <w:r>
        <w:rPr>
          <w:rFonts w:ascii="Arial" w:cs="Arial" w:eastAsia="Arial" w:hAnsi="Arial"/>
          <w:sz w:val="17"/>
          <w:szCs w:val="17"/>
          <w:rtl/>
        </w:rPr>
        <w:t xml:space="preserve">` تقرأ الإسنادَ منه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وبعد `</w:t>
      </w:r>
      <w:r>
        <w:rPr>
          <w:rFonts w:ascii="Arial" w:cs="Arial" w:eastAsia="Arial" w:hAnsi="Arial"/>
          <w:sz w:val="17"/>
          <w:szCs w:val="17"/>
          <w:rtl w:val="false"/>
        </w:rPr>
        <w:t xml:space="preserve">GOV-01</w:t>
      </w:r>
      <w:r>
        <w:rPr>
          <w:rFonts w:ascii="Arial" w:cs="Arial" w:eastAsia="Arial" w:hAnsi="Arial"/>
          <w:sz w:val="17"/>
          <w:szCs w:val="17"/>
          <w:rtl/>
        </w:rPr>
        <w:t xml:space="preserve">`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لأن دورةَ اعتماد الخصم تستعمل مصفوفةَ الموافقات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وقبل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تفعيل حدِّ حماية الصافي وقرارِ تصنيف الغياب</w:t>
      </w:r>
      <w:r>
        <w:rPr>
          <w:rFonts w:ascii="Arial" w:cs="Arial" w:eastAsia="Arial" w:hAnsi="Arial"/>
          <w:sz w:val="17"/>
          <w:szCs w:val="17"/>
          <w:rtl/>
        </w:rPr>
        <w:t xml:space="preserve">.</w:t>
      </w:r>
    </w:p>
    <w:p>
      <w:pPr>
        <w:bidi/>
        <w:spacing w:after="70" w:line="266"/>
        <w:ind w:right="200"/>
        <w:jc w:val="both"/>
      </w:pP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• </w:t>
      </w:r>
      <w:r>
        <w:rPr>
          <w:rFonts w:ascii="Arial" w:cs="Arial" w:eastAsia="Arial" w:hAnsi="Arial"/>
          <w:b/>
          <w:bCs/>
          <w:color w:val="1F4E79"/>
          <w:sz w:val="17"/>
          <w:szCs w:val="17"/>
          <w:rtl/>
        </w:rPr>
        <w:t xml:space="preserve">القبول —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فترةٍ بلا مشغّل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توقفٍ بلا سبب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خصمٍ مرحَّلٍ بلا اعتماد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صفرُ حالةِ حضورٍ خارج الرموز العشرة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 </w:t>
      </w:r>
      <w:r>
        <w:rPr>
          <w:rFonts w:ascii="Arial" w:cs="Arial" w:eastAsia="Arial" w:hAnsi="Arial"/>
          <w:sz w:val="17"/>
          <w:szCs w:val="17"/>
          <w:rtl/>
        </w:rPr>
        <w:t xml:space="preserve">·</w:t>
      </w:r>
      <w:r>
        <w:rPr>
          <w:rFonts w:ascii="Arial" w:cs="Arial" w:eastAsia="Arial" w:hAnsi="Arial"/>
          <w:sz w:val="17"/>
          <w:szCs w:val="17"/>
          <w:rtl/>
        </w:rPr>
        <w:t xml:space="preserve"> وشهرٌ كاملٌ لموقعٍ بورديتين وفترتين </w:t>
      </w:r>
      <w:r>
        <w:rPr>
          <w:rFonts w:ascii="Arial" w:cs="Arial" w:eastAsia="Arial" w:hAnsi="Arial"/>
          <w:sz w:val="17"/>
          <w:szCs w:val="17"/>
          <w:rtl/>
        </w:rPr>
        <w:t xml:space="preserve">**</w:t>
      </w:r>
      <w:r>
        <w:rPr>
          <w:rFonts w:ascii="Arial" w:cs="Arial" w:eastAsia="Arial" w:hAnsi="Arial"/>
          <w:sz w:val="17"/>
          <w:szCs w:val="17"/>
          <w:rtl/>
        </w:rPr>
        <w:t xml:space="preserve">مطابقٌ للحساب اليدوي بصفر فرقٍ في استحقاقات المشغّلين</w:t>
      </w:r>
      <w:r>
        <w:rPr>
          <w:rFonts w:ascii="Arial" w:cs="Arial" w:eastAsia="Arial" w:hAnsi="Arial"/>
          <w:sz w:val="17"/>
          <w:szCs w:val="17"/>
          <w:rtl/>
        </w:rPr>
        <w:t xml:space="preserve">**.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single" w:color="1E7B34" w:sz="12"/>
            </w:tcBorders>
            <w:shd w:fill="EAF6EC" w:color="auto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bidi/>
              <w:spacing w:after="0" w:line="266"/>
              <w:jc w:val="both"/>
            </w:pP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خلاصة الوثيقة 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·</w:t>
            </w:r>
            <w:r>
              <w:rPr>
                <w:rFonts w:ascii="Arial" w:cs="Arial" w:eastAsia="Arial" w:hAnsi="Arial"/>
                <w:b/>
                <w:bCs/>
                <w:color w:val="1E7B34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الفترةُ هي وحدةُ الحقيقة لا الوردية ولا اليوم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لأن المشغّلَ قد يتغير فيها والإنتاجَ يُنسب إليه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وحالةُ الحضور ليست رقمًا في كشفٍ بل خمسةَ آثارٍ مستقلة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، أدقُّها `</w:t>
            </w:r>
            <w:r>
              <w:rPr>
                <w:rFonts w:ascii="Arial" w:cs="Arial" w:eastAsia="Arial" w:hAnsi="Arial"/>
                <w:sz w:val="17"/>
                <w:szCs w:val="17"/>
                <w:rtl w:val="false"/>
              </w:rPr>
              <w:t xml:space="preserve">ST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` التي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تستحق الراتبَ ولا تستحق الحافز، وتُفوتر أو لا تُفوتر بحسب الإسناد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**.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ولا خصمَ يُرحَّل بلا مراجعةٍ واعتماد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**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 — فخصمٌ بلا قرارٍ أسوأُ من خصمٍ مؤجَّل</w:t>
            </w:r>
            <w:r>
              <w:rPr>
                <w:rFonts w:ascii="Arial" w:cs="Arial" w:eastAsia="Arial" w:hAnsi="Arial"/>
                <w:sz w:val="17"/>
                <w:szCs w:val="17"/>
                <w:rtl/>
              </w:rPr>
              <w:t xml:space="preserve">.</w:t>
            </w:r>
          </w:p>
        </w:tc>
      </w:tr>
    </w:tbl>
    <w:p>
      <w:pPr>
        <w:spacing w:after="160"/>
      </w:pPr>
    </w:p>
    <w:p>
      <w:pPr>
        <w:bidi/>
        <w:spacing w:after="0" w:line="276"/>
        <w:jc w:val="center"/>
      </w:pPr>
      <w:r>
        <w:rPr>
          <w:rFonts w:ascii="Arial" w:cs="Arial" w:eastAsia="Arial" w:hAnsi="Arial"/>
          <w:b/>
          <w:bCs/>
          <w:color w:val="1F4E79"/>
          <w:sz w:val="19"/>
          <w:szCs w:val="19"/>
          <w:rtl/>
        </w:rPr>
        <w:t xml:space="preserve">نهاية الوثيقة · الورديات والحضور وسياسات الخصم</w:t>
      </w:r>
    </w:p>
    <w:sectPr>
      <w:headerReference w:type="default" r:id="rId7"/>
      <w:footerReference w:type="default" r:id="rId8"/>
      <w:pgSz w:w="11906" w:h="16838" w:orient="portrait"/>
      <w:pgMar w:top="1180" w:right="1120" w:bottom="1120" w:left="1120" w:header="640" w:footer="56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D3DF" w:sz="2" w:space="2"/>
      </w:pBdr>
      <w:bidi/>
      <w:spacing w:before="0" w:line="200"/>
      <w:jc w:val="center"/>
    </w:pPr>
    <w:r>
      <w:rPr>
        <w:rFonts w:ascii="Arial" w:cs="Arial" w:eastAsia="Arial" w:hAnsi="Arial"/>
        <w:color w:val="8A94A0"/>
        <w:sz w:val="14"/>
        <w:szCs w:val="14"/>
        <w:rtl w:val="false"/>
      </w:rPr>
      <w:t xml:space="preserve">EQUIP-WRK-01-EMS · v1.0 · </w:t>
    </w:r>
    <w:r>
      <w:rPr>
        <w:rFonts w:ascii="Arial" w:cs="Arial" w:eastAsia="Arial" w:hAnsi="Arial"/>
        <w:color w:val="8A94A0"/>
        <w:sz w:val="14"/>
        <w:szCs w:val="14"/>
        <w:rtl/>
      </w:rPr>
      <w:t xml:space="preserve">صفحة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A94A0"/>
        <w:sz w:val="14"/>
        <w:szCs w:val="14"/>
        <w:rtl w:val="false"/>
      </w:rPr>
      <w:t xml:space="preserve"> / </w:t>
    </w:r>
    <w:r>
      <w:rPr>
        <w:rFonts w:ascii="Arial" w:cs="Arial" w:eastAsia="Arial" w:hAnsi="Arial"/>
        <w:color w:val="8A94A0"/>
        <w:sz w:val="14"/>
        <w:szCs w:val="14"/>
        <w:rtl w:val="false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D3DF" w:sz="2" w:space="2"/>
      </w:pBdr>
      <w:bidi/>
      <w:spacing w:after="0" w:line="200"/>
      <w:jc w:val="right"/>
    </w:pPr>
    <w:r>
      <w:rPr>
        <w:rFonts w:ascii="Arial" w:cs="Arial" w:eastAsia="Arial" w:hAnsi="Arial"/>
        <w:color w:val="8A94A0"/>
        <w:sz w:val="14"/>
        <w:szCs w:val="14"/>
        <w:rtl/>
      </w:rPr>
      <w:t xml:space="preserve">مجموعة إكيوبيشن · الورديات والحضور وسياسات الخصم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19"/>
        <w:szCs w:val="19"/>
      </w:rPr>
    </w:rPrDefault>
    <w:pPrDefault>
      <w:pPr>
        <w:spacing w:line="264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2">
    <w:name w:val="Heading 2"/>
    <w:basedOn w:val="Normal"/>
    <w:next w:val="Normal"/>
    <w:qFormat/>
    <w:rPr>
      <w:rFonts w:ascii="Arial" w:cs="Arial" w:eastAsia="Arial" w:hAnsi="Arial"/>
      <w:b/>
      <w:bCs/>
      <w:color w:val="6B3FA0"/>
      <w:sz w:val="22"/>
      <w:szCs w:val="22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WRK-01</dc:title>
  <dc:creator>EQUIPATION</dc:creator>
  <cp:lastModifiedBy>Un-named</cp:lastModifiedBy>
  <cp:revision>1</cp:revision>
  <dcterms:created xsi:type="dcterms:W3CDTF">2026-08-01T15:19:30.380Z</dcterms:created>
  <dcterms:modified xsi:type="dcterms:W3CDTF">2026-08-01T15:19:30.380Z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