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1F4E79" w:color="auto" w:val="clear"/>
            <w:tcMar>
              <w:top w:type="dxa" w:w="240"/>
              <w:left w:type="dxa" w:w="160"/>
              <w:bottom w:type="dxa" w:w="240"/>
              <w:right w:type="dxa" w:w="160"/>
            </w:tcMar>
          </w:tcPr>
          <w:p>
            <w:pPr>
              <w:bidi/>
              <w:spacing w:after="40" w:line="280"/>
              <w:jc w:val="center"/>
            </w:pPr>
            <w:r>
              <w:rPr>
                <w:rFonts w:ascii="Arial" w:cs="Arial" w:eastAsia="Arial" w:hAnsi="Arial"/>
                <w:b/>
                <w:bCs/>
                <w:color w:val="CFE0F3"/>
                <w:sz w:val="17"/>
                <w:szCs w:val="17"/>
                <w:rtl/>
              </w:rPr>
              <w:t xml:space="preserve">مجموعة إكيوبيشن · قطاع تشغيل المعدات</w:t>
            </w:r>
          </w:p>
          <w:p>
            <w:pPr>
              <w:bidi/>
              <w:spacing w:after="70" w:line="3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  <w:rtl/>
              </w:rPr>
              <w:t xml:space="preserve">الهيكل التشغيلي والتكليفات التنظيمية</w:t>
            </w:r>
          </w:p>
          <w:p>
            <w:pPr>
              <w:bidi w:val="false"/>
              <w:spacing w:after="60" w:line="260"/>
              <w:jc w:val="center"/>
            </w:pPr>
            <w:r>
              <w:rPr>
                <w:rFonts w:ascii="Arial" w:cs="Arial" w:eastAsia="Arial" w:hAnsi="Arial"/>
                <w:color w:val="D6E4F5"/>
                <w:sz w:val="17"/>
                <w:szCs w:val="17"/>
                <w:rtl w:val="false"/>
              </w:rPr>
              <w:t xml:space="preserve">Operational Hierarchy &amp; Organizational Assignments</w:t>
            </w:r>
          </w:p>
          <w:p>
            <w:pPr>
              <w:bidi/>
              <w:spacing w:after="20" w:line="250"/>
              <w:jc w:val="center"/>
            </w:pP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مديرُ التشغيل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 أعلى قرارٍ تشغيليٍّ في الشركة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 — يملك منظومةَ التنفيذ كلَّها إلا أربعَ إداراتٍ موازية</w:t>
            </w:r>
          </w:p>
          <w:p>
            <w:pPr>
              <w:bidi/>
              <w:spacing w:after="20" w:line="250"/>
              <w:jc w:val="center"/>
            </w:pP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مديرُ الحركة والتشغيل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 نائبُه في الموقع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 — أعلى قرارٍ ميدانيٍّ، وواحدٌ لكل موقع</w:t>
            </w:r>
          </w:p>
          <w:p>
            <w:pPr>
              <w:bidi/>
              <w:spacing w:after="20" w:line="250"/>
              <w:jc w:val="center"/>
            </w:pP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التكليفُ سجلٌّ تنظيميٌّ لا تعديلُ صلاحيةٍ يدوي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 بنطاقٍ ومدةٍ وسقفٍ ونائبٍ — 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ويسقط آليًّا بانتهائه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**</w:t>
            </w:r>
          </w:p>
          <w:p>
            <w:pPr>
              <w:bidi/>
              <w:spacing w:after="20" w:line="250"/>
              <w:jc w:val="center"/>
            </w:pP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والقرارُ الفنيُّ يبقى لأهله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 الإشرافُ إداريٌّ وتشغيليٌّ، لا يصادر اختصاصًا</w:t>
            </w:r>
          </w:p>
          <w:p>
            <w:pPr>
              <w:bidi/>
              <w:spacing w:after="20" w:line="250"/>
              <w:jc w:val="center"/>
            </w:pP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مُقيّد 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 للاستخدام المؤسسي — 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 w:val="false"/>
              </w:rPr>
              <w:t xml:space="preserve">Restricted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/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 w:val="false"/>
              </w:rPr>
              <w:t xml:space="preserve">Internal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 w:val="false"/>
              </w:rPr>
              <w:t xml:space="preserve">Use</w:t>
            </w:r>
          </w:p>
        </w:tc>
      </w:tr>
    </w:tbl>
    <w:p>
      <w:pPr>
        <w:spacing w:after="140"/>
      </w:pP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60"/>
        <w:gridCol w:w="2400"/>
      </w:tblGrid>
      <w:tr>
        <w:tc>
          <w:tcPr>
            <w:tcW w:type="dxa" w:w="69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EQUIP-ORG-01-EMS</w:t>
            </w:r>
          </w:p>
        </w:tc>
        <w:tc>
          <w:tcPr>
            <w:tcW w:type="dxa" w:w="24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  <w:rtl/>
              </w:rPr>
              <w:t xml:space="preserve">معرّف الوثيقة</w:t>
            </w:r>
          </w:p>
        </w:tc>
      </w:tr>
      <w:tr>
        <w:tc>
          <w:tcPr>
            <w:tcW w:type="dxa" w:w="69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الهيكل التشغيلي والتكليفات التنظيمية — السلطة والنطاق والاعتماد</w:t>
            </w:r>
          </w:p>
        </w:tc>
        <w:tc>
          <w:tcPr>
            <w:tcW w:type="dxa" w:w="24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  <w:rtl/>
              </w:rPr>
              <w:t xml:space="preserve">العنوان</w:t>
            </w:r>
          </w:p>
        </w:tc>
      </w:tr>
      <w:tr>
        <w:tc>
          <w:tcPr>
            <w:tcW w:type="dxa" w:w="69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وثيقةٌ حاكمةٌ فوق مصفوفة الصلاحيات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تعرّف من يملك أي قرارٍ وعلى أي نطاق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— وتقرؤها الشاشاتُ والحرّاسُ وسلّمُ الموافقات</w:t>
            </w:r>
          </w:p>
        </w:tc>
        <w:tc>
          <w:tcPr>
            <w:tcW w:type="dxa" w:w="24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  <w:rtl/>
              </w:rPr>
              <w:t xml:space="preserve">مرتبتها</w:t>
            </w:r>
          </w:p>
        </w:tc>
      </w:tr>
      <w:tr>
        <w:tc>
          <w:tcPr>
            <w:tcW w:type="dxa" w:w="69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لا تعرّف كودَ صلاحيةٍ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مصفوفةُ الصلاحيات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ولا سلّمَ الاعتماد 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(GOV-01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§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4)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ولا التوقيعَ 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(LEG-01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§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4)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تعرّف السلطةَ التنظيمية التي تُقرأ منها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4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  <w:rtl/>
              </w:rPr>
              <w:t xml:space="preserve">حدودها</w:t>
            </w:r>
          </w:p>
        </w:tc>
      </w:tr>
      <w:tr>
        <w:tc>
          <w:tcPr>
            <w:tcW w:type="dxa" w:w="69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1.0</w:t>
            </w:r>
          </w:p>
        </w:tc>
        <w:tc>
          <w:tcPr>
            <w:tcW w:type="dxa" w:w="24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  <w:rtl/>
              </w:rPr>
              <w:t xml:space="preserve">الإصدار</w:t>
            </w:r>
          </w:p>
        </w:tc>
      </w:tr>
      <w:tr>
        <w:tc>
          <w:tcPr>
            <w:tcW w:type="dxa" w:w="69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نافذةٌ — ولا يُنشأ تكليفٌ تنظيميٌّ خارج بنيتها</w:t>
            </w:r>
          </w:p>
        </w:tc>
        <w:tc>
          <w:tcPr>
            <w:tcW w:type="dxa" w:w="24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  <w:rtl/>
              </w:rPr>
              <w:t xml:space="preserve">حالة الوثيقة</w:t>
            </w:r>
          </w:p>
        </w:tc>
      </w:tr>
      <w:tr>
        <w:tc>
          <w:tcPr>
            <w:tcW w:type="dxa" w:w="69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المبدأ الحاكم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الطبقتان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التكليف التنظيمي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صلاحيات مدير التشغيل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مدير الحركة في الموقع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حدود الاختصاص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التكامل مع الطبقة الموازية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لوحتا القيادة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المواصفة التنفيذية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القبول</w:t>
            </w:r>
          </w:p>
        </w:tc>
        <w:tc>
          <w:tcPr>
            <w:tcW w:type="dxa" w:w="24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  <w:rtl/>
              </w:rPr>
              <w:t xml:space="preserve">النطاق</w:t>
            </w:r>
          </w:p>
        </w:tc>
      </w:tr>
      <w:tr>
        <w:tc>
          <w:tcPr>
            <w:tcW w:type="dxa" w:w="69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2026</w:t>
            </w:r>
          </w:p>
        </w:tc>
        <w:tc>
          <w:tcPr>
            <w:tcW w:type="dxa" w:w="24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  <w:rtl/>
              </w:rPr>
              <w:t xml:space="preserve">تاريخ الإصدار</w:t>
            </w:r>
          </w:p>
        </w:tc>
      </w:tr>
    </w:tbl>
    <w:p>
      <w:pPr>
        <w:spacing w:after="140"/>
      </w:pPr>
    </w:p>
    <w:p>
      <w:pPr>
        <w:pStyle w:val="Heading1"/>
        <w:bidi/>
        <w:spacing w:after="120" w:before="260" w:line="280"/>
        <w:jc w:val="right"/>
      </w:pPr>
      <w:r>
        <w:rPr>
          <w:rFonts w:ascii="Arial" w:cs="Arial" w:eastAsia="Arial" w:hAnsi="Arial"/>
          <w:b/>
          <w:bCs/>
          <w:color w:val="1F4E79"/>
          <w:sz w:val="26"/>
          <w:szCs w:val="26"/>
          <w:rtl w:val="false"/>
        </w:rPr>
        <w:t xml:space="preserve">1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·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المبدأ الحاكم — طبقتان لا هرمٌ واحد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5B2E91" w:sz="12"/>
            </w:tcBorders>
            <w:shd w:fill="F1EAF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القاعدة </w:t>
            </w: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مديرُ التشغيل هو المالكُ الوظيفيُّ لمنظومة التنفيذ التشغيليِّ في الشركة كلِّها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ومعه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طبقةٌ موازيةٌ لا تابعة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المبيعاتُ والعقود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الماليةُ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التمويلُ والملكية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الأسطول —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تتبع المديرَ التنفيذيَّ وهو المرجعُ الأعلى في الاعتمادات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والطبقتان تتكاملان بمسارات اعتمادٍ معلنةٍ لا بتبعيةٍ إدارية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60"/>
        <w:gridCol w:w="2300"/>
      </w:tblGrid>
      <w:tr>
        <w:trPr>
          <w:tblHeader/>
        </w:trP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ما تشمله 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 وطبيعةُ العلاقة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الطبقة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الحركةُ والتشغيلُ في المواقع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الصيانةُ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المشغّلون والقوى التشغيلية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المشترياتُ التشغيلية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المخازنُ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النقلُ والترحيل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ومسؤولو هذه الوظائف في المواقع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.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العلاقة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تبعيةٌ إداريةٌ وتشغيليةٌ مباشرة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① التشغيلية — تحت مدير التشغيل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المبيعاتُ والعقود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الماليةُ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التمويلُ والملكية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الأسطول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تتبع المديرَ التنفيذي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.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العلاقة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تكاملٌ بمسارات اعتمادٍ لا تبعية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ولا يعتمد مديرُ التشغيل قرارًا في اختصاصها ولا العكس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② الموازية — تحت المدير التنفيذي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المرجعُ الأعلى في الاعتمادات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عند تجاوز الحد أو مسِّ حقٍّ جوهريٍّ لطرف — وهو الدرجةُ الرابعة في سلّم الموافقات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(GOV-01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4)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③ المدير التنفيذي</w:t>
            </w:r>
          </w:p>
        </w:tc>
      </w:tr>
    </w:tbl>
    <w:p>
      <w:pPr>
        <w:pStyle w:val="Heading2"/>
        <w:bidi/>
        <w:spacing w:after="90" w:before="180" w:line="270"/>
        <w:jc w:val="right"/>
      </w:pPr>
      <w:r>
        <w:rPr>
          <w:rFonts w:ascii="Arial" w:cs="Arial" w:eastAsia="Arial" w:hAnsi="Arial"/>
          <w:b/>
          <w:bCs/>
          <w:color w:val="6B3FA0"/>
          <w:sz w:val="22"/>
          <w:szCs w:val="22"/>
          <w:rtl w:val="false"/>
        </w:rPr>
        <w:t xml:space="preserve">1.1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·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مصفوفة الإدارات كاملةً — لا يبقى مجالٌ بلا تبعية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60"/>
        <w:gridCol w:w="2300"/>
      </w:tblGrid>
      <w:tr>
        <w:trPr>
          <w:tblHeader/>
        </w:trP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تبعيتُها 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 ومالكُها الوظيفيُّ 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 وطبيعتُها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الإدارة أو المجال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المديرُ التنفيذي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مديرُ التشغيل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إدارةٌ قائدةٌ للطبقة التشغيلية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① التشغيل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مديرُ التشغيل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مديرُ الحركة والتشغيل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إدارةٌ موقعيةٌ — واحدةٌ لكل موقع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② الحركة والتشغيل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مديرُ التشغيل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مديرُ الصيانة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إدارةٌ فنيةٌ مركزيةٌ لها امتدادٌ موقعي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③ الصيانة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مديرُ التشغيل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مديرُ المشغّلين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إدارةٌ تشغيليةٌ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وليست الموارد البشرية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④ المشغّلون والقوى التشغيلية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مديرُ التشغيل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مديرُ المشتريات التشغيلية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إدارةٌ تشغيلية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⑤ المشتريات التشغيلية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مديرُ التشغيل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مديرُ المخازن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إدارةٌ تشغيليةٌ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بفصلِ واجباتٍ عن المشتريات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⑥ المخازن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مديرُ التشغيل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مديرُ النقل والترحيل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إدارةٌ لوجستيةٌ بين المواقع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⑦ النقل والترحيل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المديرُ التنفيذي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مديرُ المبيعات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إدارةٌ موازية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⑧ المبيعات والعقود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المديرُ التنفيذي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المديرُ المالي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إدارةٌ موازية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⑨ المالية والخزينة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المديرُ التنفيذي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مديرُ التمويل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إدارةٌ موازيةٌ بمجالٍ مقيَّد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⑩ التمويل والملكية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المديرُ التنفيذي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مديرُ الأسطول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إدارةٌ موازية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⑪ الأسطول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مديرُ التشغيل إداريًّا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باستقلالٍ فنيٍّ تام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مديرُ الموارد البشرية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إدارةٌ تشغيليةُ التبعيةِ مستقلةُ الاختصاص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تملك العقدَ والأجرَ والانضباطَ ونهايةَ الخدمة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ولا تملك التخصيصَ والتناوبَ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④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وقرارُ جعلها موازيةً خامسةً مرفوعٌ للمالك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⑫ الموارد البشرية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المديرُ التنفيذي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مسؤولُ الحوكمة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مجالٌ رقابيٌّ لا إدارةٌ تنفيذية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يمنح ويراقب ولا ينفّذ عمليات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⑬ الحوكمة والصلاحيات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المديرُ التنفيذي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مديرُ البلاغات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مركزُ رصدٍ مشتركٌ لا إدارةٌ تنفيذية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يراقب ويصعّد ولا يُصلح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⑭ مركز البلاغات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9C5700" w:sz="12"/>
            </w:tcBorders>
            <w:shd w:fill="FDF3E2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قرارٌ مطلوبٌ — تبعيةُ الموارد البشرية 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النصُّ النافذُ يتبع القرارَ الأصلي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أربعُ إداراتٍ موازيةٍ فقط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المبيعاتُ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الماليةُ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التمويلُ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الأسطول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،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والمواردُ البشريةُ تحت مدير التشغيل إداريًّا مع استقلالٍ فنيٍّ تامٍّ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في التوظيف والعقود والأجور والانضباط ونهاية الخدمة —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فلا يعتمد مديرُ التشغيل تعيينًا ولا أجرًا ولا جزاءً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وإن رأى المالكُ جعلَها موازيةً خامسةً فذلك قرارٌ يُوقَّع، ويُعدَّل عندئذٍ كلُّ موضعٍ يقول «أربع» إلى «خمس» في هذه الوثيقة وفي 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NAV-01.**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ولا يصح أن تقول الوثيقةُ الأمرين معًا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1F4E79" w:sz="12"/>
            </w:tcBorders>
            <w:shd w:fill="EAF1F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  <w:rtl/>
              </w:rPr>
              <w:t xml:space="preserve">والمجالان الرقابيان </w:t>
            </w: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الحوكمةُ ومركزُ البلاغات ليسا إدارتين تنفيذيتين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— يمنحان ويرصدان ولا ينفّذان عملياتٍ،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فلا يقعان في أي من الطبقتين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ولا يدخلان عدَّ الإدارات الموازية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وتبعيتُهما الإداريةُ للمدير التنفيذي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</w:t>
            </w:r>
          </w:p>
        </w:tc>
      </w:tr>
    </w:tbl>
    <w:p>
      <w:pPr>
        <w:pStyle w:val="Heading2"/>
        <w:bidi/>
        <w:spacing w:after="90" w:before="180" w:line="270"/>
        <w:jc w:val="right"/>
      </w:pPr>
      <w:r>
        <w:rPr>
          <w:rFonts w:ascii="Arial" w:cs="Arial" w:eastAsia="Arial" w:hAnsi="Arial"/>
          <w:b/>
          <w:bCs/>
          <w:color w:val="6B3FA0"/>
          <w:sz w:val="22"/>
          <w:szCs w:val="22"/>
          <w:rtl w:val="false"/>
        </w:rPr>
        <w:t xml:space="preserve">1.2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·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حدُّ السلطة — الإشرافُ لا يصادر الاختصاص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60"/>
        <w:gridCol w:w="2300"/>
      </w:tblGrid>
      <w:tr>
        <w:trPr>
          <w:tblHeader/>
        </w:trP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ما يملكه مديرُ التشغيل 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 وما يبقى لصاحب الاختصاص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المسألة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يملك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الأولويةَ التشغيليةَ بين المواقع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ترتيبَ الأوامر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طلبَ الاستعجال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.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ويبقى لمدير الصيانة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القرارُ الفني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التشخيصُ والحكمُ بالصلاحية وقبولُ الإصلاح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① الصيانة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يملك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تحديدَ الاحتياج والتوزيع والأولوية بين المواقع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.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ويبقى للقوى العاملة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التعيينُ والتعاقدُ والأجرُ والانضباطُ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فالتعيينُ اختصاصُ الموارد البشرية،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وما يفعله مديرُ التشغيل اعتمادُ الحاجة لا إنشاءُ العقد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② المشغّلون والقوى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يملك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الأولوياتِ والاحتياجاتِ والمواعيدَ المطلوبة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.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ويبقى للمشتريات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طلبُ العروض والمقارنةُ والترسيةُ والشراء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③ المشتريات التشغيلية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يملك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أولويةَ الصرف بين المواقع بحسب الحاجة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.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ويبقى للمخازن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الاستلامُ والتخزينُ والصرفُ والجردُ والعهد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④ المخازن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يملك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قرارَ نقل المعدة أو الطاقم بين المشاريع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.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ويبقى للنقل والترحيل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تنفيذُ الحركة اللوجستية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وللأسطول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سجلُّ الأصل وحالتُه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⑤ النقل والأسطول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9C5700" w:sz="12"/>
            </w:tcBorders>
            <w:shd w:fill="FDF3E2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قاعدةُ التمييز 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«يعيّن» في وصف السلطة تعني «يعتمد التكليفَ التشغيلي» لا «يُنشئ عقدَ عمل»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فالتعاقدُ والأجرُ والانضباطُ اختصاصُ القوى العاملة بمسارها؛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والتكليفُ التنظيميُّ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من يقود أي موقعٍ وبأي نطاقٍ ولأي مدة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اختصاصُ مدير التشغيل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وهما مسألتان لا تُخلطان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الأولى علاقةُ عملٍ والثانيةُ سلطةُ تشغيل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</w:p>
        </w:tc>
      </w:tr>
    </w:tbl>
    <w:p>
      <w:pPr>
        <w:pStyle w:val="Heading1"/>
        <w:bidi/>
        <w:spacing w:after="120" w:before="260" w:line="280"/>
        <w:jc w:val="right"/>
      </w:pPr>
      <w:r>
        <w:rPr>
          <w:rFonts w:ascii="Arial" w:cs="Arial" w:eastAsia="Arial" w:hAnsi="Arial"/>
          <w:b/>
          <w:bCs/>
          <w:color w:val="1F4E79"/>
          <w:sz w:val="26"/>
          <w:szCs w:val="26"/>
          <w:rtl w:val="false"/>
        </w:rPr>
        <w:t xml:space="preserve">2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·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التكليف التنظيمي — سجلٌّ لا تعديلُ قائمة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5B2E91" w:sz="12"/>
            </w:tcBorders>
            <w:shd w:fill="F1EAF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الحكم </w:t>
            </w: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لا يُمنح دورٌ قياديٌّ بتعديل صلاحيةٍ يدويًّا في قائمة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كلُّ تكليفٍ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سجلٌّ تنظيميٌّ رسميٌّ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له بنيةٌ ومصدرُ قرارٍ ومدةٌ ونائب —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وتسقط صلاحياتُه آليًّا بانتهاء مدته بلا تدخلٍ بشري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**.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60"/>
        <w:gridCol w:w="2300"/>
      </w:tblGrid>
      <w:tr>
        <w:trPr>
          <w:tblHeader/>
        </w:trP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مضمونه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الحقل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مركزيٌّ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مديرُ صيانةٍ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مديرُ مشغّلين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مديرُ مشترياتٍ تشغيلية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مديرُ مخازن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مديرُ نقلٍ وترحيل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.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وموقعيٌّ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مديرُ الحركة والتشغيل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مسؤولُ صيانةِ موقعٍ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مسؤولُ مشغّلي موقعٍ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أمينُ مخزنِ موقعٍ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مستلمُ مشترياتِ موقعٍ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منسّقُ نقلٍ بالموقع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مسؤولُ السكن والإعاشة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ضابطُ البوابة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**.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ونائبٌ أو مكلَّفٌ مؤقتٌ لأيٍّ منها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① نوع التكليف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الشخصُ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الصفةُ الوظيفية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مصدرُ القرار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مديرُ التشغيل أو المدير التنفيذي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② الهوية والمصدر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المشروعُ أو الموقعُ أو مجموعةُ المواقع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التي يسري عليها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ولا تكليفَ مفتوحُ النطاق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③ النطاق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تاريخُ البداية والنهاية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ولا تكليفَ مفتوحُ المدة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وتمديدُه قرارٌ جديدٌ لا تعديلُ تاريخ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④ المدة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الصلاحياتُ الممنوحةُ وسقوفُها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والسقفُ في التكليف التشغيلي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نطاقيٌّ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مواقعُ ومشاريع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وفي المالي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نقدي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⑤ الصلاحيات والسقف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النائبُ المعتمَدُ بمدةٍ وسقفٍ مكتوبين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فلا تتوقف السلسلةُ بغياب المكلَّف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ولا نيابةَ شفويةٌ ولا مفتوحةُ المدة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⑥ النائب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خطّا تبعيةٍ لا خطٌّ واحدٌ للمكلَّف الموقعي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تشغيليًّا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إلى مدير الحركة والتشغيل في موقعه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يحدد الأولويةَ اليوميةَ ويعتمد الحضورَ والإجازةَ ويقيّم الالتزام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؛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وفنيًّا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إلى مديره المركزي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يعتمد القرارَ الفنيَّ ويقيّم الكفاءةَ ويملك «طلبَ» إنهاء التكليف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**.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والاعتمادُ النهائيُّ للإنهاء لمصدر القرار وحده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مديرُ التشغيل أو المدير التنفيذي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فالطلبُ للمدير الفني والقرارُ لمن كلّف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**.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ولا يُترك أحدُ الخطين مفترضًا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⑦ التبعية المزدوجة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سجلُّ التعديلات والاعتمادات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بمن قرر ومتى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Insert-only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لا يُعدَّل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⑧ السجل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إنهاءٌ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نقلٌ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تعليقٌ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تفويضٌ مؤقتٌ لبعض الصلاحيات بمدة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كلُّها قراراتٌ موثَّقةٌ لا تغييراتٌ صامتة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⑨ التغيير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9C5700" w:sz="12"/>
            </w:tcBorders>
            <w:shd w:fill="FDF3E2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السقوطُ الآلي 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انتهاءُ مدة التكليف يُسقط الصلاحيةَ في اللحظة نفسِها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— ولا يُنتظر تدخلٌ بشري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ومحاولةُ اعتمادٍ بتكليفٍ منتهٍ تُرفض 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403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وتُسجَّل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(LEG-01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§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6-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③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).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وهذا يمنع أخطرَ ثغرةٍ إدارية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مكلَّفٌ سابقٌ يبقى معتمِدًا لأن أحدًا لم يُلغِ صلاحيتَه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</w:p>
        </w:tc>
      </w:tr>
    </w:tbl>
    <w:p>
      <w:pPr>
        <w:pStyle w:val="Heading1"/>
        <w:bidi/>
        <w:spacing w:after="120" w:before="260" w:line="280"/>
        <w:jc w:val="right"/>
      </w:pPr>
      <w:r>
        <w:rPr>
          <w:rFonts w:ascii="Arial" w:cs="Arial" w:eastAsia="Arial" w:hAnsi="Arial"/>
          <w:b/>
          <w:bCs/>
          <w:color w:val="1F4E79"/>
          <w:sz w:val="26"/>
          <w:szCs w:val="26"/>
          <w:rtl w:val="false"/>
        </w:rPr>
        <w:t xml:space="preserve">3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·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مدير التشغيل — سلطته في النظام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60"/>
        <w:gridCol w:w="2300"/>
      </w:tblGrid>
      <w:tr>
        <w:trPr>
          <w:tblHeader/>
        </w:trP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ما يملكه 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 وأثرُه في النظام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المجال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يعد ويعتمد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الخطةَ السنويةَ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الشهريةَ لكل مشروع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الأسبوعية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مستهدفاتِ الساعات والإنتاج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احتياجاتِ المعدات والمشغّلين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خططَ التعبئة والانتقال والطوارئ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.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والأثر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الخطةُ المعتمدةُ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مرجعُ قياس الانحراف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لا وثيقةً جانبية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① التخطيط التشغيلي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يستلم خطط المواقع اليومية ويعتمدها أو يعيدها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بعد فحص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مطابقتِها للخطة الشهرية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التزاماتِ العقود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جاهزيةِ المعدات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توفرِ المشغّلين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حالةِ الصيانة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فجوةِ المقاعد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مخاطرِ عدم التنفيذ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② اعتماد خطط المواقع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يقترح ويعتمد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نقلَ معدةٍ بين مشروعين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نقلَ مشغّلٍ أو فني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توفيرَ بدائل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إعادةَ ترتيب الأولويات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توزيعَ الاحتياطي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معالجةَ عجزِ موقعٍ من موارد آخر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بالاشتراك مع الأسطول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سجلُّ الأصل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والنقل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الحركة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والصيانة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الجاهزية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والقوى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الموارد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ومديرَي الموقعين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③ توزيع الموارد بين المواقع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التكليفُ والصلاحياتُ واعتمادُ النائب ومتابعةُ التقارير وتقييمُ الأداء ومراجعةُ الخطط ومعالجةُ التعارض بين المواقع وسحبُ التكليف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واعتمادُ ما يتجاوز صلاحيةَ الموقع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④ إدارة مديري الحركة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الدرجةُ الثانية في سلّم الموافقات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(GOV-01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4)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لكل ما يخصّ الإدارات التشغيلية — بعد مدير الحركة وقبل المالية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⑤ موضعُه من الاعتماد</w:t>
            </w:r>
          </w:p>
        </w:tc>
      </w:tr>
    </w:tbl>
    <w:p>
      <w:pPr>
        <w:pStyle w:val="Heading2"/>
        <w:bidi/>
        <w:spacing w:after="90" w:before="180" w:line="270"/>
        <w:jc w:val="right"/>
      </w:pPr>
      <w:r>
        <w:rPr>
          <w:rFonts w:ascii="Arial" w:cs="Arial" w:eastAsia="Arial" w:hAnsi="Arial"/>
          <w:b/>
          <w:bCs/>
          <w:color w:val="6B3FA0"/>
          <w:sz w:val="22"/>
          <w:szCs w:val="22"/>
          <w:rtl w:val="false"/>
        </w:rPr>
        <w:t xml:space="preserve">3.1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·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لوحة قيادته — إدارةٌ لا اطّلاع</w:t>
      </w:r>
    </w:p>
    <w:p>
      <w:pPr>
        <w:bidi/>
        <w:spacing w:after="110" w:line="276"/>
        <w:jc w:val="both"/>
      </w:pPr>
      <w:r>
        <w:rPr>
          <w:rFonts w:ascii="Arial" w:cs="Arial" w:eastAsia="Arial" w:hAnsi="Arial"/>
          <w:sz w:val="19"/>
          <w:szCs w:val="19"/>
          <w:rtl/>
        </w:rPr>
        <w:t xml:space="preserve">**</w:t>
      </w:r>
      <w:r>
        <w:rPr>
          <w:rFonts w:ascii="Arial" w:cs="Arial" w:eastAsia="Arial" w:hAnsi="Arial"/>
          <w:sz w:val="19"/>
          <w:szCs w:val="19"/>
          <w:rtl/>
        </w:rPr>
        <w:t xml:space="preserve">لوحةُ مدير التشغيل مساحةُ قرارٍ لا تقريرًا يُقرأ</w:t>
      </w:r>
      <w:r>
        <w:rPr>
          <w:rFonts w:ascii="Arial" w:cs="Arial" w:eastAsia="Arial" w:hAnsi="Arial"/>
          <w:sz w:val="19"/>
          <w:szCs w:val="19"/>
          <w:rtl/>
        </w:rPr>
        <w:t xml:space="preserve">.**</w:t>
      </w:r>
      <w:r>
        <w:rPr>
          <w:rFonts w:ascii="Arial" w:cs="Arial" w:eastAsia="Arial" w:hAnsi="Arial"/>
          <w:sz w:val="19"/>
          <w:szCs w:val="19"/>
          <w:rtl/>
        </w:rPr>
        <w:t xml:space="preserve"> وكلُّ رقمٍ فيها </w:t>
      </w:r>
      <w:r>
        <w:rPr>
          <w:rFonts w:ascii="Arial" w:cs="Arial" w:eastAsia="Arial" w:hAnsi="Arial"/>
          <w:sz w:val="19"/>
          <w:szCs w:val="19"/>
          <w:rtl/>
        </w:rPr>
        <w:t xml:space="preserve">**</w:t>
      </w:r>
      <w:r>
        <w:rPr>
          <w:rFonts w:ascii="Arial" w:cs="Arial" w:eastAsia="Arial" w:hAnsi="Arial"/>
          <w:sz w:val="19"/>
          <w:szCs w:val="19"/>
          <w:rtl/>
        </w:rPr>
        <w:t xml:space="preserve">قابلٌ للتعمق ومعه إجراؤه</w:t>
      </w:r>
      <w:r>
        <w:rPr>
          <w:rFonts w:ascii="Arial" w:cs="Arial" w:eastAsia="Arial" w:hAnsi="Arial"/>
          <w:sz w:val="19"/>
          <w:szCs w:val="19"/>
          <w:rtl/>
        </w:rPr>
        <w:t xml:space="preserve">**: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60"/>
        <w:gridCol w:w="2300"/>
      </w:tblGrid>
      <w:tr>
        <w:trPr>
          <w:tblHeader/>
        </w:trP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ما يظهر 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 وإجراؤه المتاح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المجموعة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الجاهزيةُ بالمواقع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فجواتُ المقاعد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العجزُ عن الالتزام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ساعاتُ العمل مقابل المستهدف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وزرُّ توزيعِ موردٍ لسدِّ عجزٍ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① الأداء التشغيلي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خططُ الغد المرفوعةُ من المواقع بحالتها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واعتمادٌ أو إعادةٌ بسببٍ محكوم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② خطط المواقع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المعداتُ المتوقفةُ بأسبابها ومدةِ توقفها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الوقائيةُ المستحقةُ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أوامرُ العمل المفتوحة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وزرُّ رفعِ أولوية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③ الصيانة والجاهزية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العجزُ في المشغّلين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التناوباتُ القادمة بلا بديل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الإجازاتُ المعلَّقة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وزرُّ طلبِ نقلٍ أو بديل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④ القوى التشغيلية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الاحتياجاتُ المرفوعةُ من المواقع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الأصنافُ تحت الحد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وزرُّ تحديدِ أولويةِ صرفٍ بين موقعين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⑤ المشتريات والمخازن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أوامرُ الترحيل المفتوحةُ ومواقعُها — وزرُّ اعتمادِ أمرِ تحرّك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⑥ النقل والترحيل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ما يتجاوز صلاحيةَ الموقع ورُفع إليه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التكليفاتُ التي تنتهي خلال ثلاثين يومًا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ما ينتظر قرارَه بالساعات لا بالعدد فقط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⑦ ما ينتظر قراره</w:t>
            </w:r>
          </w:p>
        </w:tc>
      </w:tr>
    </w:tbl>
    <w:p>
      <w:pPr>
        <w:pStyle w:val="Heading1"/>
        <w:bidi/>
        <w:spacing w:after="120" w:before="260" w:line="280"/>
        <w:jc w:val="right"/>
      </w:pPr>
      <w:r>
        <w:rPr>
          <w:rFonts w:ascii="Arial" w:cs="Arial" w:eastAsia="Arial" w:hAnsi="Arial"/>
          <w:b/>
          <w:bCs/>
          <w:color w:val="1F4E79"/>
          <w:sz w:val="26"/>
          <w:szCs w:val="26"/>
          <w:rtl w:val="false"/>
        </w:rPr>
        <w:t xml:space="preserve">4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·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مدير الحركة والتشغيل — نائبه في الموقع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5B2E91" w:sz="12"/>
            </w:tcBorders>
            <w:shd w:fill="F1EAF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الحكم </w:t>
            </w: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واحدٌ لكل موقعٍ لا أكثر — وهو أعلى قرارٍ تشغيليٍّ فيه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يتبع مديرَ التشغيل إداريًّا مباشرةً،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ويملك ما يتحرك ويعمل ويدخل ويخرج ويُعتمد ميدانيًّا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بالتنسيق الإلزامي مع الإدارات الفنية المختصة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وهو الدرجةُ الأولى في سلّم الموافقات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(GOV-01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§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4):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لا يتغير شيءٌ في ساعات المشغّلين أو الموردين أو المبيعات إلا بموافقته أولًا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60"/>
        <w:gridCol w:w="2300"/>
      </w:tblGrid>
      <w:tr>
        <w:trPr>
          <w:tblHeader/>
        </w:trP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ما يملكه في موقعه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المجال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خطةُ الغد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أيُّ معدةٍ لأي مقعدٍ بأي مشغّلٍ في أي ورديةٍ وفترة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وترفع للاعتماد من مدير التشغيل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① التوزيع اليومي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اعتمادُ الحلقة الأولى في سلسلة الوحدات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هل جرى هذا فعلًا؟ — وهو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إثباتُ الواقعة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لا حكمُ قيمتها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② اعتماد الواقعة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طلبُ تغيير حالة الوحدات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تعطلٌ ← استعداد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تغييرُ الطرف المتحمل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يرفعه ولا يعتمده وحده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(GOV-01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6)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③ تغيير الحالة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دخولُ معدةٍ أو مشغّلٍ للموقع وخروجُهما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تصاريحُ العمل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إيقافُ معدةٍ لسببٍ تشغيلي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والإيقافُ الفنيُّ لمدير الصيانة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④ الدخول والخروج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رفعُ الاحتياجات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قطعٌ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موادُّ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وقودٌ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قوًى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والقرارُ في الأولوية بين المواقع لمدير التشغيل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⑤ رفع الاحتياج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ما يتجاوز نطاقَه أو سقفَه يُرفع لمدير التشغيل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ولا يقرر فيه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ولا يعتمد ما أنشأه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⑥ حدُّه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نائبٌ معتمَدٌ بمدةٍ وسقفٍ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فلا تتوقف السلسلةُ بغيابه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⑦ نائبه</w:t>
            </w:r>
          </w:p>
        </w:tc>
      </w:tr>
    </w:tbl>
    <w:p>
      <w:pPr>
        <w:pStyle w:val="Heading2"/>
        <w:bidi/>
        <w:spacing w:after="90" w:before="180" w:line="270"/>
        <w:jc w:val="right"/>
      </w:pPr>
      <w:r>
        <w:rPr>
          <w:rFonts w:ascii="Arial" w:cs="Arial" w:eastAsia="Arial" w:hAnsi="Arial"/>
          <w:b/>
          <w:bCs/>
          <w:color w:val="6B3FA0"/>
          <w:sz w:val="22"/>
          <w:szCs w:val="22"/>
          <w:rtl w:val="false"/>
        </w:rPr>
        <w:t xml:space="preserve">4.1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·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التمييز الذي لا يُخلط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60"/>
        <w:gridCol w:w="2300"/>
      </w:tblGrid>
      <w:tr>
        <w:trPr>
          <w:tblHeader/>
        </w:trP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حدُّه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الجهة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حركةُ المعدات والأفراد داخل الموقع وتشغيلُهم اليومي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وهي إدارةُ تنفيذٍ يوميٍّ في نطاقٍ واحد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① الحركة والتشغيل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الحركةُ اللوجستية بين المواقع وخارجها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ترحيلُ المعدات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نقلُ الطواقم والقطع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التعبئةُ وفكُّها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أوامرُ التحرك بين المشاريع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② النقل والترحيل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سجلُّ الأصل وحالتُه وملكيتُه ووثائقُه وعدّاداتُه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طبقةٌ موازيةٌ لا تابعة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③ الأسطول</w:t>
            </w:r>
          </w:p>
        </w:tc>
      </w:tr>
    </w:tbl>
    <w:p>
      <w:pPr>
        <w:pStyle w:val="Heading1"/>
        <w:bidi/>
        <w:spacing w:after="120" w:before="260" w:line="280"/>
        <w:jc w:val="right"/>
      </w:pPr>
      <w:r>
        <w:rPr>
          <w:rFonts w:ascii="Arial" w:cs="Arial" w:eastAsia="Arial" w:hAnsi="Arial"/>
          <w:b/>
          <w:bCs/>
          <w:color w:val="1F4E79"/>
          <w:sz w:val="26"/>
          <w:szCs w:val="26"/>
          <w:rtl w:val="false"/>
        </w:rPr>
        <w:t xml:space="preserve">5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·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مصفوفة الأذونات المشتركة — من يوافق على ماذا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5B2E91" w:sz="12"/>
            </w:tcBorders>
            <w:shd w:fill="F1EAF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لماذا </w:t>
            </w: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«بالتنسيق مع الإدارة المختصة» عبارةٌ تقبل تفسيراتٍ — والمصفوفةُ تحسمها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فكلُّ إذنِ دخولٍ أو خروجٍ أو تفعيلٍ أو إيقافٍ له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موافقون محددون بالاسم الوظيفي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، ولا يُنفَّذ منفردًا إذا تطلّب اعتمادًا مشتركًا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60"/>
        <w:gridCol w:w="2300"/>
      </w:tblGrid>
      <w:tr>
        <w:trPr>
          <w:tblHeader/>
        </w:trP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الموافقاتُ المطلوبة — بالترتيب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الإذن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الحركةُ والتشغيل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استقبالُ الموقع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+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الأسطول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سلامةُ السجل والوثائق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+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الصيانة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الفحصُ الفنيُّ عند الدخول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① دخولُ معدةٍ إلى الموقع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الحركةُ والتشغيل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+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الصيانة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شهادةُ الجاهزية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+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تخصيصُ مشغّلٍ قائم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ولا تُدخَل الخدمةُ بلا مشغّل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② إدخالُ المعدة للخدمة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الحركةُ والتشغيل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+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الصيانة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سببٌ فنيٌّ موثَّق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وإن طال فبإخطار مدير التشغيل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③ إخراجُ المعدة من الخدمة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الحركةُ والتشغيل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+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الأسطول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+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مخالصةُ المخزن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عهدٌ وقطعٌ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+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النقلُ والترحيل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أمرُ تحرّك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④ خروجُ المعدة من الموقع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المشتريات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مطابقةُ الأمر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+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المخزن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الاستلامُ الفعلي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+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الحركةُ والتشغيل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إذنُ الدخول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⑤ دخولُ مشترياتٍ للموقع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المخزن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الصرفُ أو التحويل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+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الحركةُ والتشغيل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إذنُ الخروج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+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الجهةُ المالكةُ للمادة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⑥ خروجُ موادَّ من الموقع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المشغّلون والقوى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الرخصةُ والتأهيلُ ساريان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+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الحركةُ والتشغيل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السكنُ والتخصيصُ متاحان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⑦ دخولُ مشغّل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الصيانة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التكليفُ الفني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+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الحركةُ والتشغيل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إذنُ الدخول والسلامة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⑧ دخولُ فني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الحركةُ والتشغيل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+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الموارد البشرية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تسويةُ العهد والمستحق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ولا يخرج وعليه عهدةٌ مفتوحة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⑨ خروجُ عاملٍ نهائيًّا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9C5700" w:sz="12"/>
            </w:tcBorders>
            <w:shd w:fill="FDF3E2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قاعدةُ التنفيذ 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كلُّ إذنٍ في هذه المصفوفة يمرّ بصندوق الاعتماد الجامع بندًا واحدًا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يعرضه لكل موافقٍ في دوره —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ولا تُرسل رسائلُ ولا تُجرى اتصالات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وما نُفّذ منفردًا وهو يتطلب مشتركًا يُرفض بنيويًّا ويُسجَّل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</w:p>
        </w:tc>
      </w:tr>
    </w:tbl>
    <w:p>
      <w:pPr>
        <w:pStyle w:val="Heading1"/>
        <w:bidi/>
        <w:spacing w:after="120" w:before="260" w:line="280"/>
        <w:jc w:val="right"/>
      </w:pPr>
      <w:r>
        <w:rPr>
          <w:rFonts w:ascii="Arial" w:cs="Arial" w:eastAsia="Arial" w:hAnsi="Arial"/>
          <w:b/>
          <w:bCs/>
          <w:color w:val="1F4E79"/>
          <w:sz w:val="26"/>
          <w:szCs w:val="26"/>
          <w:rtl w:val="false"/>
        </w:rPr>
        <w:t xml:space="preserve">6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·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التكامل مع الطبقة الموازية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60"/>
        <w:gridCol w:w="2300"/>
      </w:tblGrid>
      <w:tr>
        <w:trPr>
          <w:tblHeader/>
        </w:trP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نقطةُ التماس 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 ومن يقرر ماذا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الإدارة الموازية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تعطي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العقدَ وخطَّ أساسه والتزاماتِه ومقاعدَه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.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وتأخذ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الوحداتِ المعتمدةَ والإنجازَ مقابل الخطة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.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ولا يعدّل التشغيلُ بندَ عقدٍ ولا سعرًا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① المبيعات والعقود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تعطي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سقوفَ الصرف والاعتماد وقفلَ الفترة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.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وتأخذ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الأثرَ الأوليَّ ليتحول استحقاقًا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.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وهي الدرجةُ الثالثة في سلّم الموافقات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② المالية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تعطي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الأصولَ المموَّلةَ وتكلفةَ تمويلها موزَّعةً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.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ولا يرى التشغيلُ مالكَ المعدة ولا شروطَ تمويلها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(FIN-01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1.1)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③ التمويل والملكية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تعطي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سجلَّ المعدة ووثائقَها وعدّادَها وجاهزيتَها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.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وتأخذ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ساعاتِ التشغيل والتوقفَ بأسبابه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.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والتشغيلُ يستعملها ولا يملك سجلَّها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④ الأسطول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المرجعُ الأعلى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عند تجاوز الحد أو مسِّ حقٍّ جوهريٍّ لطرفٍ أو حالةِ طوارئ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الدرجةُ الرابعة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⑤ المدير التنفيذي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9C5700" w:sz="12"/>
            </w:tcBorders>
            <w:shd w:fill="FDF3E2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قاعدةُ التماس 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لا إدارةٌ تعدّل ما تملكه غيرُها — والتكاملُ قراءةٌ ومسارُ طلبٍ لا سلطةٌ متبادلة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فمديرُ التشغيل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يطلب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معدةً من الأسطول ولا يغيّر سجلَّها؛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ويطلب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تعديلَ التزامٍ من العقود ولا يعدّله؛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ويرفع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استحقاقًا للمالية ولا يقيّده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</w:t>
            </w:r>
          </w:p>
        </w:tc>
      </w:tr>
    </w:tbl>
    <w:p>
      <w:pPr>
        <w:pStyle w:val="Heading1"/>
        <w:bidi/>
        <w:spacing w:after="120" w:before="260" w:line="280"/>
        <w:jc w:val="right"/>
      </w:pPr>
      <w:r>
        <w:rPr>
          <w:rFonts w:ascii="Arial" w:cs="Arial" w:eastAsia="Arial" w:hAnsi="Arial"/>
          <w:b/>
          <w:bCs/>
          <w:color w:val="1F4E79"/>
          <w:sz w:val="26"/>
          <w:szCs w:val="26"/>
          <w:rtl w:val="false"/>
        </w:rPr>
        <w:t xml:space="preserve">7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·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المواصفة التنفيذية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60"/>
        <w:gridCol w:w="2500"/>
      </w:tblGrid>
      <w:tr>
        <w:trPr>
          <w:tblHeader/>
        </w:trP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 w:val="false"/>
              </w:rPr>
              <w:t xml:space="preserve">Type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 w:val="false"/>
              </w:rPr>
              <w:t xml:space="preserve">Null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 w:val="false"/>
              </w:rPr>
              <w:t xml:space="preserve">Default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 w:val="false"/>
              </w:rPr>
              <w:t xml:space="preserve">Index/Constraint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 w:val="false"/>
              </w:rPr>
              <w:t xml:space="preserve">Column</w:t>
            </w:r>
          </w:p>
        </w:tc>
      </w:tr>
      <w:t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unit_id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(PK)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name_ar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**layer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(operational·parallel·oversight)**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parent_unit_id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(FK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ذاتي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`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head_person_id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` مشتقٌّ للقراءة من التكليف النافذ ولا يُكتب مباشرةً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أو يُحذف ويُقرأ بدالة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فمصدرُ الحقيقة واحدٌ هو `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org_assignments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`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**owner_doc**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org_units</w:t>
            </w:r>
          </w:p>
        </w:tc>
      </w:tr>
      <w:t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asg_id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(PK)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person_id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(FK)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`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assignment_type_code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`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(FK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→ `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org_assignment_types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`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لا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Enum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في الكود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فيُضاف نوعُ تكليفٍ جديدٌ بصفٍّ لا بتعديلِ برمجة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org_unit_id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(FK)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**scope_type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(project·site·site_group)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+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scope_id**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**valid_from/to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إلزاميان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**decided_by_person_id**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decision_ref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**deputy_person_id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(nullable)**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state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(active·suspended·ended)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**UQ(assignment_type,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scope_type,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scope_id,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valid_from)**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وقيدٌ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مديرُ حركةٍ واحدٌ نشطٌ لكل موقعٍ في أي لحظة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org_assignments</w:t>
            </w:r>
          </w:p>
        </w:tc>
      </w:tr>
      <w:t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cap_id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(PK)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asg_id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(FK)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capability_code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**scope_limit_json**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المواقعُ والمشاريع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amount_cap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(nullable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للتشغيلي `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NULL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`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currency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والسقفُ التشغيليُّ نطاقيٌّ والماليُّ نقدي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assignment_capabilities</w:t>
            </w:r>
          </w:p>
        </w:tc>
      </w:tr>
      <w:t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type_code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(PK)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name_ar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**level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(central·site)**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default_capabilities_json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requires_functional_line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(TINYINT)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active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المركزيةُ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مديرُ صيانةٍ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مديرُ مشغّلين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مديرُ مشترياتٍ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مديرُ مخازنَ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مديرُ نقل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.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والموقعيةُ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مديرُ الحركة والتشغيل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مسؤولُ صيانةِ موقعٍ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مسؤولُ مشغّلي موقعٍ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أمينُ مخزنِ موقعٍ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مستلمُ مشترياتٍ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منسّقُ نقلٍ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مسؤولُ سكنٍ وإعاشةٍ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ضابطُ بوابة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ونائبٌ لأيٍّ منها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وكلُّ موقعيٍّ `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requires_functional_line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=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1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`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org_assignment_types</w:t>
            </w:r>
          </w:p>
        </w:tc>
      </w:tr>
      <w:t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line_id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(PK)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asg_id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(FK)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**line_type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(operational·functional)**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reports_to_assignment_id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(FK)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valid_from/to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**UQ(asg_id,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line_type)**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وقيدٌ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كلُّ تكليفٍ موقعيٍّ له خطّان لا خطٌّ واحد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assignment_reporting_lines</w:t>
            </w:r>
          </w:p>
        </w:tc>
      </w:tr>
      <w:t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log_id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(PK)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asg_id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(FK)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action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(created·amended·suspended·transferred·ended·delegated)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reason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before_json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after_json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by_person_id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at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**Insert-only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ولا تعديلَ ولا حذف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assignment_audit</w:t>
            </w:r>
          </w:p>
        </w:tc>
      </w:tr>
      <w:t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permit_type_code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(PK)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name_ar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**subject_kind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(equipment·material·person·technician)**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direction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(in·out·activate·deactivate)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validity_hours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active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الأنواعُ التسعةُ في 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5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صفوفٌ هنا لا كودًا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permit_types</w:t>
            </w:r>
          </w:p>
        </w:tc>
      </w:tr>
      <w:t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req_id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(PK)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permit_type_code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(FK)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subject_ref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site_id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requested_by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reason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doc_ref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**state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(draft·pending·approved·rejected·expired·used)**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**valid_until**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created_at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فهرس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(state,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site_id)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permit_requests</w:t>
            </w:r>
          </w:p>
        </w:tc>
      </w:tr>
      <w:t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rq_id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(PK)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permit_type_code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(FK)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**seq_no**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approver_role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mandatory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(TINYINT)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مصفوفةُ 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5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مُنمذَجةً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يُقرأ منها من يوافق وبأي ترتيب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permit_required_approvals</w:t>
            </w:r>
          </w:p>
        </w:tc>
      </w:tr>
      <w:t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act_id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(PK)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req_id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(FK)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rq_id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(FK)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approver_person_id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**auth_id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(FK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مرجعُ التفويض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decision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(approve·reject)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reason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at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**UQ(req_id,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rq_id)**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وقيدٌ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لا تُفتح خطوةٌ قبل اكتمال ما قبلها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permit_approval_actions</w:t>
            </w:r>
          </w:p>
        </w:tc>
      </w:tr>
      <w:t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hist_id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(PK)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req_id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(FK)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from_state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to_state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by_person_id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at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Insert-only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permit_status_history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60"/>
        <w:gridCol w:w="2500"/>
      </w:tblGrid>
      <w:tr>
        <w:trPr>
          <w:tblHeader/>
        </w:trP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مواصفتها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الخدمة</w:t>
            </w:r>
          </w:p>
        </w:tc>
      </w:tr>
      <w:t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**OrgAuthorityResolver**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Inputs: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الشخصُ والنطاقُ والتاريخ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Output: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تكليفاتُه النافذةُ وصلاحياتُها وسقوفُها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يُستدعى من حارس التفويض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(LEG-01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9)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قبل كل اعتماد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Validation: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تكليفٌ منتهٍ →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**403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مسجَّلة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نطاقٌ خارج التكليف →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403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مديرا حركةٍ لموقعٍ واحدٍ →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409**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① السلطة</w:t>
            </w:r>
          </w:p>
        </w:tc>
      </w:tr>
      <w:t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**AssignmentService**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إنشاءُ التكليف وتعديلُه ونقلُه وإنهاؤه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Validation: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بلا مدةٍ →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422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بلا نطاقٍ →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422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مصدرُ القرار ليس مديرَ التشغيل ولا التنفيذي →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403**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تداخلُ تكليفين لموقعٍ واحد →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409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Events: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`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AssignmentCreated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`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`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AssignmentEnded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`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`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DeputyActivated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`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② التكليف</w:t>
            </w:r>
          </w:p>
        </w:tc>
      </w:tr>
      <w:t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**AssignmentExpiryJob**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مسحٌ دوريٌّ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يُنهي التكليفاتِ المنقضيةَ آليًّا ويُسقط صلاحياتِها في اللحظة نفسِها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وتنبيهٌ قبل الانتهاء بثلاثين يومًا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Event: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`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AssignmentExpired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`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③ الانتهاء</w:t>
            </w:r>
          </w:p>
        </w:tc>
      </w:tr>
      <w:t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**DeputyResolver**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عند غياب المكلَّف أو انتهاء تكليفه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يفعّل النائبَ المعتمَدَ بسقفه ومدته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ولا نيابةَ بلا سجلٍّ ولا مفتوحةَ المدة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④ النيابة</w:t>
            </w:r>
          </w:p>
        </w:tc>
      </w:tr>
      <w:t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**PermitGate**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يُستدعى قبل كل دخولٍ أو خروجٍ أو تفعيلٍ أو إيقاف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يفحص وجودَ إذنٍ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مكتملِ الموافقات وساري المدة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لهذا الموضوع وهذا الموقع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وبلا إذنٍ مكتملٍ يُمنع الفعلُ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403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ويُسجَّل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Validation: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خطوةٌ قبل سابقتها →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409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موافقٌ بلا تفويضٍ ساري →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403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إذنٌ منتهٍ يُستعمل →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423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Events: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`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PermitApproved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`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`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PermitUsed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`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`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PermitExpired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`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⑤ حارس الأذونات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5F7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// مثال — POST /org/assignments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Request: { "person_id": 412, "assignment_type": "site_movement_mgr",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"scope": { "type": "site", "id": 18 },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"valid_from": "2026-08-05", "valid_to": "2027-08-04",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"deputy_person_id": 517, "decision_ref": "OPS-2026-041" }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Response 201: { "asg_id": 88, "state": "active",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"capabilities": ["unit.chain.approve.link1", "daily_plan.submit",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  "state_change.request", "site.entry.approve"],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"expires_in_days": 364 }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Errors: 409 مديرُ حركةٍ نشطٌ للموقع 18 · 422 بلا مدةٍ أو نطاق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      · 403 مصدرُ القرار غيرُ مخوَّل</w:t>
            </w:r>
          </w:p>
        </w:tc>
      </w:tr>
    </w:tbl>
    <w:p>
      <w:pPr>
        <w:pStyle w:val="Heading2"/>
        <w:bidi/>
        <w:spacing w:after="90" w:before="180" w:line="270"/>
        <w:jc w:val="right"/>
      </w:pPr>
      <w:r>
        <w:rPr>
          <w:rFonts w:ascii="Arial" w:cs="Arial" w:eastAsia="Arial" w:hAnsi="Arial"/>
          <w:b/>
          <w:bCs/>
          <w:color w:val="6B3FA0"/>
          <w:sz w:val="22"/>
          <w:szCs w:val="22"/>
          <w:rtl w:val="false"/>
        </w:rPr>
        <w:t xml:space="preserve">7.1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·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حالات اختبار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60"/>
        <w:gridCol w:w="2500"/>
      </w:tblGrid>
      <w:tr>
        <w:trPr>
          <w:tblHeader/>
        </w:trP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 w:val="false"/>
              </w:rPr>
              <w:t xml:space="preserve">Input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 ← 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 w:val="false"/>
              </w:rPr>
              <w:t xml:space="preserve">Expected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 w:val="false"/>
              </w:rPr>
              <w:t xml:space="preserve">Case</w:t>
            </w:r>
          </w:p>
        </w:tc>
      </w:tr>
      <w:t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تكليفُ مديرِ حركةٍ لموقعٍ له مديرٌ نشط ←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**409**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ولا يُنشأ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O1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 واحدٌ لكل موقع</w:t>
            </w:r>
          </w:p>
        </w:tc>
      </w:tr>
      <w:t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انتهاءُ مدة تكليفٍ ←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الصلاحيةُ تسقط في اللحظة نفسِها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ومحاولةُ اعتمادٍ بعده →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403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مسجَّلة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O2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 السقوط الآلي</w:t>
            </w:r>
          </w:p>
        </w:tc>
      </w:tr>
      <w:t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اعتمادُ مديرِ حركةٍ لواقعةٍ في موقعٍ خارج نطاقه ←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**403**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O3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 النطاق</w:t>
            </w:r>
          </w:p>
        </w:tc>
      </w:tr>
      <w:t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غيابُ المكلَّف ←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النائبُ يعمل بسقفه ومدته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وبلا نائبٍ معتمَدٍ تُرفع للأعلى ولا تتوقف السلسلة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O4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 النيابة</w:t>
            </w:r>
          </w:p>
        </w:tc>
      </w:tr>
      <w:t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محاولةُ مديرِ التشغيل تعديلَ بندِ عقدٍ أو سجلِّ أصلٍ ←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**403**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الطلبُ مسارٌ لا سلطة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O5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 حدُّ الاختصاص</w:t>
            </w:r>
          </w:p>
        </w:tc>
      </w:tr>
      <w:t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تكليفٌ بلا مدةٍ أو بلا نطاقٍ ←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**422**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O6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 الإلزاميات</w:t>
            </w:r>
          </w:p>
        </w:tc>
      </w:tr>
      <w:t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تكليفٌ موقعيٌّ بخطِّ تبعيةٍ واحدٍ ←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**422**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ولا بدّ من التشغيليِّ والفني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O6-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ب التبعية المزدوجة</w:t>
            </w:r>
          </w:p>
        </w:tc>
      </w:tr>
      <w:t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إجازةُ مسؤولِ صيانةِ موقعٍ ←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يعتمدها مديرُ الحركة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تشغيليًّا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وقرارُه الفنيُّ يعتمده مديرُ الصيانة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وإنهاءُ تكليفه لمديره المركزي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O6-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ج الخطان عمليًّا</w:t>
            </w:r>
          </w:p>
        </w:tc>
      </w:tr>
      <w:t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دخولُ معدةٍ بموافقةٍ واحدةٍ ←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يُرفض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403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من حارس الأذونات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حتى تكتمل الثلاث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الحركةُ والأسطولُ والصيانة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وتسجيلُ الدخول محجوبٌ لا مؤجَّل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O6-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د الأذونات المشتركة</w:t>
            </w:r>
          </w:p>
        </w:tc>
      </w:tr>
      <w:t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إذنٌ مكتملُ الموافقات لكن مدتُه انقضت ←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**423**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ويُطلب تجديدُه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O6-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هـ سريان الإذن</w:t>
            </w:r>
          </w:p>
        </w:tc>
      </w:tr>
      <w:t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إنهاءُ تكليفٍ بطلب المدير الفني ←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طلبٌ يُرفع ولا يُنفَّذ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والاعتمادُ من مصدر القرار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O6-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و إنهاء التكليف</w:t>
            </w:r>
          </w:p>
        </w:tc>
      </w:tr>
      <w:t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إنهاءُ تكليفٍ ←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سطرُ تدقيقٍ بقيمةِ قبل وبعد وسببٍ ومصدرِ قرار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ولا يُحذف السجل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O7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 السجل</w:t>
            </w:r>
          </w:p>
        </w:tc>
      </w:tr>
      <w:tr>
        <w:tc>
          <w:tcPr>
            <w:tcW w:type="dxa" w:w="68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مديرُ التشغيل يعتمد خطةَ موقعٍ ← تُسجَّل موافقتُه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بمرجع تكليفه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لا باسمه فقط</w:t>
            </w:r>
          </w:p>
        </w:tc>
        <w:tc>
          <w:tcPr>
            <w:tcW w:type="dxa" w:w="25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O8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 التوقيع بالتكليف</w:t>
            </w:r>
          </w:p>
        </w:tc>
      </w:tr>
    </w:tbl>
    <w:p>
      <w:pPr>
        <w:pStyle w:val="Heading1"/>
        <w:bidi/>
        <w:spacing w:after="120" w:before="260" w:line="280"/>
        <w:jc w:val="right"/>
      </w:pPr>
      <w:r>
        <w:rPr>
          <w:rFonts w:ascii="Arial" w:cs="Arial" w:eastAsia="Arial" w:hAnsi="Arial"/>
          <w:b/>
          <w:bCs/>
          <w:color w:val="1F4E79"/>
          <w:sz w:val="26"/>
          <w:szCs w:val="26"/>
          <w:rtl w:val="false"/>
        </w:rPr>
        <w:t xml:space="preserve">8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·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التوافق والقبول</w:t>
      </w:r>
    </w:p>
    <w:p>
      <w:pPr>
        <w:bidi/>
        <w:spacing w:after="70" w:line="266"/>
        <w:ind w:right="200"/>
        <w:jc w:val="both"/>
      </w:pP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• </w:t>
      </w: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التوافق —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بناءٌ إضافيٌّ فوق القائم</w:t>
      </w:r>
      <w:r>
        <w:rPr>
          <w:rFonts w:ascii="Arial" w:cs="Arial" w:eastAsia="Arial" w:hAnsi="Arial"/>
          <w:sz w:val="17"/>
          <w:szCs w:val="17"/>
          <w:rtl/>
        </w:rPr>
        <w:t xml:space="preserve">**:</w:t>
      </w:r>
      <w:r>
        <w:rPr>
          <w:rFonts w:ascii="Arial" w:cs="Arial" w:eastAsia="Arial" w:hAnsi="Arial"/>
          <w:sz w:val="17"/>
          <w:szCs w:val="17"/>
          <w:rtl/>
        </w:rPr>
        <w:t xml:space="preserve"> مصفوفةُ الصلاحيات تبقى وتُقرأ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وسلّمُ الموافقات </w:t>
      </w:r>
      <w:r>
        <w:rPr>
          <w:rFonts w:ascii="Arial" w:cs="Arial" w:eastAsia="Arial" w:hAnsi="Arial"/>
          <w:sz w:val="17"/>
          <w:szCs w:val="17"/>
          <w:rtl w:val="false"/>
        </w:rPr>
        <w:t xml:space="preserve">(GOV-01</w:t>
      </w:r>
      <w:r>
        <w:rPr>
          <w:rFonts w:ascii="Arial" w:cs="Arial" w:eastAsia="Arial" w:hAnsi="Arial"/>
          <w:sz w:val="17"/>
          <w:szCs w:val="17"/>
          <w:rtl/>
        </w:rPr>
        <w:t xml:space="preserve"> §</w:t>
      </w:r>
      <w:r>
        <w:rPr>
          <w:rFonts w:ascii="Arial" w:cs="Arial" w:eastAsia="Arial" w:hAnsi="Arial"/>
          <w:sz w:val="17"/>
          <w:szCs w:val="17"/>
          <w:rtl w:val="false"/>
        </w:rPr>
        <w:t xml:space="preserve">4)</w:t>
      </w:r>
      <w:r>
        <w:rPr>
          <w:rFonts w:ascii="Arial" w:cs="Arial" w:eastAsia="Arial" w:hAnsi="Arial"/>
          <w:sz w:val="17"/>
          <w:szCs w:val="17"/>
          <w:rtl/>
        </w:rPr>
        <w:t xml:space="preserve"> يبقى ويُغذّى من هنا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والتفويضُ بالتوقيع </w:t>
      </w:r>
      <w:r>
        <w:rPr>
          <w:rFonts w:ascii="Arial" w:cs="Arial" w:eastAsia="Arial" w:hAnsi="Arial"/>
          <w:sz w:val="17"/>
          <w:szCs w:val="17"/>
          <w:rtl w:val="false"/>
        </w:rPr>
        <w:t xml:space="preserve">(LEG-01</w:t>
      </w:r>
      <w:r>
        <w:rPr>
          <w:rFonts w:ascii="Arial" w:cs="Arial" w:eastAsia="Arial" w:hAnsi="Arial"/>
          <w:sz w:val="17"/>
          <w:szCs w:val="17"/>
          <w:rtl/>
        </w:rPr>
        <w:t xml:space="preserve"> §</w:t>
      </w:r>
      <w:r>
        <w:rPr>
          <w:rFonts w:ascii="Arial" w:cs="Arial" w:eastAsia="Arial" w:hAnsi="Arial"/>
          <w:sz w:val="17"/>
          <w:szCs w:val="17"/>
          <w:rtl w:val="false"/>
        </w:rPr>
        <w:t xml:space="preserve">4)</w:t>
      </w:r>
      <w:r>
        <w:rPr>
          <w:rFonts w:ascii="Arial" w:cs="Arial" w:eastAsia="Arial" w:hAnsi="Arial"/>
          <w:sz w:val="17"/>
          <w:szCs w:val="17"/>
          <w:rtl/>
        </w:rPr>
        <w:t xml:space="preserve"> هو الغلافُ القانونيُّ لهذه التكليفات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— فالتكليفُ سلطةٌ تنظيميةٌ والتفويضُ أثرُها القانوني،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ويُربطان بمفتاحٍ فلا يُعتمد بتكليفٍ بلا تفويضٍ ساري</w:t>
      </w:r>
      <w:r>
        <w:rPr>
          <w:rFonts w:ascii="Arial" w:cs="Arial" w:eastAsia="Arial" w:hAnsi="Arial"/>
          <w:sz w:val="17"/>
          <w:szCs w:val="17"/>
          <w:rtl/>
        </w:rPr>
        <w:t xml:space="preserve">**.</w:t>
      </w:r>
    </w:p>
    <w:p>
      <w:pPr>
        <w:bidi/>
        <w:spacing w:after="70" w:line="266"/>
        <w:ind w:right="200"/>
        <w:jc w:val="both"/>
      </w:pP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• </w:t>
      </w: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الترتيبُ من الحزمة —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في البوابة الأولى مع `</w:t>
      </w:r>
      <w:r>
        <w:rPr>
          <w:rFonts w:ascii="Arial" w:cs="Arial" w:eastAsia="Arial" w:hAnsi="Arial"/>
          <w:sz w:val="17"/>
          <w:szCs w:val="17"/>
          <w:rtl w:val="false"/>
        </w:rPr>
        <w:t xml:space="preserve">LEG-01</w:t>
      </w:r>
      <w:r>
        <w:rPr>
          <w:rFonts w:ascii="Arial" w:cs="Arial" w:eastAsia="Arial" w:hAnsi="Arial"/>
          <w:sz w:val="17"/>
          <w:szCs w:val="17"/>
          <w:rtl/>
        </w:rPr>
        <w:t xml:space="preserve">`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— لأن سلسلةَ الاعتماد لا تبدأ بلا مدير حركةٍ مكلَّف </w:t>
      </w:r>
      <w:r>
        <w:rPr>
          <w:rFonts w:ascii="Arial" w:cs="Arial" w:eastAsia="Arial" w:hAnsi="Arial"/>
          <w:sz w:val="17"/>
          <w:szCs w:val="17"/>
          <w:rtl/>
        </w:rPr>
        <w:t xml:space="preserve">(</w:t>
      </w:r>
      <w:r>
        <w:rPr>
          <w:rFonts w:ascii="Arial" w:cs="Arial" w:eastAsia="Arial" w:hAnsi="Arial"/>
          <w:sz w:val="17"/>
          <w:szCs w:val="17"/>
          <w:rtl/>
        </w:rPr>
        <w:t xml:space="preserve">وهو القرار ① في `</w:t>
      </w:r>
      <w:r>
        <w:rPr>
          <w:rFonts w:ascii="Arial" w:cs="Arial" w:eastAsia="Arial" w:hAnsi="Arial"/>
          <w:sz w:val="17"/>
          <w:szCs w:val="17"/>
          <w:rtl w:val="false"/>
        </w:rPr>
        <w:t xml:space="preserve">DEC-01</w:t>
      </w:r>
      <w:r>
        <w:rPr>
          <w:rFonts w:ascii="Arial" w:cs="Arial" w:eastAsia="Arial" w:hAnsi="Arial"/>
          <w:sz w:val="17"/>
          <w:szCs w:val="17"/>
          <w:rtl/>
        </w:rPr>
        <w:t xml:space="preserve">`</w:t>
      </w:r>
      <w:r>
        <w:rPr>
          <w:rFonts w:ascii="Arial" w:cs="Arial" w:eastAsia="Arial" w:hAnsi="Arial"/>
          <w:sz w:val="17"/>
          <w:szCs w:val="17"/>
          <w:rtl/>
        </w:rPr>
        <w:t xml:space="preserve">).</w:t>
      </w:r>
    </w:p>
    <w:p>
      <w:pPr>
        <w:bidi/>
        <w:spacing w:after="70" w:line="266"/>
        <w:ind w:right="200"/>
        <w:jc w:val="both"/>
      </w:pP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• </w:t>
      </w: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القبول —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صفرُ مجالٍ بلا تبعيةٍ في المصفوفة </w:t>
      </w:r>
      <w:r>
        <w:rPr>
          <w:rFonts w:ascii="Arial" w:cs="Arial" w:eastAsia="Arial" w:hAnsi="Arial"/>
          <w:sz w:val="17"/>
          <w:szCs w:val="17"/>
          <w:rtl/>
        </w:rPr>
        <w:t xml:space="preserve">(</w:t>
      </w:r>
      <w:r>
        <w:rPr>
          <w:rFonts w:ascii="Arial" w:cs="Arial" w:eastAsia="Arial" w:hAnsi="Arial"/>
          <w:sz w:val="17"/>
          <w:szCs w:val="17"/>
          <w:rtl/>
        </w:rPr>
        <w:t xml:space="preserve">§</w:t>
      </w:r>
      <w:r>
        <w:rPr>
          <w:rFonts w:ascii="Arial" w:cs="Arial" w:eastAsia="Arial" w:hAnsi="Arial"/>
          <w:sz w:val="17"/>
          <w:szCs w:val="17"/>
          <w:rtl w:val="false"/>
        </w:rPr>
        <w:t xml:space="preserve">1.1)**</w:t>
      </w:r>
      <w:r>
        <w:rPr>
          <w:rFonts w:ascii="Arial" w:cs="Arial" w:eastAsia="Arial" w:hAnsi="Arial"/>
          <w:sz w:val="17"/>
          <w:szCs w:val="17"/>
          <w:rtl/>
        </w:rPr>
        <w:t xml:space="preserve">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صفرُ تكليفٍ موقعيٍّ بخطِّ تبعيةٍ واحد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صفرُ إذنٍ مشتركٍ نُفّذ منفردًا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و`</w:t>
      </w:r>
      <w:r>
        <w:rPr>
          <w:rFonts w:ascii="Arial" w:cs="Arial" w:eastAsia="Arial" w:hAnsi="Arial"/>
          <w:sz w:val="17"/>
          <w:szCs w:val="17"/>
          <w:rtl w:val="false"/>
        </w:rPr>
        <w:t xml:space="preserve">head_person_id</w:t>
      </w:r>
      <w:r>
        <w:rPr>
          <w:rFonts w:ascii="Arial" w:cs="Arial" w:eastAsia="Arial" w:hAnsi="Arial"/>
          <w:sz w:val="17"/>
          <w:szCs w:val="17"/>
          <w:rtl/>
        </w:rPr>
        <w:t xml:space="preserve">` مشتقٌّ لا يُكتب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صفرُ موقعٍ بلا مدير حركةٍ نشط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صفرُ تكليفٍ مفتوح المدة أو النطاق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صفرُ اعتمادٍ بتكليفٍ منتهٍ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صفرُ موقعٍ بمديرَي حركةٍ نشطين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وكلُّ اعتمادٍ تشغيليٍّ يحمل مرجعَ تكليف معتمِده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ولوحةُ مدير التشغيل تعرض ما ينتظر قرارَه بالساعات لا بالعدد فقط</w:t>
      </w:r>
      <w:r>
        <w:rPr>
          <w:rFonts w:ascii="Arial" w:cs="Arial" w:eastAsia="Arial" w:hAnsi="Arial"/>
          <w:sz w:val="17"/>
          <w:szCs w:val="17"/>
          <w:rtl/>
        </w:rPr>
        <w:t xml:space="preserve">**.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1E7B34" w:sz="12"/>
            </w:tcBorders>
            <w:shd w:fill="EAF6EC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1E7B34"/>
                <w:sz w:val="17"/>
                <w:szCs w:val="17"/>
                <w:rtl/>
              </w:rPr>
              <w:t xml:space="preserve">خلاصة الوثيقة </w:t>
            </w:r>
            <w:r>
              <w:rPr>
                <w:rFonts w:ascii="Arial" w:cs="Arial" w:eastAsia="Arial" w:hAnsi="Arial"/>
                <w:b/>
                <w:bCs/>
                <w:color w:val="1E7B34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1E7B34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السلطةُ في هذا النظام ليست حقلًا في قائمة صلاحيات — هي تكليفٌ له نطاقٌ ومدةٌ ومصدرُ قرارٍ ونائبٌ وسجل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ومن كُلِّف عرف حدَّه، ومن انتهى تكليفُه سقطت صلاحيتُه بلا تدخل،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ومن اعتمد فقد وقّع بمرجع تكليفه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— وهذا وحده يفصل بين شركةٍ تُدار بالنظام وشركةٍ تُدار بالعُرف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</w:t>
            </w:r>
          </w:p>
        </w:tc>
      </w:tr>
    </w:tbl>
    <w:p>
      <w:pPr>
        <w:spacing w:after="160"/>
      </w:pPr>
    </w:p>
    <w:p>
      <w:pPr>
        <w:bidi/>
        <w:spacing w:after="0" w:line="276"/>
        <w:jc w:val="center"/>
      </w:pPr>
      <w:r>
        <w:rPr>
          <w:rFonts w:ascii="Arial" w:cs="Arial" w:eastAsia="Arial" w:hAnsi="Arial"/>
          <w:b/>
          <w:bCs/>
          <w:color w:val="1F4E79"/>
          <w:sz w:val="19"/>
          <w:szCs w:val="19"/>
          <w:rtl/>
        </w:rPr>
        <w:t xml:space="preserve">نهاية الوثيقة · الهيكل التشغيلي والتكليفات التنظيمية</w:t>
      </w:r>
    </w:p>
    <w:sectPr>
      <w:headerReference w:type="default" r:id="rId7"/>
      <w:footerReference w:type="default" r:id="rId8"/>
      <w:pgSz w:w="11906" w:h="16838" w:orient="portrait"/>
      <w:pgMar w:top="1180" w:right="1120" w:bottom="1120" w:left="1120" w:header="640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3DF" w:sz="2" w:space="2"/>
      </w:pBdr>
      <w:bidi/>
      <w:spacing w:before="0" w:line="200"/>
      <w:jc w:val="center"/>
    </w:pPr>
    <w:r>
      <w:rPr>
        <w:rFonts w:ascii="Arial" w:cs="Arial" w:eastAsia="Arial" w:hAnsi="Arial"/>
        <w:color w:val="8A94A0"/>
        <w:sz w:val="14"/>
        <w:szCs w:val="14"/>
        <w:rtl w:val="false"/>
      </w:rPr>
      <w:t xml:space="preserve">EQUIP-ORG-01-EMS · v1.0 · </w:t>
    </w:r>
    <w:r>
      <w:rPr>
        <w:rFonts w:ascii="Arial" w:cs="Arial" w:eastAsia="Arial" w:hAnsi="Arial"/>
        <w:color w:val="8A94A0"/>
        <w:sz w:val="14"/>
        <w:szCs w:val="14"/>
        <w:rtl/>
      </w:rPr>
      <w:t xml:space="preserve">صفحة </w:t>
    </w:r>
    <w:r>
      <w:rPr>
        <w:rFonts w:ascii="Arial" w:cs="Arial" w:eastAsia="Arial" w:hAnsi="Arial"/>
        <w:color w:val="8A94A0"/>
        <w:sz w:val="14"/>
        <w:szCs w:val="14"/>
        <w:rtl w:val="false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A94A0"/>
        <w:sz w:val="14"/>
        <w:szCs w:val="14"/>
        <w:rtl w:val="false"/>
      </w:rPr>
      <w:t xml:space="preserve"> / </w:t>
    </w:r>
    <w:r>
      <w:rPr>
        <w:rFonts w:ascii="Arial" w:cs="Arial" w:eastAsia="Arial" w:hAnsi="Arial"/>
        <w:color w:val="8A94A0"/>
        <w:sz w:val="14"/>
        <w:szCs w:val="14"/>
        <w:rtl w:val="false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3DF" w:sz="2" w:space="2"/>
      </w:pBdr>
      <w:bidi/>
      <w:spacing w:after="0" w:line="200"/>
      <w:jc w:val="right"/>
    </w:pPr>
    <w:r>
      <w:rPr>
        <w:rFonts w:ascii="Arial" w:cs="Arial" w:eastAsia="Arial" w:hAnsi="Arial"/>
        <w:color w:val="8A94A0"/>
        <w:sz w:val="14"/>
        <w:szCs w:val="14"/>
        <w:rtl/>
      </w:rPr>
      <w:t xml:space="preserve">مجموعة إكيوبيشن · الهيكل التشغيلي والتكليفات التنظيمية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1F4E79"/>
      <w:sz w:val="26"/>
      <w:szCs w:val="26"/>
    </w:rPr>
  </w:style>
  <w:style w:type="paragraph" w:styleId="Heading2">
    <w:name w:val="Heading 2"/>
    <w:basedOn w:val="Normal"/>
    <w:next w:val="Normal"/>
    <w:qFormat/>
    <w:rPr>
      <w:rFonts w:ascii="Arial" w:cs="Arial" w:eastAsia="Arial" w:hAnsi="Arial"/>
      <w:b/>
      <w:bCs/>
      <w:color w:val="6B3FA0"/>
      <w:sz w:val="22"/>
      <w:szCs w:val="22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ORG-01</dc:title>
  <dc:creator>EQUIPATION</dc:creator>
  <cp:lastModifiedBy>Un-named</cp:lastModifiedBy>
  <cp:revision>1</cp:revision>
  <dcterms:created xsi:type="dcterms:W3CDTF">2026-08-02T05:31:00.015Z</dcterms:created>
  <dcterms:modified xsi:type="dcterms:W3CDTF">2026-08-02T05:31:00.015Z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