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80"/>
        <w:jc w:val="right"/>
      </w:pPr>
      <w:r>
        <w:rPr>
          <w:rFonts w:ascii="Segoe UI" w:cs="Segoe UI" w:eastAsia="Segoe UI" w:hAnsi="Segoe UI"/>
          <w:b/>
          <w:bCs/>
          <w:sz w:val="34"/>
          <w:szCs w:val="34"/>
          <w:rtl/>
        </w:rPr>
        <w:t xml:space="preserve">لماذا تظهر لإدارة التشغيل روابطُ أكثرَ ممّا في الدليل المعماري؟</w:t>
      </w:r>
    </w:p>
    <w:p>
      <w:pPr>
        <w:bidi/>
        <w:spacing w:after="260"/>
        <w:jc w:val="right"/>
      </w:pPr>
      <w:r>
        <w:rPr>
          <w:rFonts w:ascii="Segoe UI" w:cs="Segoe UI" w:eastAsia="Segoe UI" w:hAnsi="Segoe UI"/>
          <w:color w:val="5A6B7D"/>
          <w:sz w:val="20"/>
          <w:szCs w:val="20"/>
          <w:rtl/>
        </w:rPr>
        <w:t xml:space="preserve">تقريرٌ تفصيليٌّ مبنيٌّ على قياسٍ حيٍّ للنظام — نظام إنجاز · 2026-09-01</w:t>
      </w:r>
    </w:p>
    <w:p>
      <w:pPr>
        <w:pStyle w:val="Heading1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① الخلاصة في سطرين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سايدبار إدارة التشغيل يعرض </w:t>
      </w:r>
      <w:r>
        <w:rPr>
          <w:rFonts w:ascii="Segoe UI" w:cs="Segoe UI" w:eastAsia="Segoe UI" w:hAnsi="Segoe UI"/>
          <w:b/>
          <w:bCs/>
          <w:rtl/>
        </w:rPr>
        <w:t xml:space="preserve">89 رابطًا</w:t>
      </w:r>
      <w:r>
        <w:rPr>
          <w:rFonts w:ascii="Segoe UI" w:cs="Segoe UI" w:eastAsia="Segoe UI" w:hAnsi="Segoe UI"/>
          <w:rtl/>
        </w:rPr>
        <w:t xml:space="preserve">، بينما ورقة «إدارة التشغيل» في الدليل المعماري ترسم </w:t>
      </w:r>
      <w:r>
        <w:rPr>
          <w:rFonts w:ascii="Segoe UI" w:cs="Segoe UI" w:eastAsia="Segoe UI" w:hAnsi="Segoe UI"/>
          <w:b/>
          <w:bCs/>
          <w:rtl/>
        </w:rPr>
        <w:t xml:space="preserve">12 شاشة</w:t>
      </w:r>
      <w:r>
        <w:rPr>
          <w:rFonts w:ascii="Segoe UI" w:cs="Segoe UI" w:eastAsia="Segoe UI" w:hAnsi="Segoe UI"/>
          <w:rtl/>
        </w:rPr>
        <w:t xml:space="preserve"> فقط.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والفارق ليس عطبًا ولا خطأ تنفيذ: </w:t>
      </w:r>
      <w:r>
        <w:rPr>
          <w:rFonts w:ascii="Segoe UI" w:cs="Segoe UI" w:eastAsia="Segoe UI" w:hAnsi="Segoe UI"/>
          <w:b/>
          <w:bCs/>
          <w:rtl/>
        </w:rPr>
        <w:t xml:space="preserve">السايدبار يجمع خمس طبقاتٍ مختلفة، والدليل المعماري يصف طبقةً واحدةً منها فقط</w:t>
      </w:r>
      <w:r>
        <w:rPr>
          <w:rFonts w:ascii="Segoe UI" w:cs="Segoe UI" w:eastAsia="Segoe UI" w:hAnsi="Segoe UI"/>
          <w:rtl/>
        </w:rPr>
        <w:t xml:space="preserve"> — وهي طبقة دورة العمل الخاصة بالإدارة. أمّا الطبقات الأربع الأخرى فمصادرها الحاكمة مختلفة تمامًا.</w:t>
      </w:r>
    </w:p>
    <w:p>
      <w:pPr>
        <w:bidi/>
        <w:spacing w:after="12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② تشريح الـ89 رابطًا — أين يقف كلٌّ منها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هذا القياس مأخوذ من تصيير السايدبار الفعلي بجلسة دور إدارة التشغيل — لا من جدولٍ في قاعدة البيانات: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rtl/>
        </w:rPr>
        <w:t xml:space="preserve"/>
      </w:r>
    </w:p>
    <w:tbl>
      <w:tblPr>
        <w:bidiVisual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900"/>
        <w:gridCol w:w="900"/>
        <w:gridCol w:w="4660"/>
      </w:tblGrid>
      <w:tr>
        <w:trPr>
          <w:tblHeader/>
        </w:trPr>
        <w:tc>
          <w:tcPr>
            <w:tcW w:type="dxa" w:w="29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الطبقة</w:t>
            </w:r>
          </w:p>
        </w:tc>
        <w:tc>
          <w:tcPr>
            <w:tcW w:type="dxa" w:w="9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9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النسبة</w:t>
            </w:r>
          </w:p>
        </w:tc>
        <w:tc>
          <w:tcPr>
            <w:tcW w:type="dxa" w:w="466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مصدرها الحاكم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① الدليل — ورقة الإدارة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12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13٪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01 · الدليل المعماري — ورقة DEP-11</w:t>
            </w:r>
          </w:p>
        </w:tc>
      </w:tr>
      <w:tr>
        <w:tc>
          <w:tcPr>
            <w:tcW w:type="dxa" w:w="2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② المرساة — الدستور §6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2٪</w:t>
            </w:r>
          </w:p>
        </w:tc>
        <w:tc>
          <w:tcPr>
            <w:tcW w:type="dxa" w:w="46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الدستور: الرئيسية والمراسلات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③ الشخصية — مساحة عملي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7٪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ورقة «مساحة عملي» WS-MY</w:t>
            </w:r>
          </w:p>
        </w:tc>
      </w:tr>
      <w:tr>
        <w:tc>
          <w:tcPr>
            <w:tcW w:type="dxa" w:w="2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④ المستعارة — إدارة أخرى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43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48٪</w:t>
            </w:r>
          </w:p>
        </w:tc>
        <w:tc>
          <w:tcPr>
            <w:tcW w:type="dxa" w:w="46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أوراق إداراتٍ أخرى في الدليل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⑤ الإرث — التصنيف القديم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26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29٪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لا ورقة له — سابقٌ للدليل</w:t>
            </w:r>
          </w:p>
        </w:tc>
      </w:tr>
      <w:tr>
        <w:tc>
          <w:tcPr>
            <w:tcW w:type="dxa" w:w="2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المجموع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89</w:t>
            </w:r>
          </w:p>
        </w:tc>
        <w:tc>
          <w:tcPr>
            <w:tcW w:type="dxa" w:w="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100٪</w:t>
            </w:r>
          </w:p>
        </w:tc>
        <w:tc>
          <w:tcPr>
            <w:tcW w:type="dxa" w:w="46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bidi/>
        <w:spacing w:after="16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والقراءة المهمّة: </w:t>
      </w:r>
      <w:r>
        <w:rPr>
          <w:rFonts w:ascii="Segoe UI" w:cs="Segoe UI" w:eastAsia="Segoe UI" w:hAnsi="Segoe UI"/>
          <w:b/>
          <w:bCs/>
          <w:rtl/>
        </w:rPr>
        <w:t xml:space="preserve">طبقة الدليل مطابقةٌ تمامًا — 12 من 12</w:t>
      </w:r>
      <w:r>
        <w:rPr>
          <w:rFonts w:ascii="Segoe UI" w:cs="Segoe UI" w:eastAsia="Segoe UI" w:hAnsi="Segoe UI"/>
          <w:rtl/>
        </w:rPr>
        <w:t xml:space="preserve">. فالمشكلة ليست نقصًا في تنفيذ الدليل، بل زيادةً عليه مصدرها طبقاتٌ أخرى.</w:t>
      </w:r>
    </w:p>
    <w:p>
      <w:pPr>
        <w:pBdr>
          <w:bottom w:val="single" w:color="C7D2DD" w:sz="6"/>
        </w:pBdr>
        <w:bidi/>
        <w:spacing w:after="160" w:before="6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③ الطبقات الخمس — شرح كلٍّ منها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الطبقة ① — الدليل المعماري (12 رابطًا)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هذه هي دورة عمل إدارة التشغيل كما رسمتها ورقة الإدارة في الدليل: من التخطيط والتوزيع الشهري، إلى اليوم التشغيلي، إلى اعتماد الوحدات ومطابقتها، إلى انحرافات التشغيل واستثناءاته، وأخيرًا الإقفال الشهري والتقارير.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حالتها: </w:t>
      </w:r>
      <w:r>
        <w:rPr>
          <w:rFonts w:ascii="Segoe UI" w:cs="Segoe UI" w:eastAsia="Segoe UI" w:hAnsi="Segoe UI"/>
          <w:b/>
          <w:bCs/>
          <w:rtl/>
        </w:rPr>
        <w:t xml:space="preserve">مطابقة 100٪</w:t>
      </w:r>
      <w:r>
        <w:rPr>
          <w:rFonts w:ascii="Segoe UI" w:cs="Segoe UI" w:eastAsia="Segoe UI" w:hAnsi="Segoe UI"/>
          <w:rtl/>
        </w:rPr>
        <w:t xml:space="preserve"> — كل شاشة في مجموعتها الصحيحة وترتيبها الصحيح، والاسم المعروض هو الاسم الحاكم.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الطبقة ② — مرساتا الدستور (رابطان)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«الرئيسية» و«المراسلات». نصَّ الدستور في مادته السادسة على أنهما أول ما يراه أي مستخدم في أي سايدبار. وقياسها يؤكد ذلك: تظهران في 18 مساحة عمل من أصل 18.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حالتها: </w:t>
      </w:r>
      <w:r>
        <w:rPr>
          <w:rFonts w:ascii="Segoe UI" w:cs="Segoe UI" w:eastAsia="Segoe UI" w:hAnsi="Segoe UI"/>
          <w:b/>
          <w:bCs/>
          <w:rtl/>
        </w:rPr>
        <w:t xml:space="preserve">تبقى — ولا تُضاف إلى ورقة إدارة</w:t>
      </w:r>
      <w:r>
        <w:rPr>
          <w:rFonts w:ascii="Segoe UI" w:cs="Segoe UI" w:eastAsia="Segoe UI" w:hAnsi="Segoe UI"/>
          <w:rtl/>
        </w:rPr>
        <w:t xml:space="preserve">، لأنها ليست شاشة إدارةٍ بل مرساة منصّة.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الطبقة ③ — المساحة الشخصية (6 روابط)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بنود المستخدم نفسِه لا إدارتِه: «مؤشرات الإنجاز الشخصي» و«البوابة الشخصية» و«المهام المسنَدة» و«الطلبات المقدَّمة» و«البلاغات المسجَّلة» و«الصفات الوظيفية». مصدرها ورقة «مساحة عملي» في الدليل، وهي ورقة مستقلة عن أوراق الإدارات.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حالتها: </w:t>
      </w:r>
      <w:r>
        <w:rPr>
          <w:rFonts w:ascii="Segoe UI" w:cs="Segoe UI" w:eastAsia="Segoe UI" w:hAnsi="Segoe UI"/>
          <w:b/>
          <w:bCs/>
          <w:rtl/>
        </w:rPr>
        <w:t xml:space="preserve">تبقى بحكمٍ قائم</w:t>
      </w:r>
      <w:r>
        <w:rPr>
          <w:rFonts w:ascii="Segoe UI" w:cs="Segoe UI" w:eastAsia="Segoe UI" w:hAnsi="Segoe UI"/>
          <w:rtl/>
        </w:rPr>
        <w:t xml:space="preserve"> — تظهر لكل دور في النظام، وهذا مقصود.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الطبقة ④ — الشاشات المستعارة (43 رابطًا — أكبر طبقة)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هذه شاشاتٌ مملوكةٌ لإداراتٍ أخرى وتظهر في سايدبار التشغيل لحاجة عمل. أمثلة: «الموظفون والمشغلون» (8 روابط من إدارة الموارد البشرية) و«المالية والمحاسبة» (7 روابط) و«الحوكمة والتدقيق» (7 روابط) و«الخزينة والتمويل» (5 روابط).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حالتها: </w:t>
      </w:r>
      <w:r>
        <w:rPr>
          <w:rFonts w:ascii="Segoe UI" w:cs="Segoe UI" w:eastAsia="Segoe UI" w:hAnsi="Segoe UI"/>
          <w:b/>
          <w:bCs/>
          <w:rtl/>
        </w:rPr>
        <w:t xml:space="preserve">تحتاج مراجعة</w:t>
      </w:r>
      <w:r>
        <w:rPr>
          <w:rFonts w:ascii="Segoe UI" w:cs="Segoe UI" w:eastAsia="Segoe UI" w:hAnsi="Segoe UI"/>
          <w:rtl/>
        </w:rPr>
        <w:t xml:space="preserve"> — قد تكون استعارةً مشروعةً يحتاجها مدير التشغيل فعلًا، وقد تكون زيادةً تُخفى. </w:t>
      </w:r>
      <w:r>
        <w:rPr>
          <w:rFonts w:ascii="Segoe UI" w:cs="Segoe UI" w:eastAsia="Segoe UI" w:hAnsi="Segoe UI"/>
          <w:b/>
          <w:bCs/>
          <w:rtl/>
        </w:rPr>
        <w:t xml:space="preserve">والقرار في كل حالة قرارُ عملٍ لا قرارُ برمجة.</w:t>
      </w:r>
    </w:p>
    <w:p>
      <w:pPr>
        <w:pStyle w:val="Heading2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الطبقة ⑤ — الإرث القديم (26 رابطًا)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وهذه هي جوهر السؤال. هذه روابطُ بُنيت قبل أن يوجد الدليل المعماري أصلًا. النظام لم يُبنَ من الدليل — الدليلُ كُتب لاحقًا ليصف ما يجب أن يكون، فما كان موجودًا قبله بقي في مكانه.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من أمثلتها في سايدبار التشغيل: «تسجيل التايم شيت والإنتاج» و«أوامر الصيانة» و«طلب تبديل» و«الإنتاج والقياس» و«التوقفات وتحديد المتحمل».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هذه شاشاتٌ تعمل ويستعملها موظفوك كل يوم — </w:t>
      </w:r>
      <w:r>
        <w:rPr>
          <w:rFonts w:ascii="Segoe UI" w:cs="Segoe UI" w:eastAsia="Segoe UI" w:hAnsi="Segoe UI"/>
          <w:b/>
          <w:bCs/>
          <w:rtl/>
        </w:rPr>
        <w:t xml:space="preserve">لكن ورقة DEP-11 في الدليل لا تذكرها.</w:t>
      </w:r>
    </w:p>
    <w:p>
      <w:pPr>
        <w:pBdr>
          <w:bottom w:val="single" w:color="C7D2DD" w:sz="6"/>
        </w:pBdr>
        <w:bidi/>
        <w:spacing w:after="160" w:before="6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④ لماذا لم تُحذف طبقة الإرث؟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لأن حذفها قرارٌ تجاريٌّ لا هندسي. لكل رابطٍ منها احتمالان لا ثالث لهما: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rtl/>
        </w:rPr>
        <w:t xml:space="preserve"/>
      </w:r>
    </w:p>
    <w:tbl>
      <w:tblPr>
        <w:bidiVisual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الاحتمال</w:t>
            </w:r>
          </w:p>
        </w:tc>
        <w:tc>
          <w:tcPr>
            <w:tcW w:type="dxa" w:w="34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ماذا يعني</w:t>
            </w:r>
          </w:p>
        </w:tc>
        <w:tc>
          <w:tcPr>
            <w:tcW w:type="dxa" w:w="336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العلاج الصحيح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شاشة لا تزال مطلوبة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الدليل نسيها أو لم يصفها بعد</w:t>
            </w:r>
          </w:p>
        </w:tc>
        <w:tc>
          <w:tcPr>
            <w:tcW w:type="dxa" w:w="3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تُضاف إلى الدليل المعماري</w:t>
            </w:r>
          </w:p>
        </w:tc>
      </w:tr>
      <w:tr>
        <w:tc>
          <w:tcPr>
            <w:tcW w:type="dxa" w:w="26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شاشة تجاوزها التصميم الجديد</w:t>
            </w:r>
          </w:p>
        </w:tc>
        <w:tc>
          <w:tcPr>
            <w:tcW w:type="dxa" w:w="34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لها بديلٌ في دورة العمل الجديدة</w:t>
            </w:r>
          </w:p>
        </w:tc>
        <w:tc>
          <w:tcPr>
            <w:tcW w:type="dxa" w:w="33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تُخفى بحكمٍ مكتوب ومؤرَّخ</w:t>
            </w:r>
          </w:p>
        </w:tc>
      </w:tr>
    </w:tbl>
    <w:p>
      <w:pPr>
        <w:bidi/>
        <w:spacing w:after="16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ولا أحد يعرف أيَّهما إلا صاحب العمل. </w:t>
      </w:r>
      <w:r>
        <w:rPr>
          <w:rFonts w:ascii="Segoe UI" w:cs="Segoe UI" w:eastAsia="Segoe UI" w:hAnsi="Segoe UI"/>
          <w:b/>
          <w:bCs/>
          <w:rtl/>
        </w:rPr>
        <w:t xml:space="preserve">فحملة الإصلاح لا تملك أن تُخفي شاشةً يستعملها الناس بحجة أنها ليست في ورقة</w:t>
      </w:r>
      <w:r>
        <w:rPr>
          <w:rFonts w:ascii="Segoe UI" w:cs="Segoe UI" w:eastAsia="Segoe UI" w:hAnsi="Segoe UI"/>
          <w:rtl/>
        </w:rPr>
        <w:t xml:space="preserve"> — وإخفاء نصف شاشات موظفٍ صباحًا بلا سابق إنذار ضررٌ أكبر من بقاء رابطٍ زائد.</w:t>
      </w:r>
    </w:p>
    <w:p>
      <w:pPr>
        <w:bidi/>
        <w:spacing w:after="12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ولذلك أضافت الحملةُ طبقةَ دورة العمل الجديدة </w:t>
      </w:r>
      <w:r>
        <w:rPr>
          <w:rFonts w:ascii="Segoe UI" w:cs="Segoe UI" w:eastAsia="Segoe UI" w:hAnsi="Segoe UI"/>
          <w:b/>
          <w:bCs/>
          <w:rtl/>
        </w:rPr>
        <w:t xml:space="preserve">فوق</w:t>
      </w:r>
      <w:r>
        <w:rPr>
          <w:rFonts w:ascii="Segoe UI" w:cs="Segoe UI" w:eastAsia="Segoe UI" w:hAnsi="Segoe UI"/>
          <w:rtl/>
        </w:rPr>
        <w:t xml:space="preserve"> الطبقة القديمة ولم تنزعها — وهذا قرارٌ مقصود لا إهمال.</w:t>
      </w:r>
    </w:p>
    <w:p>
      <w:pPr>
        <w:pBdr>
          <w:bottom w:val="single" w:color="C7D2DD" w:sz="6"/>
        </w:pBdr>
        <w:bidi/>
        <w:spacing w:after="160" w:before="6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⑤ لماذا تقول لوحة القياس «مطابقة 17/17» ولا تناقض ذلك؟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مقياس EXACT_DEPARTMENT_NAV_CONFORMANCE يساوي 17/17، وهو صادقٌ ولا يتعارض مع هذا التقرير — لأنه يجيب سؤالًا مختلفًا: </w:t>
      </w:r>
      <w:r>
        <w:rPr>
          <w:rFonts w:ascii="Segoe UI" w:cs="Segoe UI" w:eastAsia="Segoe UI" w:hAnsi="Segoe UI"/>
          <w:b/>
          <w:bCs/>
          <w:rtl/>
        </w:rPr>
        <w:t xml:space="preserve">«هل كل ما في الدليل ظاهرٌ في مجموعته وترتيبه الصحيح؟»</w:t>
      </w:r>
      <w:r>
        <w:rPr>
          <w:rFonts w:ascii="Segoe UI" w:cs="Segoe UI" w:eastAsia="Segoe UI" w:hAnsi="Segoe UI"/>
          <w:rtl/>
        </w:rPr>
        <w:t xml:space="preserve"> والجواب نعم.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ولا يسأل: «هل هناك زائدٌ على الدليل؟» — وهذا سؤالٌ له مقياسه الخاص في الأمر التنفيذي، اسمه </w:t>
      </w:r>
      <w:r>
        <w:rPr>
          <w:rFonts w:ascii="Segoe UI" w:cs="Segoe UI" w:eastAsia="Segoe UI" w:hAnsi="Segoe UI"/>
          <w:b/>
          <w:bCs/>
          <w:rtl/>
        </w:rPr>
        <w:t xml:space="preserve">UNEXPLAINED_EXTRA_MENU_ITEM</w:t>
      </w:r>
      <w:r>
        <w:rPr>
          <w:rFonts w:ascii="Segoe UI" w:cs="Segoe UI" w:eastAsia="Segoe UI" w:hAnsi="Segoe UI"/>
          <w:rtl/>
        </w:rPr>
        <w:t xml:space="preserve">، ولم يُقَس حتى الآن. فالمقامان مختلفان بسؤالين مختلفين.</w:t>
      </w:r>
    </w:p>
    <w:p>
      <w:pPr>
        <w:pBdr>
          <w:bottom w:val="single" w:color="C7D2DD" w:sz="6"/>
        </w:pBdr>
        <w:bidi/>
        <w:spacing w:after="160" w:before="6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⑥ الحجم الكامل للمسألة في النظام كله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إدارة التشغيل ليست حالةً خاصة. القياس على 18 مساحة عمل:</w:t>
      </w:r>
    </w:p>
    <w:p>
      <w:pPr>
        <w:bidi/>
        <w:spacing w:after="80"/>
        <w:jc w:val="right"/>
      </w:pPr>
      <w:r>
        <w:rPr>
          <w:rFonts w:ascii="Segoe UI" w:cs="Segoe UI" w:eastAsia="Segoe UI" w:hAnsi="Segoe UI"/>
          <w:rtl/>
        </w:rPr>
        <w:t xml:space="preserve"/>
      </w:r>
    </w:p>
    <w:tbl>
      <w:tblPr>
        <w:bidiVisual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60"/>
      </w:tblGrid>
      <w:tr>
        <w:trPr>
          <w:tblHeader/>
        </w:trPr>
        <w:tc>
          <w:tcPr>
            <w:tcW w:type="dxa" w:w="29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الطبقة</w:t>
            </w:r>
          </w:p>
        </w:tc>
        <w:tc>
          <w:tcPr>
            <w:tcW w:type="dxa" w:w="320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العدد في النظام كله</w:t>
            </w:r>
          </w:p>
        </w:tc>
        <w:tc>
          <w:tcPr>
            <w:tcW w:type="dxa" w:w="3260"/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/>
                <w:bCs/>
                <w:sz w:val="19"/>
                <w:szCs w:val="19"/>
                <w:rtl/>
              </w:rPr>
              <w:t xml:space="preserve">المصير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① الدليل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342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حاكمة — تبقى</w:t>
            </w:r>
          </w:p>
        </w:tc>
      </w:tr>
      <w:tr>
        <w:tc>
          <w:tcPr>
            <w:tcW w:type="dxa" w:w="2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② المرساة</w:t>
            </w:r>
          </w:p>
        </w:tc>
        <w:tc>
          <w:tcPr>
            <w:tcW w:type="dxa" w:w="32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36</w:t>
            </w:r>
          </w:p>
        </w:tc>
        <w:tc>
          <w:tcPr>
            <w:tcW w:type="dxa" w:w="32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تبقى بنص الدستور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③ الشخصية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88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تبقى بحكمٍ قائم</w:t>
            </w:r>
          </w:p>
        </w:tc>
      </w:tr>
      <w:tr>
        <w:tc>
          <w:tcPr>
            <w:tcW w:type="dxa" w:w="2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④ المستعارة</w:t>
            </w:r>
          </w:p>
        </w:tc>
        <w:tc>
          <w:tcPr>
            <w:tcW w:type="dxa" w:w="32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323</w:t>
            </w:r>
          </w:p>
        </w:tc>
        <w:tc>
          <w:tcPr>
            <w:tcW w:type="dxa" w:w="32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تُراجَع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⑤ الإرث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400</w:t>
            </w:r>
          </w:p>
        </w:tc>
        <w:tc>
          <w:tcPr>
            <w:tcW w:type="dxa" w:w="3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يُحسَم بقرار المالك</w:t>
            </w:r>
          </w:p>
        </w:tc>
      </w:tr>
      <w:tr>
        <w:tc>
          <w:tcPr>
            <w:tcW w:type="dxa" w:w="29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المجموع المعروض</w:t>
            </w:r>
          </w:p>
        </w:tc>
        <w:tc>
          <w:tcPr>
            <w:tcW w:type="dxa" w:w="320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1,189</w:t>
            </w:r>
          </w:p>
        </w:tc>
        <w:tc>
          <w:tcPr>
            <w:tcW w:type="dxa" w:w="3260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right"/>
            </w:pPr>
            <w:r>
              <w:rPr>
                <w:rFonts w:ascii="Segoe UI" w:cs="Segoe UI" w:eastAsia="Segoe UI" w:hAnsi="Segoe UI"/>
                <w:b w:val="false"/>
                <w:bCs w:val="false"/>
                <w:sz w:val="19"/>
                <w:szCs w:val="19"/>
                <w:rtl/>
              </w:rPr>
              <w:t xml:space="preserve">—</w:t>
            </w:r>
          </w:p>
        </w:tc>
      </w:tr>
    </w:tbl>
    <w:p>
      <w:pPr>
        <w:bidi/>
        <w:spacing w:after="16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والتفصيل الكامل — كل رابطٍ ومجموعةٍ بطبقتها في كل إدارة — في المصنَّف المرافق </w:t>
      </w:r>
      <w:r>
        <w:rPr>
          <w:rFonts w:ascii="Segoe UI" w:cs="Segoe UI" w:eastAsia="Segoe UI" w:hAnsi="Segoe UI"/>
          <w:b/>
          <w:bCs/>
          <w:rtl/>
        </w:rPr>
        <w:t xml:space="preserve">SIDEBAR_LAYER_MAP.xlsx</w:t>
      </w:r>
      <w:r>
        <w:rPr>
          <w:rFonts w:ascii="Segoe UI" w:cs="Segoe UI" w:eastAsia="Segoe UI" w:hAnsi="Segoe UI"/>
          <w:rtl/>
        </w:rPr>
        <w:t xml:space="preserve">، وفيه ورقةٌ لكل مساحة عمل وعمودٌ فارغ باسم «قرار المالك» ليُملأ.</w:t>
      </w:r>
    </w:p>
    <w:p>
      <w:pPr>
        <w:pBdr>
          <w:bottom w:val="single" w:color="C7D2DD" w:sz="6"/>
        </w:pBdr>
        <w:bidi/>
        <w:spacing w:after="160" w:before="60"/>
        <w:jc w:val="right"/>
      </w:pPr>
      <w:r>
        <w:rPr>
          <w:rFonts w:ascii="Segoe UI" w:cs="Segoe UI" w:eastAsia="Segoe UI" w:hAnsi="Segoe UI"/>
          <w:rtl/>
        </w:rPr>
        <w:t xml:space="preserve"/>
      </w:r>
    </w:p>
    <w:p>
      <w:pPr>
        <w:pStyle w:val="Heading1"/>
        <w:bidi/>
        <w:spacing w:after="140" w:before="280"/>
        <w:jc w:val="right"/>
      </w:pPr>
      <w:r>
        <w:rPr>
          <w:rFonts w:ascii="Segoe UI" w:cs="Segoe UI" w:eastAsia="Segoe UI" w:hAnsi="Segoe UI"/>
          <w:b/>
          <w:bCs/>
          <w:rtl/>
        </w:rPr>
        <w:t xml:space="preserve">⑦ ما المطلوب اتخاذه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المطلوب ليس حذف الروابط الزائدة، بل </w:t>
      </w:r>
      <w:r>
        <w:rPr>
          <w:rFonts w:ascii="Segoe UI" w:cs="Segoe UI" w:eastAsia="Segoe UI" w:hAnsi="Segoe UI"/>
          <w:b/>
          <w:bCs/>
          <w:rtl/>
        </w:rPr>
        <w:t xml:space="preserve">إعطاء حكمٍ مكتوبٍ لكل رابطٍ منها</w:t>
      </w:r>
      <w:r>
        <w:rPr>
          <w:rFonts w:ascii="Segoe UI" w:cs="Segoe UI" w:eastAsia="Segoe UI" w:hAnsi="Segoe UI"/>
          <w:rtl/>
        </w:rPr>
        <w:t xml:space="preserve">. فمعيار الإغلاق في الأمر التنفيذي ينص على أن UNEXPLAINED_EXTRA_MENU_ITEM يساوي صفرًا، ومعناه:</w:t>
      </w:r>
    </w:p>
    <w:p>
      <w:pPr>
        <w:bidi/>
        <w:spacing w:after="100" w:before="100"/>
        <w:ind w:right="431"/>
        <w:jc w:val="right"/>
      </w:pPr>
      <w:r>
        <w:rPr>
          <w:rFonts w:ascii="Segoe UI" w:cs="Segoe UI" w:eastAsia="Segoe UI" w:hAnsi="Segoe UI"/>
          <w:b/>
          <w:bCs/>
          <w:i/>
          <w:iCs/>
          <w:sz w:val="24"/>
          <w:szCs w:val="24"/>
          <w:rtl/>
        </w:rPr>
        <w:t xml:space="preserve">«صفر رابطٍ زائدٍ بلا حكم» — لا «صفر رابطٍ زائد».</w:t>
      </w:r>
    </w:p>
    <w:p>
      <w:pPr>
        <w:bidi/>
        <w:jc w:val="right"/>
      </w:pPr>
      <w:r>
        <w:rPr>
          <w:rFonts w:ascii="Segoe UI" w:cs="Segoe UI" w:eastAsia="Segoe UI" w:hAnsi="Segoe UI"/>
          <w:rtl/>
        </w:rPr>
        <w:t xml:space="preserve">وعليه فالخطوة التالية هي مراجعة المصنَّف المرافق، ووضع أحد حكمين أمام كل رابطٍ في طبقتي ④ و⑤: «يبقى» أو «يُخفى». وما يبقى يُضاف إلى الدليل المعماري ليصير حاكمًا، وما يُخفى يُسجَّل بسببه وتاريخه.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2026-09-02T00:55:36.898Z</dcterms:created>
  <dcterms:modified xsi:type="dcterms:W3CDTF">2026-09-02T00:55:36.899Z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