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F4E79" w:color="auto" w:val="clear"/>
            <w:tcMar>
              <w:top w:type="dxa" w:w="240"/>
              <w:left w:type="dxa" w:w="160"/>
              <w:bottom w:type="dxa" w:w="240"/>
              <w:right w:type="dxa" w:w="160"/>
            </w:tcMar>
          </w:tcPr>
          <w:p>
            <w:pPr>
              <w:bidi/>
              <w:spacing w:after="4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CFE0F3"/>
                <w:sz w:val="19"/>
                <w:szCs w:val="19"/>
                <w:rtl/>
              </w:rPr>
              <w:t xml:space="preserve">مجموعة إكيوبيشن · قطاع تشغيل المعدات</w:t>
            </w:r>
          </w:p>
          <w:p>
            <w:pPr>
              <w:bidi/>
              <w:spacing w:after="70" w:line="3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  <w:rtl/>
              </w:rPr>
              <w:t xml:space="preserve">إعادة هندسة الإدارة المالية</w:t>
            </w: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  <w:rtl/>
              </w:rPr>
              <w:t xml:space="preserve"> المهام والدورات</w:t>
            </w:r>
          </w:p>
          <w:p>
            <w:pPr>
              <w:bidi w:val="false"/>
              <w:spacing w:after="60" w:line="260"/>
              <w:jc w:val="center"/>
            </w:pPr>
            <w:r>
              <w:rPr>
                <w:rFonts w:ascii="Arial" w:cs="Arial" w:eastAsia="Arial" w:hAnsi="Arial"/>
                <w:color w:val="D6E4F5"/>
                <w:sz w:val="19"/>
                <w:szCs w:val="19"/>
                <w:rtl w:val="false"/>
              </w:rPr>
              <w:t xml:space="preserve">Finance UX Re-engineering — Corrective Work Order No. 1 (Task-Based ERP)</w:t>
            </w:r>
          </w:p>
          <w:p>
            <w:pPr>
              <w:bidi/>
              <w:spacing w:after="2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/>
              </w:rPr>
              <w:t xml:space="preserve">الطلب التصحيحي الأول — أهم مشكلةٍ في النظام</w:t>
            </w: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/>
              </w:rPr>
              <w:t xml:space="preserve"> شاشاتٌ بُنيت من موضوعات الوثائق لا من مهام الموظف</w:t>
            </w:r>
          </w:p>
          <w:p>
            <w:pPr>
              <w:bidi/>
              <w:spacing w:after="2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/>
              </w:rPr>
              <w:t xml:space="preserve">حكمُ قياسٍ على النسخة الأخيرة · إعادة تصنيف الشاشات الـ</w:t>
            </w: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 w:val="false"/>
              </w:rPr>
              <w:t xml:space="preserve">35</w:t>
            </w: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/>
              </w:rPr>
              <w:t xml:space="preserve"> · الدورات الست · السايدبار السباعي</w:t>
            </w:r>
          </w:p>
          <w:p>
            <w:pPr>
              <w:bidi/>
              <w:spacing w:after="2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/>
              </w:rPr>
              <w:t xml:space="preserve">تصحيحان وظيفيان عاجلان</w:t>
            </w: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/>
              </w:rPr>
              <w:t xml:space="preserve"> وحدات الأطراف بدل التطابق الثلاثي · سياسات مستحقات المشغّلين الكاملة</w:t>
            </w:r>
          </w:p>
          <w:p>
            <w:pPr>
              <w:bidi/>
              <w:spacing w:after="2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/>
              </w:rPr>
              <w:t xml:space="preserve">وشرطٌ معماريٌّ قبل أي تسمية</w:t>
            </w: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/>
              </w:rPr>
              <w:t xml:space="preserve"> إغلاق الكتابة المباشرة على دفتر المعاملات</w:t>
            </w:r>
          </w:p>
          <w:p>
            <w:pPr>
              <w:bidi/>
              <w:spacing w:after="2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/>
              </w:rPr>
              <w:t xml:space="preserve">مُقيّد · للاستخدام المؤسسي — </w:t>
            </w: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 w:val="false"/>
              </w:rPr>
              <w:t xml:space="preserve">Restricted / Internal Use</w:t>
            </w:r>
          </w:p>
        </w:tc>
      </w:tr>
    </w:tbl>
    <w:p>
      <w:pPr>
        <w:spacing w:after="140"/>
      </w:pP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960"/>
        <w:gridCol w:w="2400"/>
      </w:tblGrid>
      <w:tr>
        <w:tc>
          <w:tcPr>
            <w:tcW w:type="dxa" w:w="69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EQUIP-UX-02-EMS</w:t>
            </w:r>
          </w:p>
        </w:tc>
        <w:tc>
          <w:tcPr>
            <w:tcW w:type="dxa" w:w="24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AF1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معرّف الوثيقة</w:t>
            </w:r>
          </w:p>
        </w:tc>
      </w:tr>
      <w:tr>
        <w:tc>
          <w:tcPr>
            <w:tcW w:type="dxa" w:w="69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إعادة هندسة الإدارة المالية مهامَّ ودورات — الطلب التصحيحي التنفيذي الأول</w:t>
            </w:r>
          </w:p>
        </w:tc>
        <w:tc>
          <w:tcPr>
            <w:tcW w:type="dxa" w:w="24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AF1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العنوان</w:t>
            </w:r>
          </w:p>
        </w:tc>
      </w:tr>
      <w:tr>
        <w:tc>
          <w:tcPr>
            <w:tcW w:type="dxa" w:w="69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أول سلسلة الطلبات التصحيحية بعد دليل التجربة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(UX-01):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تعالج المشكلة الأولى — بنية العمل المالي — ولا تُفتح جولة تسميةٍ جديدةٌ قبل إنفاذها</w:t>
            </w:r>
          </w:p>
        </w:tc>
        <w:tc>
          <w:tcPr>
            <w:tcW w:type="dxa" w:w="24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AF1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موقعها</w:t>
            </w:r>
          </w:p>
        </w:tc>
      </w:tr>
      <w:tr>
        <w:tc>
          <w:tcPr>
            <w:tcW w:type="dxa" w:w="69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دليل الشاشات قبل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بعد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(155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سطرًا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دليل شاشات الإدارة المالية وجداولها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(35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شاشة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48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جدولًا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290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صفًّا حيًّا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المعمارية الحالية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v8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المراجعة التصحيحية المعتمدة</w:t>
            </w:r>
          </w:p>
        </w:tc>
        <w:tc>
          <w:tcPr>
            <w:tcW w:type="dxa" w:w="24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AF1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المصادر المقيسة</w:t>
            </w:r>
          </w:p>
        </w:tc>
      </w:tr>
      <w:tr>
        <w:tc>
          <w:tcPr>
            <w:tcW w:type="dxa" w:w="69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1.0</w:t>
            </w:r>
          </w:p>
        </w:tc>
        <w:tc>
          <w:tcPr>
            <w:tcW w:type="dxa" w:w="24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AF1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الإصدار</w:t>
            </w:r>
          </w:p>
        </w:tc>
      </w:tr>
      <w:tr>
        <w:tc>
          <w:tcPr>
            <w:tcW w:type="dxa" w:w="69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أمرُ عملٍ نافذٌ — لا يبدأ تعديل الكود قبل اعتماد المخرجات الأربعة عشر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(§11)</w:t>
            </w:r>
          </w:p>
        </w:tc>
        <w:tc>
          <w:tcPr>
            <w:tcW w:type="dxa" w:w="24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AF1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حالة الوثيقة</w:t>
            </w:r>
          </w:p>
        </w:tc>
      </w:tr>
      <w:tr>
        <w:tc>
          <w:tcPr>
            <w:tcW w:type="dxa" w:w="69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مجموعة إكيوبيشن · قطاع تشغيل المعدات</w:t>
            </w:r>
          </w:p>
        </w:tc>
        <w:tc>
          <w:tcPr>
            <w:tcW w:type="dxa" w:w="24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AF1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الجهة المالكة</w:t>
            </w:r>
          </w:p>
        </w:tc>
      </w:tr>
      <w:tr>
        <w:tc>
          <w:tcPr>
            <w:tcW w:type="dxa" w:w="69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فريق التطوير · محلّل تجربة المستخدم · مالك الإدارة المالية · قيادة المنصّة</w:t>
            </w:r>
          </w:p>
        </w:tc>
        <w:tc>
          <w:tcPr>
            <w:tcW w:type="dxa" w:w="24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AF1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الجمهور المستهدف</w:t>
            </w:r>
          </w:p>
        </w:tc>
      </w:tr>
      <w:tr>
        <w:tc>
          <w:tcPr>
            <w:tcW w:type="dxa" w:w="69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حكم القياس على النسخة الأخيرة · نص المشكلة الأولى وقاعدة «لا تسمية قبل الهندسة» · منهج جرد الشاشات وأسئلته الخمسة عشر · معيار التعريف بلغة المهمة · التصنيف السداسي ومصفوفة حكم الشاشات المالية · دورات العمل الست · السايدبار السباعي · لوحات الأدوار الأربعة · التصحيحان الوظيفيان · الشرط المعماري · معيار مواصفة الجدول · مقاييس اختبار الاستخدام الرقمية · أولوية التنفيذ · سياسة صون الروابط والصلاحيات · المستخدم متعدد الأدوار · المخرجات ومعايير القبول</w:t>
            </w:r>
          </w:p>
        </w:tc>
        <w:tc>
          <w:tcPr>
            <w:tcW w:type="dxa" w:w="24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AF1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النطاق</w:t>
            </w:r>
          </w:p>
        </w:tc>
      </w:tr>
      <w:tr>
        <w:tc>
          <w:tcPr>
            <w:tcW w:type="dxa" w:w="69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2026</w:t>
            </w:r>
          </w:p>
        </w:tc>
        <w:tc>
          <w:tcPr>
            <w:tcW w:type="dxa" w:w="24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AF1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تاريخ الإصدار</w:t>
            </w:r>
          </w:p>
        </w:tc>
      </w:tr>
    </w:tbl>
    <w:p>
      <w:pPr>
        <w:spacing w:after="140"/>
      </w:pPr>
    </w:p>
    <w:p>
      <w:pPr>
        <w:pStyle w:val="Heading1"/>
        <w:pBdr>
          <w:bottom w:val="single" w:color="C9D6E8" w:sz="6" w:space="3"/>
        </w:pBdr>
        <w:bidi/>
        <w:spacing w:after="150" w:before="260" w:line="3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حكم القياس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: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 هل طُبّق المطلوب بنسبة 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100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٪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؟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  ·  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1</w:t>
      </w:r>
    </w:p>
    <w:p>
      <w:pPr>
        <w:bidi/>
        <w:spacing w:after="130" w:line="264"/>
        <w:jc w:val="right"/>
      </w:pP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لا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القياسُ على الملفات نفسها يثبت أن الذي نُفّذ إعادةُ تسميةٍ وتجميعٌ شكليٌّ للروابط، لا إعادةُ هندسةٍ لرحلة المستخدم — والأرقام من مصادرها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: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60"/>
        <w:gridCol w:w="2300"/>
      </w:tblGrid>
      <w:tr>
        <w:trPr>
          <w:tblHeader/>
        </w:trP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الدليل المقيس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المؤشر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78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من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155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فقط تغيّر اسمُها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والدليل المعتمد أوجب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92)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— وأوجبُها كلِّها «اعتماد ساعات العمل ← اعتماد الوحدات التشغيلية» لم يُمسّ، والنسخة القديمة لشاشة المعدات ما زالت قائمة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إعادة التسمية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112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من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155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ما زالت مصنّفةً «رئيسية»، و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118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عند جذر السايدبار أو بلا أبٍ محدد — فلا هرميةَ حقيقيةً ولا أبواب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البنية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151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من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155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تعريفًا يبدأ بـ«تعرض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...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»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قياسٌ آليٌّ على عمود «الماهية» في دليل قبل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بعد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— لغةُ توصيفِ نتائجَ لا مهامّ؛ والكشف الكامل بالشاشة والتعريفَين الحاليِّ والمقترح مخرجٌ ملزم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(§11)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التعريفات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السايدبار يُركَّب من خمسة مصادرَ مختلفة، بخمسة روابطَ مكرّرةٍ ورابطٍ ميت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توثيق المعمارية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v8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§8)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مصادر القوائم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الإدارة المالية وحدها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35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رابطًا ظاهرًا أو ممكنَ الظهور أمام كل مستخدم — فهرسُ وظائف النظام لا قائمةُ عملِ موظف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الحمل المعرفي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جداول الوحدة القانونية أُنشئت وهي فارغةٌ بلا كاتب، والنظام يعمل فعليًّا على التايم شيت مباشرة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(v8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§10.5)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— فشاشة «مطابقة الوحدات» تقرأ من غير مصدر الحقيقة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مصدر الحقيقة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شاشة استقبال المعاملات تكتب على الدفتر متجاوزةً الناشر — عشرةُ صفوف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(FIN-EV-IMP-1..10)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بلا حدثٍ جذري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(v8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§15-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أ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خرقٌ معماريٌّ مفتوح</w:t>
            </w:r>
          </w:p>
        </w:tc>
      </w:tr>
    </w:tbl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النسبة</w:t>
            </w:r>
          </w:p>
        </w:tc>
        <w:tc>
          <w:tcPr>
            <w:tcW w:type="dxa" w:w="69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محور التقييم</w:t>
            </w:r>
          </w:p>
        </w:tc>
      </w:tr>
      <w:tr>
        <w:tc>
          <w:tcPr>
            <w:tcW w:type="dxa" w:w="24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85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٪</w:t>
            </w:r>
          </w:p>
        </w:tc>
        <w:tc>
          <w:tcPr>
            <w:tcW w:type="dxa" w:w="69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تنفيذ إعادة التسمية النصية</w:t>
            </w:r>
          </w:p>
        </w:tc>
      </w:tr>
      <w:tr>
        <w:tc>
          <w:tcPr>
            <w:tcW w:type="dxa" w:w="24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70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٪</w:t>
            </w:r>
          </w:p>
        </w:tc>
        <w:tc>
          <w:tcPr>
            <w:tcW w:type="dxa" w:w="69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تنظيم السايدبار شكليًّا</w:t>
            </w:r>
          </w:p>
        </w:tc>
      </w:tr>
      <w:tr>
        <w:tc>
          <w:tcPr>
            <w:tcW w:type="dxa" w:w="24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35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٪</w:t>
            </w:r>
          </w:p>
        </w:tc>
        <w:tc>
          <w:tcPr>
            <w:tcW w:type="dxa" w:w="69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تحويل النظام إلى رحلة مستخدمٍ مفهومة</w:t>
            </w:r>
          </w:p>
        </w:tc>
      </w:tr>
      <w:tr>
        <w:tc>
          <w:tcPr>
            <w:tcW w:type="dxa" w:w="24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30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٪</w:t>
            </w:r>
          </w:p>
        </w:tc>
        <w:tc>
          <w:tcPr>
            <w:tcW w:type="dxa" w:w="69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إعادة هندسة شاشات الإدارة المالية</w:t>
            </w:r>
          </w:p>
        </w:tc>
      </w:tr>
      <w:tr>
        <w:tc>
          <w:tcPr>
            <w:tcW w:type="dxa" w:w="24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40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٪</w:t>
            </w:r>
          </w:p>
        </w:tc>
        <w:tc>
          <w:tcPr>
            <w:tcW w:type="dxa" w:w="69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ملاءمة النظام لموظفٍ خريجٍ جديد</w:t>
            </w:r>
          </w:p>
        </w:tc>
      </w:tr>
      <w:tr>
        <w:tc>
          <w:tcPr>
            <w:tcW w:type="dxa" w:w="24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نحو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50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–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55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٪</w:t>
            </w:r>
          </w:p>
        </w:tc>
        <w:tc>
          <w:tcPr>
            <w:tcW w:type="dxa" w:w="69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التطبيق الكلي للمطلوب</w:t>
            </w:r>
          </w:p>
        </w:tc>
      </w:tr>
    </w:tbl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DF3E7" w:sz="2"/>
              <w:left w:val="single" w:color="FDF3E7" w:sz="2"/>
              <w:bottom w:val="single" w:color="FDF3E7" w:sz="2"/>
              <w:right w:val="single" w:color="D4700E" w:sz="18"/>
            </w:tcBorders>
            <w:shd w:fill="FDF3E7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b/>
                <w:bCs/>
                <w:color w:val="D4700E"/>
                <w:sz w:val="18"/>
                <w:szCs w:val="18"/>
                <w:rtl/>
              </w:rPr>
              <w:t xml:space="preserve">خلاصة الحكم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تحقق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Renaming + Sidebar Grouping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، ولم يتحقق بعدُ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Task-Based ERP + Role Workspaces + End-to-End Journeys.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ولذلك لا تُنفَّذ أي جولة تسميةٍ جديدةٍ قبل إنفاذ هذا الطلب — فإعادة التسمية فوق بنيةٍ غير صحيحةٍ تنتج أسماءً أفضل لتجربةِ الاستخدام الخاطئة نفسها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.</w:t>
            </w:r>
          </w:p>
        </w:tc>
      </w:tr>
    </w:tbl>
    <w:p>
      <w:pPr>
        <w:pStyle w:val="Heading1"/>
        <w:pBdr>
          <w:bottom w:val="single" w:color="C9D6E8" w:sz="6" w:space="3"/>
        </w:pBdr>
        <w:bidi/>
        <w:spacing w:after="150" w:before="260" w:line="3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نصّ المشكلة الأولى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  ·  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2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3EDFA" w:sz="2"/>
              <w:left w:val="single" w:color="F3EDFA" w:sz="2"/>
              <w:bottom w:val="single" w:color="F3EDFA" w:sz="2"/>
              <w:right w:val="single" w:color="6B3FA0" w:sz="18"/>
            </w:tcBorders>
            <w:shd w:fill="F3EDFA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b/>
                <w:bCs/>
                <w:color w:val="6B3FA0"/>
                <w:sz w:val="18"/>
                <w:szCs w:val="18"/>
                <w:rtl/>
              </w:rPr>
              <w:t xml:space="preserve">المشكلة الأهم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شاشات النظام بُنيت انطلاقًا من موضوعات الوثائق والجداول والمحرّكات ونتائج التحليل والطبقات التقنية — لا انطلاقًا من مهمة الموظف ودورة المستند والخطوة الحالية والإجراء المطلوب والمسؤولية الوظيفية ورحلة العمل من البداية إلى الإغلاق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.</w:t>
            </w:r>
          </w:p>
        </w:tc>
      </w:tr>
    </w:tbl>
    <w:p>
      <w:pPr>
        <w:bidi/>
        <w:spacing w:after="130" w:line="264"/>
        <w:jc w:val="right"/>
      </w:pP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الهدف من هذه الجولة أن يستطيع موظفُ حساباتٍ حديثُ التخرج، بعد تعريفٍ مختصرٍ بدوره، أن يعرف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: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أين يبدأ عمله · ما المعاملات التي تنتظره · ما الذي يراجعه · ما الذي يُدخله · ما الذي يرسله للاعتماد · ما الذي اعتُمد · ما الذي يحتاج تصحيحًا · ما الذي دُفع أو حُصّل · وكيف يصل إلى المستند الأصلي — دون أن يحتاج إلى فهم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: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الحدث المالي، تفريع الأثر، المروحة، المطابقة الثلاثية، الحدث الجذري، المعالجة الذرية، مسار الناشر، إسقاطات الحدث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هذه كلُّها تبقى في المعمارية والتدقيق التقني ولا تُستخدم أساسًا لتنظيم العمل اليومي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pStyle w:val="Heading1"/>
        <w:pBdr>
          <w:bottom w:val="single" w:color="C9D6E8" w:sz="6" w:space="3"/>
        </w:pBdr>
        <w:bidi/>
        <w:spacing w:after="150" w:before="260" w:line="3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منهج الجرد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: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 خمسة عشر سؤالًا قبل أي اسم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  ·  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3</w:t>
      </w:r>
    </w:p>
    <w:p>
      <w:pPr>
        <w:bidi/>
        <w:spacing w:after="130" w:line="264"/>
        <w:jc w:val="right"/>
      </w:pP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لا تبدأ بإعادة التسمية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لكل شاشةٍ من شاشات المالية الـ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35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تُملأ بطاقةُ جردٍ تجيب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: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① من يستخدمها فعليًّا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؟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② ما المهمة التي ينفّذها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؟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③ ما المدخل الذي يأتي إليها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؟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④ ما النتيجة عنها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؟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⑤ ما الشاشة السابقة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؟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⑥ والتالية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؟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⑦ أهي خطوةُ عملٍ أم تقريرٌ أم إعدادٌ أم سجلُّ تدقيق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؟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⑧ أتحتاج أن تكون مستقلة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؟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⑨ أيمكن أن تصبح تبويبًا داخل معاملة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؟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⑩ أتُخفى عن المستخدم اليومي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؟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⑪ أتتكرر وظيفتُها في شاشةٍ أخرى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؟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⑫ أتعريفُها صحيحٌ وظيفيًّا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؟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⑬ أيكفي جدولُها لأداء المهمة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؟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⑭ ما الحقول الناقصة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؟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⑮ ما إجراءات الصف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؟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— ولا يُعتمد اسمٌ قبل الإجابات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pStyle w:val="Heading2"/>
        <w:bidi/>
        <w:spacing w:after="110" w:before="200" w:line="280"/>
        <w:jc w:val="right"/>
      </w:pP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3.1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 · معيار التعريف بلغة المهمة</w:t>
      </w:r>
    </w:p>
    <w:p>
      <w:pPr>
        <w:bidi/>
        <w:spacing w:after="130" w:line="264"/>
        <w:jc w:val="right"/>
      </w:pP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151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من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155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تعريفًا يبدأ بـ«تعرض» — وهذا ممنوعٌ بعد اليوم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صيغة التعريف الإلزامية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: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فعلُ أمرٍ للمستخدم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+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متى تدخلها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+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ما الذي ينتظرك فيها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+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أين تذهب بعدها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: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60"/>
        <w:gridCol w:w="3100"/>
        <w:gridCol w:w="1800"/>
      </w:tblGrid>
      <w:tr>
        <w:trPr>
          <w:tblHeader/>
        </w:trPr>
        <w:tc>
          <w:tcPr>
            <w:tcW w:type="dxa" w:w="44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التعريف المعتمد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لغة مهمة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)</w:t>
            </w:r>
          </w:p>
        </w:tc>
        <w:tc>
          <w:tcPr>
            <w:tcW w:type="dxa" w:w="31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التعريف المرفوض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لغة توصيف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)</w:t>
            </w:r>
          </w:p>
        </w:tc>
        <w:tc>
          <w:tcPr>
            <w:tcW w:type="dxa" w:w="18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الشاشة</w:t>
            </w:r>
          </w:p>
        </w:tc>
      </w:tr>
      <w:tr>
        <w:tc>
          <w:tcPr>
            <w:tcW w:type="dxa" w:w="44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راجعْ المعاملات الواردة من الإدارات، أكملْ تصنيفها وحسابها، ثم أرسلها للاعتماد — تدخلها صباحًا ولكل إشعارِ ورود</w:t>
            </w:r>
          </w:p>
        </w:tc>
        <w:tc>
          <w:tcPr>
            <w:tcW w:type="dxa" w:w="31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«المدخل الموحد لكل واقعةٍ مالية قبل تحويلها إلى قيد»</w:t>
            </w:r>
          </w:p>
        </w:tc>
        <w:tc>
          <w:tcPr>
            <w:tcW w:type="dxa" w:w="18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المعاملات المالية</w:t>
            </w:r>
          </w:p>
        </w:tc>
      </w:tr>
      <w:tr>
        <w:tc>
          <w:tcPr>
            <w:tcW w:type="dxa" w:w="44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ابحثْ برقم الطلب أو المعاملة لتعرف القيود والمدفوعات والمستحقات التي نتجت عنها</w:t>
            </w:r>
          </w:p>
        </w:tc>
        <w:tc>
          <w:tcPr>
            <w:tcW w:type="dxa" w:w="31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«عرض سلسلة أثر الطلب المالي في الاتجاهين»</w:t>
            </w:r>
          </w:p>
        </w:tc>
        <w:tc>
          <w:tcPr>
            <w:tcW w:type="dxa" w:w="18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سجل الحركة المالية</w:t>
            </w:r>
          </w:p>
        </w:tc>
      </w:tr>
      <w:tr>
        <w:tc>
          <w:tcPr>
            <w:tcW w:type="dxa" w:w="44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نفّذْ المدفوعات المعتمدة اليوم بأولوية النقد، واطبعْ سنداتها، وسجّلْ مراجعها البنكية</w:t>
            </w:r>
          </w:p>
        </w:tc>
        <w:tc>
          <w:tcPr>
            <w:tcW w:type="dxa" w:w="31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«تعرض حركات الخزينة والمدفوعات»</w:t>
            </w:r>
          </w:p>
        </w:tc>
        <w:tc>
          <w:tcPr>
            <w:tcW w:type="dxa" w:w="18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دفعات اليوم</w:t>
            </w:r>
          </w:p>
        </w:tc>
      </w:tr>
    </w:tbl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DF3E7" w:sz="2"/>
              <w:left w:val="single" w:color="FDF3E7" w:sz="2"/>
              <w:bottom w:val="single" w:color="FDF3E7" w:sz="2"/>
              <w:right w:val="single" w:color="D4700E" w:sz="18"/>
            </w:tcBorders>
            <w:shd w:fill="FDF3E7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b/>
                <w:bCs/>
                <w:color w:val="D4700E"/>
                <w:sz w:val="18"/>
                <w:szCs w:val="18"/>
                <w:rtl/>
              </w:rPr>
              <w:t xml:space="preserve">قاعدة التعريف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التعريف الذي لا يذكر فعلَ المستخدم ومتى يدخل وماذا ينتظره — يُرفض ويُعاد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و«تعرض» لا تفتتح تعريفًا بعد اليوم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.</w:t>
            </w:r>
          </w:p>
        </w:tc>
      </w:tr>
    </w:tbl>
    <w:p>
      <w:pPr>
        <w:pStyle w:val="Heading1"/>
        <w:pBdr>
          <w:bottom w:val="single" w:color="C9D6E8" w:sz="6" w:space="3"/>
        </w:pBdr>
        <w:bidi/>
        <w:spacing w:after="150" w:before="260" w:line="3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التصنيف السداسي ومصفوفة حكم الشاشات الـ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35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  ·  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4</w:t>
      </w:r>
    </w:p>
    <w:p>
      <w:pPr>
        <w:bidi/>
        <w:spacing w:after="130" w:line="264"/>
        <w:jc w:val="right"/>
      </w:pP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لا تبقى الشاشات كلُّها «رئيسية»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تُعاد إلى ست فئات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: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مساحات عملٍ يومية · سجلات تشغيلية · ملفات رئيسية · تقارير ولوحات · إعدادات · سجلات تدقيقٍ تقنية — والأخيرة لا تظهر للمحاسب العادي إطلاقًا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والحكم النافذ لكل شاشةٍ من الخمس والثلاثين — واحدةً واحدة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(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وتظل بطاقات الجرد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§3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شرطَ التوثيق التفصيلي لا شرطَ الحكم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):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00"/>
        <w:gridCol w:w="2300"/>
        <w:gridCol w:w="760"/>
      </w:tblGrid>
      <w:tr>
        <w:trPr>
          <w:tblHeader/>
        </w:trPr>
        <w:tc>
          <w:tcPr>
            <w:tcW w:type="dxa" w:w="6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الحكم النافذ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الشاشة</w:t>
            </w:r>
          </w:p>
        </w:tc>
        <w:tc>
          <w:tcPr>
            <w:tcW w:type="dxa" w:w="7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#</w:t>
            </w:r>
          </w:p>
        </w:tc>
      </w:tr>
      <w:tr>
        <w:tc>
          <w:tcPr>
            <w:tcW w:type="dxa" w:w="6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تُلغى لوحةً عامة — كلُّ دورٍ ماليٍّ يفتح لوحتَه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(§7)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، وتعدد الأدوار بمبدّل المساحات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(7.1)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الرئيسية العامة</w:t>
            </w:r>
          </w:p>
        </w:tc>
        <w:tc>
          <w:tcPr>
            <w:tcW w:type="dxa" w:w="7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1</w:t>
            </w:r>
          </w:p>
        </w:tc>
      </w:tr>
      <w:tr>
        <w:tc>
          <w:tcPr>
            <w:tcW w:type="dxa" w:w="6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تبقى عملًا يوميًّا عامًّا خارج نطاق هذا الطلب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المراسلات</w:t>
            </w:r>
          </w:p>
        </w:tc>
        <w:tc>
          <w:tcPr>
            <w:tcW w:type="dxa" w:w="7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2</w:t>
            </w:r>
          </w:p>
        </w:tc>
      </w:tr>
      <w:tr>
        <w:tc>
          <w:tcPr>
            <w:tcW w:type="dxa" w:w="6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لوحة دورٍ للمدير المالي — وبطاقات الأسئلة تصير أقسامًا فعلية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مدفوعات اليوم · التحصيلات المتأخرة · عجز السيولة · الربحية المنخفضة · انحرافات بقرار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لوحة المدير المالي</w:t>
            </w:r>
          </w:p>
        </w:tc>
        <w:tc>
          <w:tcPr>
            <w:tcW w:type="dxa" w:w="7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3</w:t>
            </w:r>
          </w:p>
        </w:tc>
      </w:tr>
      <w:tr>
        <w:tc>
          <w:tcPr>
            <w:tcW w:type="dxa" w:w="6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لوحة الإدارة العليا — تُفصل حدودُها عن لوحة المدير فلا تكرار مؤشرات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اللوحة التنفيذية</w:t>
            </w:r>
          </w:p>
        </w:tc>
        <w:tc>
          <w:tcPr>
            <w:tcW w:type="dxa" w:w="7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4</w:t>
            </w:r>
          </w:p>
        </w:tc>
      </w:tr>
      <w:tr>
        <w:tc>
          <w:tcPr>
            <w:tcW w:type="dxa" w:w="6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تقرير — ضمن المحاسبة العامة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مركز التقارير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القوائم المالية</w:t>
            </w:r>
          </w:p>
        </w:tc>
        <w:tc>
          <w:tcPr>
            <w:tcW w:type="dxa" w:w="7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5</w:t>
            </w:r>
          </w:p>
        </w:tc>
      </w:tr>
      <w:tr>
        <w:tc>
          <w:tcPr>
            <w:tcW w:type="dxa" w:w="6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تقرير — ضمن التخطيط والتحليل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التكاليف والربحية</w:t>
            </w:r>
          </w:p>
        </w:tc>
        <w:tc>
          <w:tcPr>
            <w:tcW w:type="dxa" w:w="7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6</w:t>
            </w:r>
          </w:p>
        </w:tc>
      </w:tr>
      <w:tr>
        <w:tc>
          <w:tcPr>
            <w:tcW w:type="dxa" w:w="6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تقرير — ضمن التخطيط والتحليل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المحاسبة الإدارية</w:t>
            </w:r>
          </w:p>
        </w:tc>
        <w:tc>
          <w:tcPr>
            <w:tcW w:type="dxa" w:w="7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7</w:t>
            </w:r>
          </w:p>
        </w:tc>
      </w:tr>
      <w:tr>
        <w:tc>
          <w:tcPr>
            <w:tcW w:type="dxa" w:w="6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إعداد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ملف رئيسي محاسبي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— خلف صلاحية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دليل الحسابات</w:t>
            </w:r>
          </w:p>
        </w:tc>
        <w:tc>
          <w:tcPr>
            <w:tcW w:type="dxa" w:w="7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8</w:t>
            </w:r>
          </w:p>
        </w:tc>
      </w:tr>
      <w:tr>
        <w:tc>
          <w:tcPr>
            <w:tcW w:type="dxa" w:w="6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إعداد النموذج الموزّع — خلف صلاحية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المحاسبون والوحدات</w:t>
            </w:r>
          </w:p>
        </w:tc>
        <w:tc>
          <w:tcPr>
            <w:tcW w:type="dxa" w:w="7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9</w:t>
            </w:r>
          </w:p>
        </w:tc>
      </w:tr>
      <w:tr>
        <w:tc>
          <w:tcPr>
            <w:tcW w:type="dxa" w:w="6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مساحة عملٍ للمحاسب باسم مهمة «مراجعة المعاملات الواردة» — بتعريف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§3.1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؛ والسجل التقني خلفها للتدقيق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المعاملات المالية</w:t>
            </w:r>
          </w:p>
        </w:tc>
        <w:tc>
          <w:tcPr>
            <w:tcW w:type="dxa" w:w="7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10</w:t>
            </w:r>
          </w:p>
        </w:tc>
      </w:tr>
      <w:tr>
        <w:tc>
          <w:tcPr>
            <w:tcW w:type="dxa" w:w="6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تُعاد بناءً كاملًا شاشةَ «وحدات الأطراف»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(§8.1)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— المفهوم الحالي خطأ وظيفي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وحدات الأطراف</w:t>
            </w:r>
          </w:p>
        </w:tc>
        <w:tc>
          <w:tcPr>
            <w:tcW w:type="dxa" w:w="7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11</w:t>
            </w:r>
          </w:p>
        </w:tc>
      </w:tr>
      <w:tr>
        <w:tc>
          <w:tcPr>
            <w:tcW w:type="dxa" w:w="6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تندمج تبويبَ «وارد الإدارات» داخل مراجعة المعاملات — بعد إغلاق الخرق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§9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حصرًا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استقبال معاملات الإدارات</w:t>
            </w:r>
          </w:p>
        </w:tc>
        <w:tc>
          <w:tcPr>
            <w:tcW w:type="dxa" w:w="7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12</w:t>
            </w:r>
          </w:p>
        </w:tc>
      </w:tr>
      <w:tr>
        <w:tc>
          <w:tcPr>
            <w:tcW w:type="dxa" w:w="6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سجل تشغيلي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+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مساحةُ «مراجعة القيود غير المرحَّلة» — وقيدُه بأعمدة الواقع الميداني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تاريخا الإدخال والحركة منفصلين · العملاتُ الثلاث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(SDG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USD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QAR)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مدينًا ودائنًا بسعر الصرف والمعادل الموحّد · مركزُ التكلفة والحسابُ من دليلٍ منسدلٍ واحدٍ لا كتابةً حرة · وخيطُ الطلب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رقمُه وصاحبُه ومجموعتُه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رابطَ أصلٍ في كل قيد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القيود اليومية</w:t>
            </w:r>
          </w:p>
        </w:tc>
        <w:tc>
          <w:tcPr>
            <w:tcW w:type="dxa" w:w="7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13</w:t>
            </w:r>
          </w:p>
        </w:tc>
      </w:tr>
      <w:tr>
        <w:tc>
          <w:tcPr>
            <w:tcW w:type="dxa" w:w="6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مساحة عملٍ دوريةٌ بقرار — تبقى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إقفال الفترات</w:t>
            </w:r>
          </w:p>
        </w:tc>
        <w:tc>
          <w:tcPr>
            <w:tcW w:type="dxa" w:w="7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14</w:t>
            </w:r>
          </w:p>
        </w:tc>
      </w:tr>
      <w:tr>
        <w:tc>
          <w:tcPr>
            <w:tcW w:type="dxa" w:w="6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سجل صلاحياتٍ — ينقل لباب مدير الصلاحيات لا المالية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المعاونون</w:t>
            </w:r>
          </w:p>
        </w:tc>
        <w:tc>
          <w:tcPr>
            <w:tcW w:type="dxa" w:w="7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15</w:t>
            </w:r>
          </w:p>
        </w:tc>
      </w:tr>
      <w:tr>
        <w:tc>
          <w:tcPr>
            <w:tcW w:type="dxa" w:w="6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تنقسم رحلتين يوميّتين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«حسابات العملاء والتحصيل» و«حسابات الموردين والمستحقات» — ولوحةٌ إجماليةٌ للمدير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الذمم والتحصيل</w:t>
            </w:r>
          </w:p>
        </w:tc>
        <w:tc>
          <w:tcPr>
            <w:tcW w:type="dxa" w:w="7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16</w:t>
            </w:r>
          </w:p>
        </w:tc>
      </w:tr>
      <w:tr>
        <w:tc>
          <w:tcPr>
            <w:tcW w:type="dxa" w:w="6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تقرير ضمن دورة الموردين — رابطه من كشوف الموردين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كشف حساب المورد</w:t>
            </w:r>
          </w:p>
        </w:tc>
        <w:tc>
          <w:tcPr>
            <w:tcW w:type="dxa" w:w="7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17</w:t>
            </w:r>
          </w:p>
        </w:tc>
      </w:tr>
      <w:tr>
        <w:tc>
          <w:tcPr>
            <w:tcW w:type="dxa" w:w="6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تنفصل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«دفعات اليوم» · «تحصيلات اليوم» · «حركة الخزينة والتحويلات» — وسجلٌّ جامعٌ للقراءة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المدفوعات والخزينة</w:t>
            </w:r>
          </w:p>
        </w:tc>
        <w:tc>
          <w:tcPr>
            <w:tcW w:type="dxa" w:w="7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18</w:t>
            </w:r>
          </w:p>
        </w:tc>
      </w:tr>
      <w:tr>
        <w:tc>
          <w:tcPr>
            <w:tcW w:type="dxa" w:w="6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مساحة عملٍ ضمن الخزينة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استيرادُ كشف البنك ومضاهاةٌ آليةٌ سطرًا بسطر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بديلَ المضاهاة اليدوية في الجداول الخارجية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— والفروقُ تُفتح بقرارٍ وسبب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المطابقة البنكية</w:t>
            </w:r>
          </w:p>
        </w:tc>
        <w:tc>
          <w:tcPr>
            <w:tcW w:type="dxa" w:w="7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19</w:t>
            </w:r>
          </w:p>
        </w:tc>
      </w:tr>
      <w:tr>
        <w:tc>
          <w:tcPr>
            <w:tcW w:type="dxa" w:w="6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متابعةٌ بقرار ضمن التخطيط — وتستوعب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(21)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فلا شاشتين للانحراف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الميزانية والانحراف</w:t>
            </w:r>
          </w:p>
        </w:tc>
        <w:tc>
          <w:tcPr>
            <w:tcW w:type="dxa" w:w="7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20</w:t>
            </w:r>
          </w:p>
        </w:tc>
      </w:tr>
      <w:tr>
        <w:tc>
          <w:tcPr>
            <w:tcW w:type="dxa" w:w="6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تُدمج في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(20)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تبويبَ «الانحرافات التي تحتاج قرارًا»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متابعة الانحراف</w:t>
            </w:r>
          </w:p>
        </w:tc>
        <w:tc>
          <w:tcPr>
            <w:tcW w:type="dxa" w:w="7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21</w:t>
            </w:r>
          </w:p>
        </w:tc>
      </w:tr>
      <w:tr>
        <w:tc>
          <w:tcPr>
            <w:tcW w:type="dxa" w:w="6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إعداد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+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تقاريره في مركزها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الضرائب والقيمة المضافة</w:t>
            </w:r>
          </w:p>
        </w:tc>
        <w:tc>
          <w:tcPr>
            <w:tcW w:type="dxa" w:w="7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22</w:t>
            </w:r>
          </w:p>
        </w:tc>
      </w:tr>
      <w:tr>
        <w:tc>
          <w:tcPr>
            <w:tcW w:type="dxa" w:w="6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إعداد — خلف صلاحية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قواعد مخصص الصيانة</w:t>
            </w:r>
          </w:p>
        </w:tc>
        <w:tc>
          <w:tcPr>
            <w:tcW w:type="dxa" w:w="7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23</w:t>
            </w:r>
          </w:p>
        </w:tc>
      </w:tr>
      <w:tr>
        <w:tc>
          <w:tcPr>
            <w:tcW w:type="dxa" w:w="6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تُعاد بناءً «سياسات مستحقات المشغّلين» الكاملة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(§8.2)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قواعد مستحقات المشغلين</w:t>
            </w:r>
          </w:p>
        </w:tc>
        <w:tc>
          <w:tcPr>
            <w:tcW w:type="dxa" w:w="7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24</w:t>
            </w:r>
          </w:p>
        </w:tc>
      </w:tr>
      <w:tr>
        <w:tc>
          <w:tcPr>
            <w:tcW w:type="dxa" w:w="6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بوابة موافقات الطلبات بعدّاد — ورحلة الطلب شريطُ حالةٍ واحد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الطلبات المالية</w:t>
            </w:r>
          </w:p>
        </w:tc>
        <w:tc>
          <w:tcPr>
            <w:tcW w:type="dxa" w:w="7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25</w:t>
            </w:r>
          </w:p>
        </w:tc>
      </w:tr>
      <w:tr>
        <w:tc>
          <w:tcPr>
            <w:tcW w:type="dxa" w:w="6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سجل تدقيقٍ تقنيٌّ خلف صلاحية المراجع — يُسمّى «سجل التدقيق المالي» ولا يظهر عملًا يوميًّا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سجل الحركة المالية</w:t>
            </w:r>
          </w:p>
        </w:tc>
        <w:tc>
          <w:tcPr>
            <w:tcW w:type="dxa" w:w="7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26</w:t>
            </w:r>
          </w:p>
        </w:tc>
      </w:tr>
      <w:tr>
        <w:tc>
          <w:tcPr>
            <w:tcW w:type="dxa" w:w="6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إعداد — خلف صلاحية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قواعد توجيه الطلبات</w:t>
            </w:r>
          </w:p>
        </w:tc>
        <w:tc>
          <w:tcPr>
            <w:tcW w:type="dxa" w:w="7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27</w:t>
            </w:r>
          </w:p>
        </w:tc>
      </w:tr>
      <w:tr>
        <w:tc>
          <w:tcPr>
            <w:tcW w:type="dxa" w:w="6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تقرير أداء ضمن التخطيط والتحليل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زمن دورة الطلبات</w:t>
            </w:r>
          </w:p>
        </w:tc>
        <w:tc>
          <w:tcPr>
            <w:tcW w:type="dxa" w:w="7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28</w:t>
            </w:r>
          </w:p>
        </w:tc>
      </w:tr>
      <w:tr>
        <w:tc>
          <w:tcPr>
            <w:tcW w:type="dxa" w:w="6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تقرير ضمن مركز التقارير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تقارير الطلبات المالية</w:t>
            </w:r>
          </w:p>
        </w:tc>
        <w:tc>
          <w:tcPr>
            <w:tcW w:type="dxa" w:w="7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29</w:t>
            </w:r>
          </w:p>
        </w:tc>
      </w:tr>
      <w:tr>
        <w:tc>
          <w:tcPr>
            <w:tcW w:type="dxa" w:w="6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ملف رئيسي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سجل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ضمن التخطيط والتحليل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التمويل والالتزامات</w:t>
            </w:r>
          </w:p>
        </w:tc>
        <w:tc>
          <w:tcPr>
            <w:tcW w:type="dxa" w:w="7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30</w:t>
            </w:r>
          </w:p>
        </w:tc>
      </w:tr>
      <w:tr>
        <w:tc>
          <w:tcPr>
            <w:tcW w:type="dxa" w:w="6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تقرير قيادة ضمن التخطيط والتحليل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السيولة والتنبؤ النقدي</w:t>
            </w:r>
          </w:p>
        </w:tc>
        <w:tc>
          <w:tcPr>
            <w:tcW w:type="dxa" w:w="7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31</w:t>
            </w:r>
          </w:p>
        </w:tc>
      </w:tr>
      <w:tr>
        <w:tc>
          <w:tcPr>
            <w:tcW w:type="dxa" w:w="6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ملف رئيسي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سجل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— وإعدادُ الإهلاك خلف صلاحية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الأصول والإهلاك</w:t>
            </w:r>
          </w:p>
        </w:tc>
        <w:tc>
          <w:tcPr>
            <w:tcW w:type="dxa" w:w="7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32</w:t>
            </w:r>
          </w:p>
        </w:tc>
      </w:tr>
      <w:tr>
        <w:tc>
          <w:tcPr>
            <w:tcW w:type="dxa" w:w="6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صندوق موافقات المدير بعدّاد — ضمن عملي اليوم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موافقات إدارتي</w:t>
            </w:r>
          </w:p>
        </w:tc>
        <w:tc>
          <w:tcPr>
            <w:tcW w:type="dxa" w:w="7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33</w:t>
            </w:r>
          </w:p>
        </w:tc>
      </w:tr>
      <w:tr>
        <w:tc>
          <w:tcPr>
            <w:tcW w:type="dxa" w:w="6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مساحة عمل محاسب الإدارة — ضمن عملي اليوم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مكتب المحاسب</w:t>
            </w:r>
          </w:p>
        </w:tc>
        <w:tc>
          <w:tcPr>
            <w:tcW w:type="dxa" w:w="7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34</w:t>
            </w:r>
          </w:p>
        </w:tc>
      </w:tr>
      <w:tr>
        <w:tc>
          <w:tcPr>
            <w:tcW w:type="dxa" w:w="6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تُلغى قائمةً — تصبح بابَ «الإعدادات والتدقيق» بصلاحياته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الإعدادات</w:t>
            </w:r>
          </w:p>
        </w:tc>
        <w:tc>
          <w:tcPr>
            <w:tcW w:type="dxa" w:w="7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35</w:t>
            </w:r>
          </w:p>
        </w:tc>
      </w:tr>
    </w:tbl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3EDFA" w:sz="2"/>
              <w:left w:val="single" w:color="F3EDFA" w:sz="2"/>
              <w:bottom w:val="single" w:color="F3EDFA" w:sz="2"/>
              <w:right w:val="single" w:color="6B3FA0" w:sz="18"/>
            </w:tcBorders>
            <w:shd w:fill="F3EDFA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b/>
                <w:bCs/>
                <w:color w:val="6B3FA0"/>
                <w:sz w:val="18"/>
                <w:szCs w:val="18"/>
                <w:rtl/>
              </w:rPr>
              <w:t xml:space="preserve">قاعدة المصفوفة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كل شاشةٍ إما مساحةُ عملٍ بمهمةٍ وفعلٍ، أو سجلٌّ يُفتح عند الحاجة، أو تقريرٌ في مركزه، أو إعدادٌ خلف صلاحية، أو تدقيقٌ تقنيٌّ محجوب — ولا «رئيسية» بعد اليوم إلا لوحاتُ الأدوار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.</w:t>
            </w:r>
          </w:p>
        </w:tc>
      </w:tr>
    </w:tbl>
    <w:p>
      <w:pPr>
        <w:pStyle w:val="Heading1"/>
        <w:pBdr>
          <w:bottom w:val="single" w:color="C9D6E8" w:sz="6" w:space="3"/>
        </w:pBdr>
        <w:bidi/>
        <w:spacing w:after="150" w:before="260" w:line="3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دورات العمل الست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: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 البنية الحاكمة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  ·  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5</w:t>
      </w:r>
    </w:p>
    <w:p>
      <w:pPr>
        <w:bidi/>
        <w:spacing w:after="130" w:line="264"/>
        <w:jc w:val="right"/>
      </w:pP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تُنظَّم الإدارة المالية حول ست دوراتٍ لا حول أسماء الوثائق — لكل دورةٍ شاشةٌ أمٌّ برحلةٍ ظاهرة، وما يخصّ المعاملة الواحدة يندمج تبويباتٍ فيها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: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60"/>
        <w:gridCol w:w="3300"/>
        <w:gridCol w:w="1800"/>
      </w:tblGrid>
      <w:tr>
        <w:trPr>
          <w:tblHeader/>
        </w:trPr>
        <w:tc>
          <w:tcPr>
            <w:tcW w:type="dxa" w:w="42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شاشتها الأم وتبويباتها</w:t>
            </w:r>
          </w:p>
        </w:tc>
        <w:tc>
          <w:tcPr>
            <w:tcW w:type="dxa" w:w="3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خطواتها</w:t>
            </w:r>
          </w:p>
        </w:tc>
        <w:tc>
          <w:tcPr>
            <w:tcW w:type="dxa" w:w="18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الدورة</w:t>
            </w:r>
          </w:p>
        </w:tc>
      </w:tr>
      <w:tr>
        <w:tc>
          <w:tcPr>
            <w:tcW w:type="dxa" w:w="42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«الطلب المالي» الواحد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بيانات · مستندات · خط سير · موافقات · دفعات · قيود · سجل حركة — لا روابط متفرقة</w:t>
            </w:r>
          </w:p>
        </w:tc>
        <w:tc>
          <w:tcPr>
            <w:tcW w:type="dxa" w:w="3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الإنشاء ← الاعتماد الإداري ← محاسب الإدارة ← المراجعة المالية ← اعتماد الصرف ← التنفيذ ← التسوية ← الإغلاق</w:t>
            </w:r>
          </w:p>
        </w:tc>
        <w:tc>
          <w:tcPr>
            <w:tcW w:type="dxa" w:w="18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① الطلب المالي</w:t>
            </w:r>
          </w:p>
        </w:tc>
      </w:tr>
      <w:tr>
        <w:tc>
          <w:tcPr>
            <w:tcW w:type="dxa" w:w="42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«حسابات العملاء والتحصيل»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الوحدات المعتمدة ← المستخلص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المطالبة ← الفاتورة الضريبية ← الذمة ← التحصيل — ولا تُدمج مطالبةُ العميل مع فاتورته قبل اكتمال الاستحقاق، والمطالبةُ المتنازَع عليها مسارُها المستقل بمتابعته</w:t>
            </w:r>
          </w:p>
        </w:tc>
        <w:tc>
          <w:tcPr>
            <w:tcW w:type="dxa" w:w="3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وحدات العميل المعتمدة ← المطالبة ← الفاتورة ← الاستحقاق ← التحصيل ← المتابعة ← المطابقة ← الإقفال</w:t>
            </w:r>
          </w:p>
        </w:tc>
        <w:tc>
          <w:tcPr>
            <w:tcW w:type="dxa" w:w="18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② العملاء والإيرادات</w:t>
            </w:r>
          </w:p>
        </w:tc>
      </w:tr>
      <w:tr>
        <w:tc>
          <w:tcPr>
            <w:tcW w:type="dxa" w:w="42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«حسابات الموردين والمستحقات»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الاستحقاق ← الخصومات ← التسوية ← اعتماد المستحق ← طلب الدفع ← كشف الحساب</w:t>
            </w:r>
          </w:p>
        </w:tc>
        <w:tc>
          <w:tcPr>
            <w:tcW w:type="dxa" w:w="3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وحدات المورد ← الاستحقاق الأولي ← التحميلات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وقود · قطع غيار · صيانة · نقل · سلف · جزاءات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← التسوية ← صافي المستحق ← اعتماده ← طلب الدفع ← التنفيذ ← الكشف —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مورد الآليات؛ وتوأمُه الشرائي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مورد المشتريات باستحقاقٍ من مطابقة فاتورته الثلاثية، بيتُه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UX-09)</w:t>
            </w:r>
          </w:p>
        </w:tc>
        <w:tc>
          <w:tcPr>
            <w:tcW w:type="dxa" w:w="18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③ الموردون والمصروفات</w:t>
            </w:r>
          </w:p>
        </w:tc>
      </w:tr>
      <w:tr>
        <w:tc>
          <w:tcPr>
            <w:tcW w:type="dxa" w:w="42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«الخزينة»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الأرصدة بعملاتها الثلاث ومعادلها الموحّد · دفعات اليوم · تحصيلات اليوم · التحويلات · سندات القبض والصرف · المطابقة البنكية بالمضاهاة الآلية</w:t>
            </w:r>
          </w:p>
        </w:tc>
        <w:tc>
          <w:tcPr>
            <w:tcW w:type="dxa" w:w="3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الأرصدة ← الدفعات المعتمدة ← أوامر التحويل ← السندات ← التحويلات ← المطابقة ← حركة النقد اليومية</w:t>
            </w:r>
          </w:p>
        </w:tc>
        <w:tc>
          <w:tcPr>
            <w:tcW w:type="dxa" w:w="18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④ الخزينة والبنوك</w:t>
            </w:r>
          </w:p>
        </w:tc>
      </w:tr>
      <w:tr>
        <w:tc>
          <w:tcPr>
            <w:tcW w:type="dxa" w:w="42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«القيود والإقفال»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الآلية · اليدوية الاستثنائية · المراجعة · الترحيل · الفترات · ميزان المراجعة · القوائم</w:t>
            </w:r>
          </w:p>
        </w:tc>
        <w:tc>
          <w:tcPr>
            <w:tcW w:type="dxa" w:w="3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القيود الآلية ← اليدوية ← المراجعة ← الترحيل ← الفترات ← الإقفال ← الميزان ← القوائم</w:t>
            </w:r>
          </w:p>
        </w:tc>
        <w:tc>
          <w:tcPr>
            <w:tcW w:type="dxa" w:w="18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⑤ المحاسبة العامة</w:t>
            </w:r>
          </w:p>
        </w:tc>
      </w:tr>
      <w:tr>
        <w:tc>
          <w:tcPr>
            <w:tcW w:type="dxa" w:w="42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«التخطيط والتحليل»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الميزانية · الفعلي مقابل المخطط · الانحراف وقراره · الربحية · السيولة · التمويل</w:t>
            </w:r>
          </w:p>
        </w:tc>
        <w:tc>
          <w:tcPr>
            <w:tcW w:type="dxa" w:w="3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إعداد الميزانية ← اعتمادها ← الفعلي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المخطط ← تحليل الانحراف ← الإجراء التصحيحي ← المتابعة</w:t>
            </w:r>
          </w:p>
        </w:tc>
        <w:tc>
          <w:tcPr>
            <w:tcW w:type="dxa" w:w="18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⑥ التخطيط والرقابة</w:t>
            </w:r>
          </w:p>
        </w:tc>
      </w:tr>
    </w:tbl>
    <w:p>
      <w:pPr>
        <w:pStyle w:val="Heading1"/>
        <w:pBdr>
          <w:bottom w:val="single" w:color="C9D6E8" w:sz="6" w:space="3"/>
        </w:pBdr>
        <w:bidi/>
        <w:spacing w:after="150" w:before="260" w:line="3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السايدبار المالي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: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 سبع مجموعات لا 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35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 رابطًا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  ·  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6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60"/>
        <w:gridCol w:w="2300"/>
      </w:tblGrid>
      <w:tr>
        <w:trPr>
          <w:tblHeader/>
        </w:trP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روابطها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المجموعة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مهامي المالية · الطلبات التي تنتظرني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بعدّاد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دفعات اليوم · تحصيلات اليوم · التنبيهات والاستثناءات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① عملي اليوم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مستخلصات وفواتير العملاء · ذمم العملاء · التحصيلات · مطالبات العملاء · كشوف حساب العملاء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② العملاء والتحصيل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مستحقات الموردين · تسويات الموردين · طلبات الدفع · المدفوعات · كشوف حساب الموردين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③ الموردون والمدفوعات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أرصدة الخزن والبنوك · سندات القبض · سندات الصرف · التحويلات · المطابقة البنكية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④ الخزينة والبنوك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القيود اليومية · دليل الحسابات · مراكز التكلفة · الفترات والإقفال · ميزان المراجعة · القوائم المالية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⑤ المحاسبة العامة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الميزانيات · الانحرافات · التكاليف والربحية · السيولة والتنبؤ النقدي · التمويل والالتزامات · الضرائب والأصول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⑥ التخطيط والتحليل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للمخوّلين فقط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إعدادات الاستحقاق · قواعد التوجيه والاعتماد · سجل التدقيق المالي · إعدادات الضرائب والفترات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⑦ الإعدادات والتدقيق</w:t>
            </w:r>
          </w:p>
        </w:tc>
      </w:tr>
    </w:tbl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AF2FB" w:sz="2"/>
              <w:left w:val="single" w:color="EAF2FB" w:sz="2"/>
              <w:bottom w:val="single" w:color="EAF2FB" w:sz="2"/>
              <w:right w:val="single" w:color="1F4E79" w:sz="18"/>
            </w:tcBorders>
            <w:shd w:fill="EAF2FB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قاعدة الظهور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لا يرى المحاسبُ إلا مجموعاتِ عمله؛ ولا يرى أحدٌ المجموعةَ السابعة إلا بصلاحيتها؛ والبنيةُ تُختبر مع أدوار المالية قبل اعتمادها نهائيًّا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.</w:t>
            </w:r>
          </w:p>
        </w:tc>
      </w:tr>
    </w:tbl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DF3E7" w:sz="2"/>
              <w:left w:val="single" w:color="FDF3E7" w:sz="2"/>
              <w:bottom w:val="single" w:color="FDF3E7" w:sz="2"/>
              <w:right w:val="single" w:color="D4700E" w:sz="18"/>
            </w:tcBorders>
            <w:shd w:fill="FDF3E7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b/>
                <w:bCs/>
                <w:color w:val="D4700E"/>
                <w:sz w:val="18"/>
                <w:szCs w:val="18"/>
                <w:rtl/>
              </w:rPr>
              <w:t xml:space="preserve">أسماء المجموعات ليست أسماء شاشات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المجموعة عنوانُ بابٍ فقط؛ وداخل كل مجموعةٍ أسماءُ مهامٍ محددة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«مراجعة المعاملات الواردة» لا «المعاملات المالية» · «إعداد الميزانية» و«متابعة الانحرافات» لا «التخطيط والتحليل» · «سجل التدقيق المالي» لا «الإعدادات والتدقيق»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.</w:t>
            </w:r>
          </w:p>
        </w:tc>
      </w:tr>
    </w:tbl>
    <w:p>
      <w:pPr>
        <w:pStyle w:val="Heading1"/>
        <w:pBdr>
          <w:bottom w:val="single" w:color="C9D6E8" w:sz="6" w:space="3"/>
        </w:pBdr>
        <w:bidi/>
        <w:spacing w:after="150" w:before="260" w:line="3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لوحات الأدوار المالية الأربعة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  ·  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7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60"/>
        <w:gridCol w:w="2300"/>
      </w:tblGrid>
      <w:tr>
        <w:trPr>
          <w:tblHeader/>
        </w:trP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مكوّنات لوحته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الدور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موقف السيولة · التحصيلات والمدفوعات القادمة · الذمم المتأخرة · الانحرافات الحرجة · الالتزامات التمويلية · القرارات التي تنتظر اعتماده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مدير الإدارة المالية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المعاملات الجديدة للمراجعة · المستندات الناقصة · القيود غير المرحَّلة · التسويات المفتوحة · الطلبات المعادة إليه · مهامه بتاريخ الاستحقاق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المحاسب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المدفوعات المعتمدة الجاهزة للتنفيذ · التحصيلات المطلوب تسجيلها · أرصدة الخزن والبنوك · التحويلات المعلّقة · المستندات المطلوب طباعتها · موقف المطابقة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أمين الخزينة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القيود عالية المخاطر · التعديلات بعد الاعتماد · المعاملات بلا مستند · تجاوزات الصلاحيات · فروق المطابقات · سجل التغييرات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المراجع المالي</w:t>
            </w:r>
          </w:p>
        </w:tc>
      </w:tr>
    </w:tbl>
    <w:p>
      <w:pPr>
        <w:pStyle w:val="Heading2"/>
        <w:bidi/>
        <w:spacing w:after="110" w:before="200" w:line="280"/>
        <w:jc w:val="right"/>
      </w:pP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7.1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 · المستخدم متعدد الأدوار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مبدّل مساحة العمل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من الشريط العلوي يبدّل بين لوحات أدواره؛ ولكل مساحةٍ سايدبارُها وعدّاداتُها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صفحة «مساحاتي»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من يحمل أكثر من دورٍ يفتتح بصفحةٍ تجمع بطاقةً موجزةً لكل مساحةٍ بعدّاد ما ينتظره فيها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توحيد التنبيهات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التنبيه المشترك بين دورين يُعرض مرةً واحدةً بمصدره — لا نسختين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منع تكرار المؤشرات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المؤشر الواحد يملكه دورٌ واحدٌ على لوحته؛ وغيره يراه في التقارير لا مكرَّرًا على لوحته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pStyle w:val="Heading1"/>
        <w:pBdr>
          <w:bottom w:val="single" w:color="C9D6E8" w:sz="6" w:space="3"/>
        </w:pBdr>
        <w:bidi/>
        <w:spacing w:after="150" w:before="260" w:line="3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التصحيحان الوظيفيان العاجلان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  ·  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8</w:t>
      </w:r>
    </w:p>
    <w:p>
      <w:pPr>
        <w:pStyle w:val="Heading2"/>
        <w:bidi/>
        <w:spacing w:after="110" w:before="200" w:line="280"/>
        <w:jc w:val="right"/>
      </w:pP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8.1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 · شاشة «وحدات الأطراف» بدل «مطابقة الوحدات»</w:t>
      </w:r>
    </w:p>
    <w:p>
      <w:pPr>
        <w:bidi/>
        <w:spacing w:after="130" w:line="264"/>
        <w:jc w:val="right"/>
      </w:pP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الشاشة الحالية مبنيةٌ على مفهومٍ أُبطل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: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عمودُ كميةٍ واحد وأمثلةُ تطابقٍ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(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طن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14,000/14,000/14,000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· متر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92/92/92)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واعتمادٌ مشروطٌ بالتساوي — وهذا خطأٌ وظيفيٌّ لا تسمية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تُعاد الشاشة على المفهوم المعتمد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: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واقعةٌ واحدة وأحكامُ أطرافٍ مستقلة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: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60"/>
        <w:gridCol w:w="2300"/>
      </w:tblGrid>
      <w:tr>
        <w:trPr>
          <w:tblHeader/>
        </w:trP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محتواها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بنية الشاشة الجديدة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التاريخ · المشروع · المعدة · المشغّل · نموذج العمل · الكمية المسجّلة · الزمن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فعلي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استعداد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توقف بمسؤوله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— تقرأ الشاشةُ من سجلّ الوحدات القانوني بوصفه طبقةَ الحقيقة المعتمدة، وبياناتُه مشتقةٌ من إدخال التايم شيت اليومي ومتصلةٌ به مرجعيًّا دون إعادة إدخال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التايم شيت مصدرُ إنشاء الواقعة، والسجلُّ مصدرُ قراءتها بعد الترحيل والاعتماد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رأس الواقعة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الوحدة · الكمية · الحالة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مستحقة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جزئية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معلّقة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مرفوضة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سبب التعديل · الاستحقاق — وفق سياسة عقده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بطاقة حكم العميل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الوحدة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وقد تخالف وحدة العميل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الكمية · الحالة · الخصومات أو الاستعداد · الاستحقاق — وفق عقده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بطاقة حكم المورد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أساس الحافز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فعلي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استعداد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حضور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طن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نقلة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متر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مركّب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الكمية · الحالة · الاستحقاق — وفق عقده أو سياسته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بطاقة حكم المشغّل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زر «اعتماد الأحكام» لا «اعتماد التطابق» — والتساوي يُعلَّم تلقائيًّا حين يقع طبيعيًّا وفق العقود، ولا يُشترط أبدًا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الإجراء</w:t>
            </w:r>
          </w:p>
        </w:tc>
      </w:tr>
    </w:tbl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DF3E7" w:sz="2"/>
              <w:left w:val="single" w:color="FDF3E7" w:sz="2"/>
              <w:bottom w:val="single" w:color="FDF3E7" w:sz="2"/>
              <w:right w:val="single" w:color="D4700E" w:sz="18"/>
            </w:tcBorders>
            <w:shd w:fill="FDF3E7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b/>
                <w:bCs/>
                <w:color w:val="D4700E"/>
                <w:sz w:val="18"/>
                <w:szCs w:val="18"/>
                <w:rtl/>
              </w:rPr>
              <w:t xml:space="preserve">قاعدةٌ حاكمة في مواصفة البيانات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ثلاثةُ حقولٍ منفصلةٌ إلزاميًّا لا حقلَ كميةٍ واحد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وحدةُ العقد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الاستحقاق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الزمنُ التشغيلي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فعلي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استعداد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توقف بمسؤوله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كميةُ الإنتاج التحليلية — فعقدُ الساعة قد يسجّل أطنانًا أو أمتارًا للتحليل دون أن تتحول استحقاقًا تعاقديًّا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ولا يظهر مصطلح «التطابق الثلاثي» في أي شاشة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.</w:t>
            </w:r>
          </w:p>
        </w:tc>
      </w:tr>
    </w:tbl>
    <w:p>
      <w:pPr>
        <w:pStyle w:val="Heading2"/>
        <w:bidi/>
        <w:spacing w:after="110" w:before="200" w:line="280"/>
        <w:jc w:val="right"/>
      </w:pP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8.2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 · شاشة «سياسات مستحقات المشغّلين» الكاملة</w:t>
      </w:r>
    </w:p>
    <w:p>
      <w:pPr>
        <w:bidi/>
        <w:spacing w:after="130" w:line="264"/>
        <w:jc w:val="right"/>
      </w:pP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الشاشة الحالية عمودان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(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المشغّل · بالراتب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)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وزرُّ «اجعله بالمستحق» — نموذجُ بياناتٍ ناقصٌ جوهريًّا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تُعاد جدولَ سياساتٍ يدعم النماذج الثلاثة والأسس السبعة، بالحقول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: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60"/>
        <w:gridCol w:w="2300"/>
      </w:tblGrid>
      <w:tr>
        <w:trPr>
          <w:tblHeader/>
        </w:trP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حقولها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المجموعة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المشغّل · عقده المرجعي · تاريخ سريان السياسة · تاريخ الاعتماد · العملة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الهوية والسريان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نموذج العمل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ساعة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طن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نقلة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متر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أساس الاستحقاق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تشغيل فعلي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استعداد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حضور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طن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نقلة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متر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مركّب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النموذج والأساس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معدل الاستحقاق · الحد الأدنى · الحد الأقصى · الخصومات · الاستثناءات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القيم والحدود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نطاق التطبيق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المشروع أو نوع المعدة — وسياسةٌ افتراضيةٌ عند غياب الخاص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النطاق</w:t>
            </w:r>
          </w:p>
        </w:tc>
      </w:tr>
    </w:tbl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3EDFA" w:sz="2"/>
              <w:left w:val="single" w:color="F3EDFA" w:sz="2"/>
              <w:bottom w:val="single" w:color="F3EDFA" w:sz="2"/>
              <w:right w:val="single" w:color="6B3FA0" w:sz="18"/>
            </w:tcBorders>
            <w:shd w:fill="F3EDFA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b/>
                <w:bCs/>
                <w:color w:val="6B3FA0"/>
                <w:sz w:val="18"/>
                <w:szCs w:val="18"/>
                <w:rtl/>
              </w:rPr>
              <w:t xml:space="preserve">حكم النماذج الثلاثة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في التأجير بالساعة تُطبَّق حالاتُ الساعة على المشغّل وفق عقده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وفي النقل بالطن والتخريم بالمتر وحدةُ إنتاج العميل والمورد هي الطنُّ أو المتر، والاستعدادُ والتوقفُ لا يتحولان وحداتِ إنتاجٍ أبدًا — ويجوز احتسابهما للمشغّل وحده وفق عقده أو سياسة حافزه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وكميةُ الإنتاج التحليلية لا تصبح استحقاقًا تلقائيًّا في أي نموذج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.</w:t>
            </w:r>
          </w:p>
        </w:tc>
      </w:tr>
    </w:tbl>
    <w:p>
      <w:pPr>
        <w:pStyle w:val="Heading1"/>
        <w:pBdr>
          <w:bottom w:val="single" w:color="C9D6E8" w:sz="6" w:space="3"/>
        </w:pBdr>
        <w:bidi/>
        <w:spacing w:after="150" w:before="260" w:line="3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الشرط المعماري قبل أي تسمية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  ·  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9</w:t>
      </w:r>
    </w:p>
    <w:p>
      <w:pPr>
        <w:bidi/>
        <w:spacing w:after="130" w:line="264"/>
        <w:jc w:val="right"/>
      </w:pP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لا يصح تجميلُ شاشةٍ فوق خرقٍ مفتوح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شاشةُ استقبال المعاملات تكتب في دفتر المعاملات مباشرةً متجاوزةً الناشر، وقد ولّدت عشرة صفوف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(FIN-EV-IMP-1..10)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بلا حدثٍ جذري — والمطلوب قبل أي عملِ واجهةٍ عليها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: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① سدّ المسار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إلغاء الكتابة المباشرة نهائيًّا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: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كل معاملةٍ واردةٍ تمرّ بالناشر وتحمل حدثَها الجذري ومرجعَها الأصلي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(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طلب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/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أمر شراء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/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أمر صيانة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).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② معالجة الإرث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الصفوف العشرة تُعالج رجعيًّا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: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توليد أحداثها الجذرية بمراجعها أو عكسها الموثَّق — لا تُترك ولا تُحذف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③ مصدر حقيقة الوحدات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بدء المرحلة الثانية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: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الكتابة في جداول الوحدة القانونية والترحيل من التايم شيت إليها — فشاشةُ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8.1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لا تُبنى فوق مصدرٍ فارغ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④ توحيد مصدر السايدبار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المصادر الخمسة تُدمج مصدرًا واحدًا محكومًا، وتُصفّى الروابط المكررة والرابط الميت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pStyle w:val="Heading1"/>
        <w:pBdr>
          <w:bottom w:val="single" w:color="C9D6E8" w:sz="6" w:space="3"/>
        </w:pBdr>
        <w:bidi/>
        <w:spacing w:after="150" w:before="260" w:line="3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معيار مواصفة الجدول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  ·  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10</w:t>
      </w:r>
    </w:p>
    <w:p>
      <w:pPr>
        <w:bidi/>
        <w:spacing w:after="130" w:line="264"/>
        <w:jc w:val="right"/>
      </w:pP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لا يُقبل جدولٌ عامٌّ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(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رقم · نوع · مصدر · مرجع · مبلغ · حالة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)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إذا كانت المهمة تحتاج أكثر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لكل جدولٍ من الـ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48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وثيقةُ مواصفةٍ تحدد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: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الاسم المقترح · الغرض العملي · المستخدم · الأعمدة الحالية والمحذوفة والجديدة وترتيبها · الفلاتر · البحث · أزرار الصف · حالات السجل · التنبيهات · المجاميع · التصدير · الرابط إلى المستند الأصلي · المرجعُ التخصصي والقانوني للإدارة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(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ما يلزم مستنديًّا وضريبيًّا ونظاميًّا أعمدةً واجبة — ومنه تعددُ العملات وسعرُ الصرف والمعادلُ الموحّد حيث تعمل الإدارة بعملاتٍ عدة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)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· خريطةُ الاشتقاق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(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ما يملؤه النظام آليًّا وما يُطلب من المُدخل وحده — إدخالُ المعلومة مرةً في مصدرها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)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· مطابقةُ هيكل الحدث المالي الموحّد ومجموعاتِه الثماني وإجابةُ أسئلته الست حيث للجدول أثرٌ مالي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(FES-01)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· ما يظهر على الهاتف وما يظهر على الحاسوب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مثالٌ قالبيٌّ ملزم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: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60"/>
        <w:gridCol w:w="2800"/>
      </w:tblGrid>
      <w:tr>
        <w:trPr>
          <w:tblHeader/>
        </w:trPr>
        <w:tc>
          <w:tcPr>
            <w:tcW w:type="dxa" w:w="65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مواصفته</w:t>
            </w:r>
          </w:p>
        </w:tc>
        <w:tc>
          <w:tcPr>
            <w:tcW w:type="dxa" w:w="28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جدول «دفعات اليوم»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أمين الخزينة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)</w:t>
            </w:r>
          </w:p>
        </w:tc>
      </w:tr>
      <w:tr>
        <w:tc>
          <w:tcPr>
            <w:tcW w:type="dxa" w:w="65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الاستحقاق · المستفيد · المبلغ والعملة · طريقة الدفع · الحساب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الخزنة · مرجع الطلب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رابط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الأولوية · الحالة</w:t>
            </w:r>
          </w:p>
        </w:tc>
        <w:tc>
          <w:tcPr>
            <w:tcW w:type="dxa" w:w="28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الأعمدة بترتيبها</w:t>
            </w:r>
          </w:p>
        </w:tc>
      </w:tr>
      <w:tr>
        <w:tc>
          <w:tcPr>
            <w:tcW w:type="dxa" w:w="65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اليوم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الفترة · طريقة الدفع · الحساب · الأولوية · المستفيد</w:t>
            </w:r>
          </w:p>
        </w:tc>
        <w:tc>
          <w:tcPr>
            <w:tcW w:type="dxa" w:w="28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الفلاتر</w:t>
            </w:r>
          </w:p>
        </w:tc>
      </w:tr>
      <w:tr>
        <w:tc>
          <w:tcPr>
            <w:tcW w:type="dxa" w:w="65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تنفيذ الدفعة · طباعة السند · تأجيل بسبب · فتح الطلب الأصلي</w:t>
            </w:r>
          </w:p>
        </w:tc>
        <w:tc>
          <w:tcPr>
            <w:tcW w:type="dxa" w:w="28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أزرار الصف</w:t>
            </w:r>
          </w:p>
        </w:tc>
      </w:tr>
      <w:tr>
        <w:tc>
          <w:tcPr>
            <w:tcW w:type="dxa" w:w="65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جاهزة · قيد التنفيذ · منفَّذة · مؤجَّلة بسبب — بألوان النظام الموحدة</w:t>
            </w:r>
          </w:p>
        </w:tc>
        <w:tc>
          <w:tcPr>
            <w:tcW w:type="dxa" w:w="28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الحالات</w:t>
            </w:r>
          </w:p>
        </w:tc>
      </w:tr>
      <w:tr>
        <w:tc>
          <w:tcPr>
            <w:tcW w:type="dxa" w:w="65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إجمالي اليوم بالعملات · المتبقي بعد التنفيذ مقابل الرصيد</w:t>
            </w:r>
          </w:p>
        </w:tc>
        <w:tc>
          <w:tcPr>
            <w:tcW w:type="dxa" w:w="28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المجاميع</w:t>
            </w:r>
          </w:p>
        </w:tc>
      </w:tr>
      <w:tr>
        <w:tc>
          <w:tcPr>
            <w:tcW w:type="dxa" w:w="65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يستنتجه النظام من الطلب المعتمد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المستفيد وطريقة الدفع والحساب والعملة — تُعبَّأ للتأكيد ولا يُعاد إدخالها؛ والإلزامي وحده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مرجع التنفيذ البنكي</w:t>
            </w:r>
          </w:p>
        </w:tc>
        <w:tc>
          <w:tcPr>
            <w:tcW w:type="dxa" w:w="28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خريطة الاشتقاق</w:t>
            </w:r>
          </w:p>
        </w:tc>
      </w:tr>
      <w:tr>
        <w:tc>
          <w:tcPr>
            <w:tcW w:type="dxa" w:w="65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المبلغُ بعملته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+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المعادلُ الموحّد بسعر يومه محسوبًا — والمراكزُ والحساباتُ قوائمُ منسدلةٌ من الدليل الواحد لا كتابةً حرة</w:t>
            </w:r>
          </w:p>
        </w:tc>
        <w:tc>
          <w:tcPr>
            <w:tcW w:type="dxa" w:w="28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العملات والمراجع</w:t>
            </w:r>
          </w:p>
        </w:tc>
      </w:tr>
      <w:tr>
        <w:tc>
          <w:tcPr>
            <w:tcW w:type="dxa" w:w="65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رقم السند التسلسلي النظامي · توقيع المستلم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مرجع التحويل · موافقة الضريبة حيث تلزم — أعمدةٌ واجبةٌ بحكم معايير الخزينة</w:t>
            </w:r>
          </w:p>
        </w:tc>
        <w:tc>
          <w:tcPr>
            <w:tcW w:type="dxa" w:w="28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المتطلب النظامي</w:t>
            </w:r>
          </w:p>
        </w:tc>
      </w:tr>
      <w:tr>
        <w:tc>
          <w:tcPr>
            <w:tcW w:type="dxa" w:w="65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المستفيد والمبلغ والزر فقط — والباقي ببطاقة تفصيل</w:t>
            </w:r>
          </w:p>
        </w:tc>
        <w:tc>
          <w:tcPr>
            <w:tcW w:type="dxa" w:w="28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على الهاتف</w:t>
            </w:r>
          </w:p>
        </w:tc>
      </w:tr>
    </w:tbl>
    <w:p>
      <w:pPr>
        <w:pStyle w:val="Heading1"/>
        <w:pBdr>
          <w:bottom w:val="single" w:color="C9D6E8" w:sz="6" w:space="3"/>
        </w:pBdr>
        <w:bidi/>
        <w:spacing w:after="150" w:before="260" w:line="3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المخرجات قبل البرمجة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  ·  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11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60"/>
        <w:gridCol w:w="1700"/>
      </w:tblGrid>
      <w:tr>
        <w:trPr>
          <w:tblHeader/>
        </w:trPr>
        <w:tc>
          <w:tcPr>
            <w:tcW w:type="dxa" w:w="76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المخرَج</w:t>
            </w:r>
          </w:p>
        </w:tc>
        <w:tc>
          <w:tcPr>
            <w:tcW w:type="dxa" w:w="17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#</w:t>
            </w:r>
          </w:p>
        </w:tc>
      </w:tr>
      <w:tr>
        <w:tc>
          <w:tcPr>
            <w:tcW w:type="dxa" w:w="76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تقرير تشخيص الشاشات الـ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35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ببطاقات الجرد الخمسة عشر سؤالًا</w:t>
            </w:r>
          </w:p>
        </w:tc>
        <w:tc>
          <w:tcPr>
            <w:tcW w:type="dxa" w:w="17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1</w:t>
            </w:r>
          </w:p>
        </w:tc>
      </w:tr>
      <w:tr>
        <w:tc>
          <w:tcPr>
            <w:tcW w:type="dxa" w:w="76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خريطة مهام كل دورٍ مالي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المدير · المحاسب · الخزينة · المراجع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  <w:tc>
          <w:tcPr>
            <w:tcW w:type="dxa" w:w="17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2</w:t>
            </w:r>
          </w:p>
        </w:tc>
      </w:tr>
      <w:tr>
        <w:tc>
          <w:tcPr>
            <w:tcW w:type="dxa" w:w="76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خريطة دورات العمل الست بشاشاتها الأم وتبويباتها</w:t>
            </w:r>
          </w:p>
        </w:tc>
        <w:tc>
          <w:tcPr>
            <w:tcW w:type="dxa" w:w="17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3</w:t>
            </w:r>
          </w:p>
        </w:tc>
      </w:tr>
      <w:tr>
        <w:tc>
          <w:tcPr>
            <w:tcW w:type="dxa" w:w="76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السايدبار السباعي مصيَّرًا لكل دور</w:t>
            </w:r>
          </w:p>
        </w:tc>
        <w:tc>
          <w:tcPr>
            <w:tcW w:type="dxa" w:w="17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4</w:t>
            </w:r>
          </w:p>
        </w:tc>
      </w:tr>
      <w:tr>
        <w:tc>
          <w:tcPr>
            <w:tcW w:type="dxa" w:w="76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مصفوفة الشاشات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تبقى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تندمج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تبويب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تخفى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إعدادات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تدقيق تقني — معتمدةً على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§4</w:t>
            </w:r>
          </w:p>
        </w:tc>
        <w:tc>
          <w:tcPr>
            <w:tcW w:type="dxa" w:w="17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5</w:t>
            </w:r>
          </w:p>
        </w:tc>
      </w:tr>
      <w:tr>
        <w:tc>
          <w:tcPr>
            <w:tcW w:type="dxa" w:w="76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مصفوفة الاسم الحالي والمقترح وسبب التغيير — بعد الجرد لا قبله</w:t>
            </w:r>
          </w:p>
        </w:tc>
        <w:tc>
          <w:tcPr>
            <w:tcW w:type="dxa" w:w="17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6</w:t>
            </w:r>
          </w:p>
        </w:tc>
      </w:tr>
      <w:tr>
        <w:tc>
          <w:tcPr>
            <w:tcW w:type="dxa" w:w="76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مواصفة كل شاشةٍ وجداولها وأعمدتها على معيار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§10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— بشموله التخصصي القانوني وخريطة اشتقاقه</w:t>
            </w:r>
          </w:p>
        </w:tc>
        <w:tc>
          <w:tcPr>
            <w:tcW w:type="dxa" w:w="17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7</w:t>
            </w:r>
          </w:p>
        </w:tc>
      </w:tr>
      <w:tr>
        <w:tc>
          <w:tcPr>
            <w:tcW w:type="dxa" w:w="76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نماذج تخطيطية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(Wireframes)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للوحات الأربع ومساحات العمل</w:t>
            </w:r>
          </w:p>
        </w:tc>
        <w:tc>
          <w:tcPr>
            <w:tcW w:type="dxa" w:w="17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8</w:t>
            </w:r>
          </w:p>
        </w:tc>
      </w:tr>
      <w:tr>
        <w:tc>
          <w:tcPr>
            <w:tcW w:type="dxa" w:w="76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نموذج كامل لدورة الطلب المالي شاشةً واحدةً بشريط حالة</w:t>
            </w:r>
          </w:p>
        </w:tc>
        <w:tc>
          <w:tcPr>
            <w:tcW w:type="dxa" w:w="17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9</w:t>
            </w:r>
          </w:p>
        </w:tc>
      </w:tr>
      <w:tr>
        <w:tc>
          <w:tcPr>
            <w:tcW w:type="dxa" w:w="76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نموذج كامل لشاشة وحدات الأطراف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(8.1)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وسياسات المشغّلين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(8.2)</w:t>
            </w:r>
          </w:p>
        </w:tc>
        <w:tc>
          <w:tcPr>
            <w:tcW w:type="dxa" w:w="17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10</w:t>
            </w:r>
          </w:p>
        </w:tc>
      </w:tr>
      <w:tr>
        <w:tc>
          <w:tcPr>
            <w:tcW w:type="dxa" w:w="76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اختبار النماذج مع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موظف حساباتٍ حديث · محاسب · أمين خزينة · مدير مالي</w:t>
            </w:r>
          </w:p>
        </w:tc>
        <w:tc>
          <w:tcPr>
            <w:tcW w:type="dxa" w:w="17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11</w:t>
            </w:r>
          </w:p>
        </w:tc>
      </w:tr>
      <w:tr>
        <w:tc>
          <w:tcPr>
            <w:tcW w:type="dxa" w:w="76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تقرير نتيجة الاختبار والتعديلات — ولا يبدأ الكود قبل اعتماده</w:t>
            </w:r>
          </w:p>
        </w:tc>
        <w:tc>
          <w:tcPr>
            <w:tcW w:type="dxa" w:w="17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12</w:t>
            </w:r>
          </w:p>
        </w:tc>
      </w:tr>
      <w:tr>
        <w:tc>
          <w:tcPr>
            <w:tcW w:type="dxa" w:w="76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كشف التعريفات الـ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151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كاملًا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الشاشة · التعريف الحالي · المقترح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مولّدًا آليًّا من دليل قبل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بعد</w:t>
            </w:r>
          </w:p>
        </w:tc>
        <w:tc>
          <w:tcPr>
            <w:tcW w:type="dxa" w:w="17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13</w:t>
            </w:r>
          </w:p>
        </w:tc>
      </w:tr>
      <w:tr>
        <w:tc>
          <w:tcPr>
            <w:tcW w:type="dxa" w:w="76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مصفوفة قياس النتائج على مؤشرات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§12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قبل الاعتماد وبعده</w:t>
            </w:r>
          </w:p>
        </w:tc>
        <w:tc>
          <w:tcPr>
            <w:tcW w:type="dxa" w:w="17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14</w:t>
            </w:r>
          </w:p>
        </w:tc>
      </w:tr>
    </w:tbl>
    <w:p>
      <w:pPr>
        <w:pStyle w:val="Heading1"/>
        <w:pBdr>
          <w:bottom w:val="single" w:color="C9D6E8" w:sz="6" w:space="3"/>
        </w:pBdr>
        <w:bidi/>
        <w:spacing w:after="150" w:before="260" w:line="3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المواصفة التنفيذية البرمجية للمالية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  ·  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15</w:t>
      </w:r>
    </w:p>
    <w:p>
      <w:pPr>
        <w:pStyle w:val="Heading2"/>
        <w:bidi/>
        <w:spacing w:after="110" w:before="200" w:line="280"/>
        <w:jc w:val="right"/>
      </w:pP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15.1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 · خريطة النظام القائم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60"/>
        <w:gridCol w:w="2500"/>
      </w:tblGrid>
      <w:tr>
        <w:trPr>
          <w:tblHeader/>
        </w:trP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حكمه بعد التنفيذ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المكوّن الحالي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يصير قراءةً فقط تدريجيًّا — الكتابةُ عبر دفتر الحدث الموحّد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(FES-01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§10.3)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حصرًا؛ أعمدتُه لا تُحذف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دفتر المعاملات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الأحداث القائم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تُقفل كتابتُها فورَ سدّ المسار وتتحول عرضَ «وارد الإدارات» — وصفوفُها اليتيمةُ العشر تُعالَج رجعيًّا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(FES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§10.4-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④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شاشة استقبال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استيراد المعاملات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تُوسَّع أعمدةً إضافيةً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Nullable (15.2-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أ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دون مساسِ القائم — والقيودُ التاريخية تُقرأ كما هي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يومية القيود القائمة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تصير مصدرَ قراءة شاشة وحدات الأطراف بعد ترحيل الكتابة إليها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شرط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§9-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③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— والتايم شيت يبقى مصدرَ الإنشاء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جداول سجل الوحدات القانوني القائمة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تُعاد استخدامًا وتوسيعًا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(15.2-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ج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بدل جدولٍ جديد — سياساتُ الساعة القائمة تبقى صفوفًا نافذة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جدول سياسات ساعات العقود القائم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تبقى سلسلتُها كما هي — وتُغذّي أكوادَ صلاحيات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FES (10.2)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دون تعديل بنيتها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بوابة الطلبات وسلسلة اعتمادها</w:t>
            </w:r>
          </w:p>
        </w:tc>
      </w:tr>
    </w:tbl>
    <w:p>
      <w:pPr>
        <w:pStyle w:val="Heading2"/>
        <w:bidi/>
        <w:spacing w:after="110" w:before="200" w:line="280"/>
        <w:jc w:val="right"/>
      </w:pP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15.2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 · الـ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Schemas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 التفصيلية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60"/>
        <w:gridCol w:w="2500"/>
      </w:tblGrid>
      <w:tr>
        <w:trPr>
          <w:tblHeader/>
        </w:trP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Type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Null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Default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Index/Constraint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أ — أعمدةٌ تُضاف ليومية القيود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(ALTER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 إضافي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)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تاريخ · نعم مؤقتًا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تعبئةٌ رجعية ثم إلزام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— · فهرس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txn_date 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بجانب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entry_date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القائم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نصي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64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×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3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نعم · — · فهرس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(request_no)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request_no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request_owner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request_group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نصي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8 + Decimal(18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,6) + Decimal(18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,2)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لا بعد التعبئة · عملةُ الأساس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/1.0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قيدُ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base=round(amount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×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fx,2)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currency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fx_rate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base_amount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رقميان · لا · —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FK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الدليل الموحّد — ويُمنع النصُّ الحر بإسقاط أعمدة الكتابة الحرة من النماذج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لا من الجدول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cost_center_id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account_id 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منسدلان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</w:tr>
    </w:tbl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60"/>
        <w:gridCol w:w="2500"/>
      </w:tblGrid>
      <w:tr>
        <w:trPr>
          <w:tblHeader/>
        </w:trP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Type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Null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Default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Index/Constraint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ب — جدولا كشوف البنك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جديدان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)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رأس الكشف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 statement_id (PK)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account_id (FK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حسابات البنوك القائمة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period_from/to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imported_by/at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line_count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status(Imported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Reconciling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Closed)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—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UQ (account_id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, period_from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, period_to)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bank_statements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سطوره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 line_id (PK)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statement_id (FK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On Delete Restrict)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line_no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value_date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description(255)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debit/credit Decimal(18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,2)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balance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bank_ref(64)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—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UQ (statement_id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, line_no)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و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Idempotency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الاستيراد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 (account_id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, value_date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, bank_ref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, amount)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bank_statement_lines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المضاهاة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 match_id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line_id (FK)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system_doc_type+id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rule (Exact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DateWindow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Manual)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matched_by/at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status(Matched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Difference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NoCounterpart)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— وقاعدةُ الآلي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تساوي المبلغ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+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التاريخ ±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3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أيام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+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تشابهُ المرجع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bank_recon_matches</w:t>
            </w:r>
          </w:p>
        </w:tc>
      </w:tr>
    </w:tbl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60"/>
        <w:gridCol w:w="2500"/>
      </w:tblGrid>
      <w:tr>
        <w:trPr>
          <w:tblHeader/>
        </w:trP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Type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Null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Default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Index/Constraint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ج — توسعة جدول السياسات القائم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(ALTER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 إضافي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)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نصي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16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لا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hour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قيمٌ محصورة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 hour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ton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trip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meter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work_model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نصي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16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لا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actual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قيمٌ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 actual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standby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attendance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ton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trip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meter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composite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pay_basis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Decimal(18,2)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×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2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نعم · — · قيدُ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min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≤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max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min_amount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max_amount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نصي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16 +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رقمي · نعم · — · نطاقُ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(scope_type: project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equip_type + scope_id)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scope_type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scope_id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تاريخان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+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نصي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8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valid_from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لا · —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UQ (operator_id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, valid_from)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— سياسةٌ جديدةٌ بسريانٍ لا تعديلٌ رجعي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valid_from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valid_to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currency</w:t>
            </w:r>
          </w:p>
        </w:tc>
      </w:tr>
    </w:tbl>
    <w:p>
      <w:pPr>
        <w:pStyle w:val="Heading2"/>
        <w:bidi/>
        <w:spacing w:after="110" w:before="200" w:line="280"/>
        <w:jc w:val="right"/>
      </w:pP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15.3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 · آلتا الحالات الحاكمتان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60"/>
        <w:gridCol w:w="2500"/>
      </w:tblGrid>
      <w:tr>
        <w:trPr>
          <w:tblHeader/>
        </w:trP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مالكه · شرطه · أثره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دورة الطلب المالي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الطالب · اكتمالُ الإلزامي والمستندات · إرسالٌ وقفلُ نسخة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Draft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→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Submitted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رئيسُه المباشر · ضمن سقفه · تمريرٌ للمحاسب — أو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Returned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بسببٍ إلزامي بالرقم نفسه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Submitted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→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DeptApproved / Returned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محاسبُ الإدارة · التصنيفُ مكتمل · تمريرٌ للمالية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DeptApproved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→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AcctReviewed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معتمِدُ المالية بسقفه · لا يعتمد المرءُ طلبَه · اعتمادُ الصرف وتوليدُ حدث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FES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بمفتاح الطلب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AcctReviewed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→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FinApproved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الخزينة · تسويةٌ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استحقاقٌ معتمد حيث يلزم · تنفيذٌ بسنده ومرجعه →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Settled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→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Closed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FinApproved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→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Executed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أيُّ مالكٍ قبل التنفيذ · سببٌ موثَّق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Rejected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نهائيةٌ بمستندٍ جديد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أي مرحلة →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Rejected</w:t>
            </w:r>
          </w:p>
        </w:tc>
      </w:tr>
    </w:tbl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60"/>
        <w:gridCol w:w="2500"/>
      </w:tblGrid>
      <w:tr>
        <w:trPr>
          <w:tblHeader/>
        </w:trP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مالكه · شرطه · أثره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دورة تسوية المورد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العامل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خدمة التسوية · فترةٌ وطرف · جلبُ الأساس من الأحكام والتحميلات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الخصومات من مصادرها — صفرُ إدخالٍ يدويٍّ لمصدر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— →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Draft 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توليد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مسؤولُ التسويات · اكتمالُ البنود بمراجعها · قفلُ نسخة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Draft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→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Review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الطرفُ أو مراجعُه · بندٌ محددٌ بسبب · البندُ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Objected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بعدّاده — والتسويةُ لا تتجمد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Review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→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بندٌ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Objected)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معتمِدُها بسقفه · لا بندَ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Objected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مفتوحًا حرجًا · توليدُ طلب الدفع آليًّا بمرجعها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+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حدث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FES (effect: settlement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بمفتاح رقمها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Review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→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Approved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→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PaymentRequested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الخزينة · تنفيذُ الدفع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Paid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— وكشفُ الطرف يتحدث فورًا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PaymentRequested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→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Paid</w:t>
            </w:r>
          </w:p>
        </w:tc>
      </w:tr>
    </w:tbl>
    <w:p>
      <w:pPr>
        <w:pStyle w:val="Heading2"/>
        <w:bidi/>
        <w:spacing w:after="110" w:before="200" w:line="280"/>
        <w:jc w:val="right"/>
      </w:pP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15.4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 · عقود الخدمات والـ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API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 والإنفاذ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60"/>
        <w:gridCol w:w="2500"/>
      </w:tblGrid>
      <w:tr>
        <w:trPr>
          <w:tblHeader/>
        </w:trP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مواصفتها الكاملة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SettlementService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 — خدمة التسوية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PartyType (FES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§4.1)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PartyID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PeriodFrom/To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CompanyID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Inputs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SettlementDTO: header 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رقمها · الطرف · الفترة · الحالة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base_lines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من الأحكام المعتمدة قراءةً بمراجعها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charge_lines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الست كلٌّ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النوع · المصدر ومعرّفه · المبلغ بعملته والمعادل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net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محسوبًا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Output (DTO)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طرفٌ بلا أحكامٍ بالفترة →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422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بقائمة · مفتاحٌ قائم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الطرف×الفترة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→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409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بمرجعه · بندٌ بلا مصدرٍ → يُرفض البندُ لا التسوية · اعتمادٌ وبندٌ معترَضٌ حرج →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423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Validation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SettlementGenerated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SettlementApproved 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يولّد حدثَ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FES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بمفتاح رقمها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+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طلبَ الدفع آليًّا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LineObjected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بعدّاده وإشعارِ مصدره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Events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لا كاش — تعامليةٌ بفحص نسخة؛ والكشوفُ المشتقة تُبطل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View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اتها عند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Approved/Paid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Caching</w:t>
            </w:r>
          </w:p>
        </w:tc>
      </w:tr>
    </w:tbl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60"/>
        <w:gridCol w:w="2500"/>
      </w:tblGrid>
      <w:tr>
        <w:trPr>
          <w:tblHeader/>
        </w:trP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مواصفتها الكاملة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BankReconService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 — خدمة المطابقة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AccountID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ملفُ الكشف بسطوره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مفاتيح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15.2-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ب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— أو نطاقُ فترةٍ للمضاهاة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Inputs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ReconDTO: imported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auto_matched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بقاعدتها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differences 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السطران · الفرق · الحالة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match_rate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Output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سطرٌ مكررٌ بمفتاح الاستيراد → يُتجاهل بعدّاد · حسابٌ غير معرَّف →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404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قرارُ فرقٍ بلا سببٍ أو مرجع →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422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Validation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StatementImported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DifferenceResolved 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قيدُ تسويةٍ بمرجعه عبر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FES)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Events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4F5F7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// مثال — POST /settlements/(id)/approve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Request: { "settlement_id": 5031, "version": 2 }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Response 200: { "status": "Approved", "payment_request_id": 8812,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  "fes_event_id": 70301, "net": { "currency": "USD", "amount": 9314.50 } }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Errors: 409 نسخة متغيرة · 423 بند معترَض حرج · 403 اعتماد الذات</w:t>
            </w:r>
          </w:p>
        </w:tc>
      </w:tr>
    </w:tbl>
    <w:p>
      <w:pPr>
        <w:pStyle w:val="Heading2"/>
        <w:bidi/>
        <w:spacing w:after="110" w:before="200" w:line="280"/>
        <w:jc w:val="right"/>
      </w:pP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15.6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 · سيناريوهات رحلة المورد 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(Use Cases)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60"/>
        <w:gridCol w:w="2500"/>
      </w:tblGrid>
      <w:tr>
        <w:trPr>
          <w:tblHeader/>
        </w:trP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الفاعل ← الأحداث ← القيد ← الإشعار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السيناريو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مسؤولُ التسويات يولّد فيعتمد المعتمِدُ ←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Generated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→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Approved +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حدثُ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FES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← قيدُ استحقاقِ التسوية بمرجعها ← المورد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صافيك جاهزٌ للدفع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تسوية نظيفة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مشرفُ المورد يعترض بندَ وقودٍ بسبب ←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LineObjected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والبقيةُ تمضي ← لا قيدَ للبند حتى الحسم ← مصدرُ البند بقرارٍ مطلوب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اعتراض بند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الخزينة تحاول دفعًا بلا تسوية ← رفضٌ بنيوي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شرط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15.4)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← لا قيد ← رسالةُ الشرط بزر إنشاء التسوية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دفع بلا تسوية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إعادةُ توليدٍ للفترة نفسها ←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409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بمرجع القائمة ← لا شيء ← لا شيء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تكرار</w:t>
            </w:r>
          </w:p>
        </w:tc>
      </w:tr>
    </w:tbl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بقية مسارات الـ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 w:val="false"/>
        </w:rPr>
        <w:t xml:space="preserve">API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 w:val="false"/>
        </w:rPr>
        <w:t xml:space="preserve">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توليدٌ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POST /settlements (409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للمفتاح القائم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)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· اعتراضُ بندٍ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POST /settlements/(id)/lines/(n)/object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بسببٍ إلزامي · استيرادُ كشفٍ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POST /bank/statements (Idempotent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بمفتاح السطر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)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· قراءةُ المضاهاة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GET /bank/recon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?account&amp;period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· قرارُ فرقٍ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POST /bank/recon/(id)/resolve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بقيدٍ مرجعيٍّ أو تفسيرٍ موثَّق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الإنفاذ البنيوي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لا دفعَ بلا تسويةٍ معتمدة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: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مرجعُ التسوية إلزاميٌّ في طلب دفع الأطراف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(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قيدُ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NOT NULL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لنوعه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)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· توازنُ القيد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: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قيدُ Σمدين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=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Σدائن قبل الحفظ · لا اعتمادَ ذاتٍ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: created_by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 ≠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approver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بنيويًّا · لا حركةَ بفترةٍ مقفلة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: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فحصُ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fiscal_period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في كل كتابة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أثرُها على الشاشات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الذممُ والكشوفُ والسيولةُ تشتقّ من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FES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والقيود دون تغيير بنيتها؛ ودفعاتُ اليوم تقرأ طلباتِ الدفع المعتمدة حصرًا؛ والاستيرادُ يصير قراءةً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Routes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كلُّها باقيةٌ ب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Redirects.</w:t>
      </w:r>
    </w:p>
    <w:p>
      <w:pPr>
        <w:pStyle w:val="Heading2"/>
        <w:bidi/>
        <w:spacing w:after="110" w:before="200" w:line="280"/>
        <w:jc w:val="right"/>
      </w:pP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15.5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 · الترحيل وحالات الاختبار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الترحيل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① أعمدةُ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15.2-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أ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Nullable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ثم تعبئةٌ رجعيةٌ من المراجع ثم الإلزام ② بذرُ الدليل المنسدل من قوائم يوميات المحاسبين المعتمدة ③ الرائدة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: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الخزينةُ والمطابقة أسبوعَ تشغيلٍ بمطابقةِ صفرِ فرقٍ قيمي ④ ثم التسويات فالقيود — وكلُّ مرحلةٍ بعلَم رجوعٍ مستقل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(FES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§10.4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حاكمةً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).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قالب الحالات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كلُّ حالةٍ تُسلَّم بقالب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FES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§10.8 (Input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 ←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Expected: DB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 ·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Event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 ·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Ledger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 ·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Notification)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— مثال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: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تسويةُ شهرٍ بستة مصادر ←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DB: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تسويةٌ ببنودها بمراجعها ·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Event: Generated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ثم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Approved+FES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 ·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Ledger: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قيدُ الاستحقاق ·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Notification: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المورد والخزينة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التتبع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صفوفُ المالية في مصفوفة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FES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§10.7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حاكمةٌ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(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وحدة الأطراف · أساسُ المشغّل · خيطُ الطلب · ثلاثية العملة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)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— وكلُّ شاشةٍ في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SPEC-01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تحمل صفَّ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ACS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رابطًا بها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اختبارات القبول الاثنتا عشرة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تسويةُ شهرٍ بستة مصادرَ تُولَّد مرةً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(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تكرارُ الطلب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409)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· اعتراضُ بندٍ لا يجمّد البقية · دفعٌ بلا تسويةٍ يُرفض بنيويًّا · استيرادُ كشفٍ مكررٍ لا يضاعف السطور · مضاهاةٌ آلية ≥ النسبة المستهدفة وعيّنةُ فروقٍ بقرار · قيدٌ غيرُ متوازنٍ يُرفض · قيدٌ يدويٌّ بلا سببٍ يُرفض · فترةٌ مقفلةٌ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423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· اعتمادُ الذات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403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· طلبٌ مُعادٌ يعود بالرقم نفسه والحقولُ الناقصة بارزة · العملاتُ الثلاث بمعادلها المقرَّب وفق الحاكم · رجوعُ الرائدة بعلَمها دون فقد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pStyle w:val="Heading1"/>
        <w:pBdr>
          <w:bottom w:val="single" w:color="C9D6E8" w:sz="6" w:space="3"/>
        </w:pBdr>
        <w:bidi/>
        <w:spacing w:after="150" w:before="260" w:line="3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مقاييس اختبار الاستخدام الرقمية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  ·  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12</w:t>
      </w:r>
    </w:p>
    <w:p>
      <w:pPr>
        <w:bidi/>
        <w:spacing w:after="130" w:line="264"/>
        <w:jc w:val="right"/>
      </w:pP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اختبار الأدوار الأربعة يُقاس رقميًّا لا انطباعًا — ولكل مؤشرٍ عتبةُ قبول، ودونها يُعاد التصميم لا يُبرَّر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: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60"/>
        <w:gridCol w:w="3600"/>
      </w:tblGrid>
      <w:tr>
        <w:trPr>
          <w:tblHeader/>
        </w:trPr>
        <w:tc>
          <w:tcPr>
            <w:tcW w:type="dxa" w:w="57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عتبته</w:t>
            </w:r>
          </w:p>
        </w:tc>
        <w:tc>
          <w:tcPr>
            <w:tcW w:type="dxa" w:w="36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المؤشر</w:t>
            </w:r>
          </w:p>
        </w:tc>
      </w:tr>
      <w:tr>
        <w:tc>
          <w:tcPr>
            <w:tcW w:type="dxa" w:w="57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80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٪ فأعلى من المستخدمين في المهام الأساسية — وما دونها يوجب إعادة التصميم</w:t>
            </w:r>
          </w:p>
        </w:tc>
        <w:tc>
          <w:tcPr>
            <w:tcW w:type="dxa" w:w="36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نسبة إنجاز المهمة دون مساعدة</w:t>
            </w:r>
          </w:p>
        </w:tc>
      </w:tr>
      <w:tr>
        <w:tc>
          <w:tcPr>
            <w:tcW w:type="dxa" w:w="57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يُسجَّل لكل مهمةٍ ويُقارن قبل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بعد</w:t>
            </w:r>
          </w:p>
        </w:tc>
        <w:tc>
          <w:tcPr>
            <w:tcW w:type="dxa" w:w="36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زمن إنجاز المهمة</w:t>
            </w:r>
          </w:p>
        </w:tc>
      </w:tr>
      <w:tr>
        <w:tc>
          <w:tcPr>
            <w:tcW w:type="dxa" w:w="57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الوصول إلى مساحة المهمة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نقرتان كحدٍّ أقصى · بدء الإجراء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ثلاثٌ كحدٍّ أقصى · إكمال المعاملة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بعدد خطواتها الضرورية لا برقمٍ ثابتٍ مصطنع</w:t>
            </w:r>
          </w:p>
        </w:tc>
        <w:tc>
          <w:tcPr>
            <w:tcW w:type="dxa" w:w="36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عدد النقرات</w:t>
            </w:r>
          </w:p>
        </w:tc>
      </w:tr>
      <w:tr>
        <w:tc>
          <w:tcPr>
            <w:tcW w:type="dxa" w:w="57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صفرُ خطأٍ مانعٍ لإكمال المهمة · خطأٌ بسيطٌ واحدٌ كحدٍّ أقصى في المهمة التجريبية · وتكرارُ الخطأ نفسه لدى أكثر من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20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٪ من المستخدمين يوجب إعادة التصميم</w:t>
            </w:r>
          </w:p>
        </w:tc>
        <w:tc>
          <w:tcPr>
            <w:tcW w:type="dxa" w:w="36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عدد الأخطاء</w:t>
            </w:r>
          </w:p>
        </w:tc>
      </w:tr>
      <w:tr>
        <w:tc>
          <w:tcPr>
            <w:tcW w:type="dxa" w:w="57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مؤشر تيهٍ — ارتفاعُه يعيد بناء المسار</w:t>
            </w:r>
          </w:p>
        </w:tc>
        <w:tc>
          <w:tcPr>
            <w:tcW w:type="dxa" w:w="36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مرات الرجوع إلى القائمة</w:t>
            </w:r>
          </w:p>
        </w:tc>
      </w:tr>
      <w:tr>
        <w:tc>
          <w:tcPr>
            <w:tcW w:type="dxa" w:w="57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يشرح المستخدمُ الاسمَ قبل الفتح فيصيب</w:t>
            </w:r>
          </w:p>
        </w:tc>
        <w:tc>
          <w:tcPr>
            <w:tcW w:type="dxa" w:w="36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تفسير اسم الشاشة قبل فتحها</w:t>
            </w:r>
          </w:p>
        </w:tc>
      </w:tr>
      <w:tr>
        <w:tc>
          <w:tcPr>
            <w:tcW w:type="dxa" w:w="57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الوصول للمستند الأصلي من أي سجلٍّ ناتج</w:t>
            </w:r>
          </w:p>
        </w:tc>
        <w:tc>
          <w:tcPr>
            <w:tcW w:type="dxa" w:w="36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بلوغ المستند الأصلي</w:t>
            </w:r>
          </w:p>
        </w:tc>
      </w:tr>
      <w:tr>
        <w:tc>
          <w:tcPr>
            <w:tcW w:type="dxa" w:w="57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4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من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5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فأعلى</w:t>
            </w:r>
          </w:p>
        </w:tc>
        <w:tc>
          <w:tcPr>
            <w:tcW w:type="dxa" w:w="36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درجة سهولة الاستخدام</w:t>
            </w:r>
          </w:p>
        </w:tc>
      </w:tr>
    </w:tbl>
    <w:p>
      <w:pPr>
        <w:pStyle w:val="Heading1"/>
        <w:pBdr>
          <w:bottom w:val="single" w:color="C9D6E8" w:sz="6" w:space="3"/>
        </w:pBdr>
        <w:bidi/>
        <w:spacing w:after="150" w:before="260" w:line="3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أولوية التنفيذ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  ·  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13</w:t>
      </w:r>
    </w:p>
    <w:p>
      <w:pPr>
        <w:bidi/>
        <w:spacing w:after="130" w:line="264"/>
        <w:jc w:val="right"/>
      </w:pP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لا يُنفَّذ الطلب دفعةً واحدة؛ ثماني مراحلَ مرتّبة، تُختبر كلُّ مرحلةٍ وتُعتمد قبل تاليتها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: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60"/>
        <w:gridCol w:w="3100"/>
      </w:tblGrid>
      <w:tr>
        <w:trPr>
          <w:tblHeader/>
        </w:trPr>
        <w:tc>
          <w:tcPr>
            <w:tcW w:type="dxa" w:w="62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نطاقها</w:t>
            </w:r>
          </w:p>
        </w:tc>
        <w:tc>
          <w:tcPr>
            <w:tcW w:type="dxa" w:w="31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المرحلة</w:t>
            </w:r>
          </w:p>
        </w:tc>
      </w:tr>
      <w:tr>
        <w:tc>
          <w:tcPr>
            <w:tcW w:type="dxa" w:w="62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رحلة الطلب شاشةً واحدةً بشريط حالة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+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بوابة الموافقات</w:t>
            </w:r>
          </w:p>
        </w:tc>
        <w:tc>
          <w:tcPr>
            <w:tcW w:type="dxa" w:w="31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① الطلب المالي</w:t>
            </w:r>
          </w:p>
        </w:tc>
      </w:tr>
      <w:tr>
        <w:tc>
          <w:tcPr>
            <w:tcW w:type="dxa" w:w="62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شاشة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§8.1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فوق مصدر الحقيقة بعد شرط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§9</w:t>
            </w:r>
          </w:p>
        </w:tc>
        <w:tc>
          <w:tcPr>
            <w:tcW w:type="dxa" w:w="31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② وحدات الأطراف</w:t>
            </w:r>
          </w:p>
        </w:tc>
      </w:tr>
      <w:tr>
        <w:tc>
          <w:tcPr>
            <w:tcW w:type="dxa" w:w="62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الاستحقاق الأولي ← التحميلات ← الصافي ← طلب الدفع</w:t>
            </w:r>
          </w:p>
        </w:tc>
        <w:tc>
          <w:tcPr>
            <w:tcW w:type="dxa" w:w="31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③ حسابات الموردين</w:t>
            </w:r>
          </w:p>
        </w:tc>
      </w:tr>
      <w:tr>
        <w:tc>
          <w:tcPr>
            <w:tcW w:type="dxa" w:w="62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المستخلص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المطالبة ← الفاتورة ← الذمة ← التحصيل</w:t>
            </w:r>
          </w:p>
        </w:tc>
        <w:tc>
          <w:tcPr>
            <w:tcW w:type="dxa" w:w="31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④ العملاء والتحصيل</w:t>
            </w:r>
          </w:p>
        </w:tc>
      </w:tr>
      <w:tr>
        <w:tc>
          <w:tcPr>
            <w:tcW w:type="dxa" w:w="62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دفعات اليوم · تحصيلات اليوم · الحركة والمطابقة</w:t>
            </w:r>
          </w:p>
        </w:tc>
        <w:tc>
          <w:tcPr>
            <w:tcW w:type="dxa" w:w="31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⑤ الخزينة والمدفوعات</w:t>
            </w:r>
          </w:p>
        </w:tc>
      </w:tr>
      <w:tr>
        <w:tc>
          <w:tcPr>
            <w:tcW w:type="dxa" w:w="62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مراجعة غير المرحَّل ← الترحيل ← الفترات ← الميزان</w:t>
            </w:r>
          </w:p>
        </w:tc>
        <w:tc>
          <w:tcPr>
            <w:tcW w:type="dxa" w:w="31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⑥ القيود والإقفال</w:t>
            </w:r>
          </w:p>
        </w:tc>
      </w:tr>
      <w:tr>
        <w:tc>
          <w:tcPr>
            <w:tcW w:type="dxa" w:w="62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مركز التقارير والتخطيط والتحليل موحَّدًا</w:t>
            </w:r>
          </w:p>
        </w:tc>
        <w:tc>
          <w:tcPr>
            <w:tcW w:type="dxa" w:w="31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⑦ التقارير</w:t>
            </w:r>
          </w:p>
        </w:tc>
      </w:tr>
      <w:tr>
        <w:tc>
          <w:tcPr>
            <w:tcW w:type="dxa" w:w="62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نقلها خلف الصلاحية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+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سجل التدقيق المالي</w:t>
            </w:r>
          </w:p>
        </w:tc>
        <w:tc>
          <w:tcPr>
            <w:tcW w:type="dxa" w:w="31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⑧ الإعدادات والتدقيق</w:t>
            </w:r>
          </w:p>
        </w:tc>
      </w:tr>
    </w:tbl>
    <w:p>
      <w:pPr>
        <w:pStyle w:val="Heading1"/>
        <w:pBdr>
          <w:bottom w:val="single" w:color="C9D6E8" w:sz="6" w:space="3"/>
        </w:pBdr>
        <w:bidi/>
        <w:spacing w:after="150" w:before="260" w:line="3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سياسة صون الروابط والصلاحيات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  ·  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14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 w:val="false"/>
        </w:rPr>
        <w:t xml:space="preserve">Redirects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 إلزامية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كل مسارٍ قديمٍ يُحوَّل آليًّا إلى موضعه الجديد؛ لا صفحةَ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404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لمستخدمٍ حفظ رابطًا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لا حذفَ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 w:val="false"/>
        </w:rPr>
        <w:t xml:space="preserve">Route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 w:val="false"/>
        </w:rPr>
        <w:t xml:space="preserve">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قبل التحقق المقيس من عدم استخدامه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(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سجلات الوصول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)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— ثم يُوثَّق حذفُه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سجل التدقيق مصون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إعادة الهيكلة لا تمسّ سجلات التدقيق ولا تكسر مراجعها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اختبار صلاحيات كل دور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بعد كل مرحلةٍ تُعاد مصفوفة الصلاحيات اختبارًا كاملًا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صفر روابط ميتة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فحصٌ آليٌّ بعد كل مرحلةٍ يثبت خلوَّ القوائم من رابطٍ ميتٍ أو مكرر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pStyle w:val="Heading1"/>
        <w:pBdr>
          <w:bottom w:val="single" w:color="C9D6E8" w:sz="6" w:space="3"/>
        </w:pBdr>
        <w:bidi/>
        <w:spacing w:after="150" w:before="260" w:line="3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معايير القبول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  ·  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16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يُعدّ الطلب منفَّذًا فقط حين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يفهم الموظف الجديد أين يبدأ · ويفرّق بين الطلب والمعاملة والقيد والدفعة والتسوية · ولا يرى السجلات التقنية في يومه · ولا تظهر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35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شاشةً مسطّحة · وكلُّ عمليةٍ رحلةٌ مترابطة · والواجهة بالدور · وتُدمج شاشات المعاملة الواحدة · وتنفصل حسابات العملاء عن الموردين يوميًّا · ويُصحَّح مفهوم وحدات الأطراف · وتدعم مستحقات المشغّلين النماذج الثلاثة · وتكون الأسماء أسماءَ مهامٍ · وتُنجز أهم العمليات بخطواتٍ قليلة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3EDFA" w:sz="2"/>
              <w:left w:val="single" w:color="F3EDFA" w:sz="2"/>
              <w:bottom w:val="single" w:color="F3EDFA" w:sz="2"/>
              <w:right w:val="single" w:color="6B3FA0" w:sz="18"/>
            </w:tcBorders>
            <w:shd w:fill="F3EDFA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b/>
                <w:bCs/>
                <w:color w:val="6B3FA0"/>
                <w:sz w:val="18"/>
                <w:szCs w:val="18"/>
                <w:rtl/>
              </w:rPr>
              <w:t xml:space="preserve">ما بعد هذا الطلب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هذه المشكلة الأولى وأساسُ ما بعدها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بعد إنفاذها تصدر الطلبات التصحيحية لبقية الإدارات على المنهج نفسه — جردٌ فتصنيفٌ فدوراتٌ فمواصفاتٌ فاختبارٌ، ثم الأسماء آخرًا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.</w:t>
            </w:r>
          </w:p>
        </w:tc>
      </w:tr>
    </w:tbl>
    <w:p>
      <w:pPr>
        <w:spacing w:after="160"/>
      </w:pPr>
    </w:p>
    <w:p>
      <w:pPr>
        <w:bidi/>
        <w:spacing w:after="0" w:line="264"/>
        <w:jc w:val="center"/>
      </w:pPr>
      <w:r>
        <w:rPr>
          <w:rFonts w:ascii="Arial" w:cs="Arial" w:eastAsia="Arial" w:hAnsi="Arial"/>
          <w:b/>
          <w:bCs/>
          <w:color w:val="1F4E79"/>
          <w:sz w:val="21"/>
          <w:szCs w:val="21"/>
          <w:rtl/>
        </w:rPr>
        <w:t xml:space="preserve">نهاية الوثيقة · إعادة هندسة الإدارة المالية مهامَّ ودورات — الطلب التصحيحي الأول</w:t>
      </w:r>
    </w:p>
    <w:sectPr>
      <w:headerReference w:type="default" r:id="rId7"/>
      <w:footerReference w:type="default" r:id="rId8"/>
      <w:pgSz w:w="11906" w:h="16838" w:orient="portrait"/>
      <w:pgMar w:top="1180" w:right="1120" w:bottom="1120" w:left="1120" w:header="640" w:footer="56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D6E8" w:sz="2" w:space="2"/>
      </w:pBdr>
      <w:bidi/>
      <w:spacing w:before="0" w:line="200"/>
      <w:jc w:val="center"/>
    </w:pPr>
    <w:r>
      <w:rPr>
        <w:rFonts w:ascii="Arial" w:cs="Arial" w:eastAsia="Arial" w:hAnsi="Arial"/>
        <w:color w:val="8A94A0"/>
        <w:sz w:val="14"/>
        <w:szCs w:val="14"/>
        <w:rtl w:val="false"/>
      </w:rPr>
      <w:t xml:space="preserve">EQUIP-UX-02-EMS · v1.0 · </w:t>
    </w:r>
    <w:r>
      <w:rPr>
        <w:rFonts w:ascii="Arial" w:cs="Arial" w:eastAsia="Arial" w:hAnsi="Arial"/>
        <w:color w:val="8A94A0"/>
        <w:sz w:val="14"/>
        <w:szCs w:val="14"/>
        <w:rtl/>
      </w:rPr>
      <w:t xml:space="preserve">صفحة </w:t>
    </w:r>
    <w:r>
      <w:rPr>
        <w:rFonts w:ascii="Arial" w:cs="Arial" w:eastAsia="Arial" w:hAnsi="Arial"/>
        <w:color w:val="8A94A0"/>
        <w:sz w:val="14"/>
        <w:szCs w:val="14"/>
        <w:rtl w:val="false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A94A0"/>
        <w:sz w:val="14"/>
        <w:szCs w:val="14"/>
        <w:rtl w:val="false"/>
      </w:rPr>
      <w:t xml:space="preserve"> / </w:t>
    </w:r>
    <w:r>
      <w:rPr>
        <w:rFonts w:ascii="Arial" w:cs="Arial" w:eastAsia="Arial" w:hAnsi="Arial"/>
        <w:color w:val="8A94A0"/>
        <w:sz w:val="14"/>
        <w:szCs w:val="14"/>
        <w:rtl w:val="false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D6E8" w:sz="2" w:space="2"/>
      </w:pBdr>
      <w:bidi/>
      <w:spacing w:after="0" w:line="200"/>
      <w:jc w:val="right"/>
    </w:pPr>
    <w:r>
      <w:rPr>
        <w:rFonts w:ascii="Arial" w:cs="Arial" w:eastAsia="Arial" w:hAnsi="Arial"/>
        <w:color w:val="8A94A0"/>
        <w:sz w:val="14"/>
        <w:szCs w:val="14"/>
        <w:rtl/>
      </w:rPr>
      <w:t xml:space="preserve">مجموعة إكيوبيشن · إعادة هندسة الإدارة المالية — الطلب التصحيحي الأول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2A36"/>
        <w:sz w:val="20"/>
        <w:szCs w:val="20"/>
      </w:rPr>
    </w:rPrDefault>
    <w:pPrDefault>
      <w:pPr>
        <w:spacing w:line="264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Arial" w:cs="Arial" w:eastAsia="Arial" w:hAnsi="Arial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Arial" w:cs="Arial" w:eastAsia="Arial" w:hAnsi="Arial"/>
      <w:b/>
      <w:bCs/>
      <w:color w:val="6B3FA0"/>
      <w:sz w:val="24"/>
      <w:szCs w:val="24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UX-02</dc:title>
  <dc:creator>EQUIPATION</dc:creator>
  <cp:lastModifiedBy>Un-named</cp:lastModifiedBy>
  <cp:revision>1</cp:revision>
  <dcterms:created xsi:type="dcterms:W3CDTF">2026-07-26T05:57:19.014Z</dcterms:created>
  <dcterms:modified xsi:type="dcterms:W3CDTF">2026-07-26T05:57:19.014Z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