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120"/>
        <w:jc w:val="center"/>
      </w:pPr>
      <w:r>
        <w:rPr>
          <w:rFonts w:ascii="Arial" w:cs="Arial" w:eastAsia="Arial" w:hAnsi="Arial"/>
          <w:b/>
          <w:bCs/>
          <w:color w:val="1F4E79"/>
          <w:spacing w:val="60"/>
          <w:sz w:val="30"/>
          <w:szCs w:val="30"/>
        </w:rPr>
        <w:t xml:space="preserve">EQUIPATION</w:t>
      </w:r>
    </w:p>
    <w:p>
      <w:pPr>
        <w:bidi/>
        <w:spacing w:after="0" w:before="20"/>
        <w:jc w:val="center"/>
      </w:pPr>
      <w:r>
        <w:rPr>
          <w:rFonts w:ascii="Arial" w:cs="Arial" w:eastAsia="Arial" w:hAnsi="Arial"/>
          <w:b/>
          <w:bCs/>
          <w:color w:val="595959"/>
          <w:spacing w:val="40"/>
          <w:sz w:val="18"/>
          <w:szCs w:val="18"/>
        </w:rPr>
        <w:t xml:space="preserve">EQUIPMENT OPERATIONS — OPE</w:t>
      </w:r>
    </w:p>
    <w:p>
      <w:pPr>
        <w:pBdr>
          <w:bottom w:val="single" w:color="C9A227" w:sz="12" w:space="6"/>
        </w:pBdr>
        <w:bidi/>
        <w:spacing w:after="0" w:before="200"/>
        <w:jc w:val="center"/>
      </w:pPr>
      <w:r>
        <w:rPr>
          <w:rFonts w:ascii="Arial" w:cs="Arial" w:eastAsia="Arial" w:hAnsi="Arial"/>
          <w:b/>
          <w:bCs/>
          <w:color w:val="595959"/>
          <w:sz w:val="22"/>
          <w:szCs w:val="22"/>
          <w:rtl/>
        </w:rPr>
        <w:t xml:space="preserve">مجموعة إكيوبيشن · قطاع تشغيل المعدات</w:t>
      </w:r>
    </w:p>
    <w:p>
      <w:pPr>
        <w:bidi/>
        <w:spacing w:after="0" w:before="360"/>
        <w:jc w:val="center"/>
      </w:pPr>
      <w:r>
        <w:rPr>
          <w:rFonts w:ascii="Arial" w:cs="Arial" w:eastAsia="Arial" w:hAnsi="Arial"/>
          <w:b/>
          <w:bCs/>
          <w:color w:val="1F4E79"/>
          <w:sz w:val="44"/>
          <w:szCs w:val="44"/>
          <w:rtl/>
        </w:rPr>
        <w:t xml:space="preserve">دليل تشغيل إدارة المبيعات</w:t>
      </w:r>
    </w:p>
    <w:p>
      <w:pPr>
        <w:bidi/>
        <w:spacing w:after="0" w:before="40"/>
        <w:jc w:val="center"/>
      </w:pPr>
      <w:r>
        <w:rPr>
          <w:rFonts w:ascii="Arial" w:cs="Arial" w:eastAsia="Arial" w:hAnsi="Arial"/>
          <w:b/>
          <w:bCs/>
          <w:color w:val="2E75B6"/>
          <w:sz w:val="23"/>
          <w:szCs w:val="23"/>
        </w:rPr>
        <w:t xml:space="preserve">Sales Department — Operating Manual</w:t>
      </w:r>
    </w:p>
    <w:p>
      <w:pPr>
        <w:bidi/>
        <w:spacing w:after="0" w:before="160"/>
        <w:jc w:val="center"/>
      </w:pPr>
      <w:r>
        <w:rPr>
          <w:rFonts w:ascii="Arial" w:cs="Arial" w:eastAsia="Arial" w:hAnsi="Arial"/>
          <w:color w:val="595959"/>
          <w:sz w:val="21"/>
          <w:szCs w:val="21"/>
          <w:rtl/>
        </w:rPr>
        <w:t xml:space="preserve">دليل الموظف والمتدرّب · الشاشات والحقول والأزرار وانتقال العمل</w:t>
      </w:r>
    </w:p>
    <w:p>
      <w:pPr>
        <w:bidi/>
        <w:spacing w:after="0" w:before="200"/>
        <w:jc w:val="center"/>
      </w:pPr>
      <w:r>
        <w:rPr>
          <w:rFonts w:ascii="Arial" w:cs="Arial" w:eastAsia="Arial" w:hAnsi="Arial"/>
          <w:b/>
          <w:bCs/>
          <w:color w:val="C00000"/>
          <w:sz w:val="20"/>
          <w:szCs w:val="20"/>
          <w:rtl/>
        </w:rPr>
        <w:t xml:space="preserve">مُقيّد · للاستخدام المؤسسي — Restricted / Internal Use</w:t>
      </w:r>
    </w:p>
    <w:p>
      <w:pPr>
        <w:bidi/>
        <w:spacing w:after="18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EQUIP-OPE-M05</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معرّف الوثيقة</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دليل تشغيل إدارة المبيعات ودورة حياة العقود</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العنوان</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الإصدار 1.0</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الإصدار</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إصدارٌ معتمدٌ للتشغيل</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حالة الوثيقة</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مُقيّد · للاستخدام المؤسسي</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التصنيف</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مجموعة إكيوبيشن · قطاع تشغيل المعدات</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الجهة المالكة</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2026</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تاريخ الإصدار</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تطوير الأعمال · مدير المبيعات · مسؤول العقود · المدير التجاري · مدير المشروع · الموظف الجديد والمتدرّب</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الجمهور المستهدف</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دليل استخدامٍ يوميٍّ لموظفي إدارة المبيعات: شاشاتها الثماني، وما يُكتب في كل حقل، وما يفعله كل زر، وإلى أين ينتقل العمل بعد كل خطوة — من فتح الفرصة ودراستها وزيارة العميل، إلى التسعير والعرض والتفاوض، إلى فحص الجاهزية واعتماد العقد، إلى التجديد والإقفال وتحليل النتيجة.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النطاق</w:t>
            </w:r>
          </w:p>
        </w:tc>
      </w:tr>
      <w:tr>
        <w:trPr>
          <w:cantSplit/>
        </w:trP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المواصفة الأمّ EQUIP-OPE-S05 · الأسطول S03 · القوى التشغيلية S04 · موردو الآليات S02 · التمويل S01 · الصيانة S08 · الحركة والتشغيل S07 · الإيراد والفوترة S10</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FFFFFF"/>
                <w:sz w:val="21"/>
                <w:szCs w:val="21"/>
                <w:rtl/>
              </w:rPr>
              <w:t xml:space="preserve">الإحالات</w:t>
            </w:r>
          </w:p>
        </w:tc>
      </w:tr>
    </w:tbl>
    <w:p>
      <w:pPr>
        <w:bidi/>
        <w:spacing w:after="0" w:before="160"/>
        <w:jc w:val="center"/>
      </w:pPr>
      <w:r>
        <w:rPr>
          <w:rFonts w:ascii="Arial" w:cs="Arial" w:eastAsia="Arial" w:hAnsi="Arial"/>
          <w:i/>
          <w:iCs/>
          <w:color w:val="808080"/>
          <w:sz w:val="18"/>
          <w:szCs w:val="18"/>
          <w:rtl/>
        </w:rPr>
        <w:t xml:space="preserve">أُعدّ استنادًا إلى المواصفة المعتمدة EQUIP-OPE-S05 · الإصدار 3.0</w:t>
      </w:r>
    </w:p>
    <w:p>
      <w:pPr>
        <w:bidi/>
        <w:spacing w:after="0"/>
      </w:pPr>
      <w:r>
        <w:br w:type="page"/>
      </w:r>
    </w:p>
    <w:p>
      <w:pPr>
        <w:keepNext/>
        <w:pBdr>
          <w:bottom w:val="single" w:color="C9A227" w:sz="4" w:space="2"/>
        </w:pBdr>
        <w:shd w:fill="1F4E79" w:color="auto" w:val="clear"/>
        <w:bidi/>
        <w:spacing w:after="160" w:before="0"/>
        <w:jc w:val="right"/>
      </w:pPr>
      <w:r>
        <w:rPr>
          <w:rFonts w:ascii="Arial" w:cs="Arial" w:eastAsia="Arial" w:hAnsi="Arial"/>
          <w:b/>
          <w:bCs/>
          <w:color w:val="FFFFFF"/>
          <w:sz w:val="28"/>
          <w:szCs w:val="28"/>
          <w:rtl/>
        </w:rPr>
        <w:t xml:space="preserve">المحتويات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60"/>
        <w:gridCol w:w="1300"/>
      </w:tblGrid>
      <w:tr>
        <w:trPr>
          <w:tblHeader/>
          <w:cantSplit/>
        </w:trPr>
        <w:tc>
          <w:tcPr>
            <w:tcW w:type="dxa" w:w="8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1"/>
                <w:szCs w:val="21"/>
                <w:rtl/>
              </w:rPr>
              <w:t xml:space="preserve">المحتوى</w:t>
            </w:r>
          </w:p>
        </w:tc>
        <w:tc>
          <w:tcPr>
            <w:tcW w:type="dxa" w:w="1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صفحة</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 · الغرض والجمهور وكيف تُقرأ</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3</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2 · إدارة المبيعات: دورها وحدودها</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3</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3 · المفاهيم الأساسية قبل الاستخدام</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4</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4 · الأدوار والصلاحيات</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4</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5 · خريطة الشاشات</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5</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6 · شاشة العملاء والجهات</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6</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7 · شاشة الفرصة التجارية</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8</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8 · شاشة المناقصات</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9</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9 · شاشة العرض والتسعير</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10</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10 · شاشة عقد المشروع</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12</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11 · شاشة بنود الحصص</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13</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12 · شاشة الملاحق والتجديدات</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14</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13 · شاشة نماذج التسعير</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15</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14 · انتقال العمل بين المراحل</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16</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15 · المهل والتنبيهات والتصعيد</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17</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16 · سيناريوهات عملية كاملة</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18</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17 · الأخطاء الشائعة</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20</w:t>
            </w:r>
          </w:p>
        </w:tc>
      </w:tr>
      <w:tr>
        <w:trPr>
          <w:cantSplit/>
        </w:trPr>
        <w:tc>
          <w:tcPr>
            <w:tcW w:type="dxa" w:w="8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18 · القواعد الحاكمة</w:t>
            </w:r>
          </w:p>
        </w:tc>
        <w:tc>
          <w:tcPr>
            <w:tcW w:type="dxa" w:w="1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20</w:t>
            </w:r>
          </w:p>
        </w:tc>
      </w:tr>
      <w:tr>
        <w:trPr>
          <w:cantSplit/>
        </w:trPr>
        <w:tc>
          <w:tcPr>
            <w:tcW w:type="dxa" w:w="8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1F4E79"/>
                <w:sz w:val="20"/>
                <w:szCs w:val="20"/>
                <w:rtl/>
              </w:rPr>
              <w:t xml:space="preserve">19 · مسرد المصطلحات</w:t>
            </w:r>
          </w:p>
        </w:tc>
        <w:tc>
          <w:tcPr>
            <w:tcW w:type="dxa" w:w="1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bCs/>
                <w:color w:val="1F4E79"/>
                <w:sz w:val="20"/>
                <w:szCs w:val="20"/>
              </w:rPr>
              <w:t xml:space="preserve">20</w:t>
            </w:r>
          </w:p>
        </w:tc>
      </w:tr>
    </w:tbl>
    <w:p>
      <w:pPr>
        <w:bidi/>
        <w:spacing w:after="0"/>
      </w:pPr>
      <w:r>
        <w:br w:type="page"/>
      </w:r>
    </w:p>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الغرض والجمهور وكيف تُقرأ  </w:t>
      </w:r>
      <w:r>
        <w:rPr>
          <w:rFonts w:ascii="Arial" w:cs="Arial" w:eastAsia="Arial" w:hAnsi="Arial"/>
          <w:b/>
          <w:bCs/>
          <w:color w:val="DCE6F1"/>
          <w:sz w:val="24"/>
          <w:szCs w:val="24"/>
          <w:rtl/>
        </w:rPr>
        <w:t xml:space="preserve">·  1</w:t>
      </w:r>
    </w:p>
    <w:p>
      <w:pPr>
        <w:bidi/>
        <w:spacing w:after="140" w:before="0" w:line="300"/>
        <w:jc w:val="both"/>
      </w:pPr>
      <w:r>
        <w:rPr>
          <w:rFonts w:ascii="Arial" w:cs="Arial" w:eastAsia="Arial" w:hAnsi="Arial"/>
          <w:b w:val="false"/>
          <w:bCs w:val="false"/>
          <w:i w:val="false"/>
          <w:iCs w:val="false"/>
          <w:color w:val="222222"/>
          <w:sz w:val="22"/>
          <w:szCs w:val="22"/>
          <w:rtl/>
        </w:rPr>
        <w:t xml:space="preserve">هذا دليل استخدامٍ يومي لموظفي إدارة المبيعات. غرضه أن يعرف الموظف — بلا شرحٍ شفهي — أي شاشةٍ يفتح، وماذا يكتب في كل حقل، وأي زرٍّ يضغط، وإلى أي جهةٍ ينتقل العمل بعده، ومتى يحقّ له إقفال العمل. وهو ليس مواصفةً فنية؛ فلا يشرح كيف بُني النظام، بل كيف يُستعمل.</w:t>
      </w:r>
    </w:p>
    <w:p>
      <w:pPr>
        <w:bidi/>
        <w:spacing w:after="140" w:before="0" w:line="300"/>
        <w:jc w:val="both"/>
      </w:pPr>
      <w:r>
        <w:rPr>
          <w:rFonts w:ascii="Arial" w:cs="Arial" w:eastAsia="Arial" w:hAnsi="Arial"/>
          <w:b w:val="false"/>
          <w:bCs w:val="false"/>
          <w:i w:val="false"/>
          <w:iCs w:val="false"/>
          <w:color w:val="222222"/>
          <w:sz w:val="22"/>
          <w:szCs w:val="22"/>
          <w:rtl/>
        </w:rPr>
        <w:t xml:space="preserve">الدليل مبنيٌّ على ثلاث طبقات: الإطار (ما هي الإدارة وأدوارها ومفاهيمها)، ثم الشاشات (قسمٌ مستقلٌّ لكل شاشة)، ثم انتقال العمل والتطبيق (المراحل والمهل والسيناريوهات والأخطاء الشائعة).</w:t>
      </w:r>
    </w:p>
    <w:p>
      <w:pPr>
        <w:keepNext/>
        <w:bidi/>
        <w:spacing w:after="80" w:before="160"/>
        <w:jc w:val="right"/>
      </w:pPr>
      <w:r>
        <w:rPr>
          <w:rFonts w:ascii="Arial" w:cs="Arial" w:eastAsia="Arial" w:hAnsi="Arial"/>
          <w:b/>
          <w:bCs/>
          <w:color w:val="2E75B6"/>
          <w:sz w:val="22"/>
          <w:szCs w:val="22"/>
          <w:rtl/>
        </w:rPr>
        <w:t xml:space="preserve">خريطة القراءة حسب الدور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الدور</w:t>
            </w:r>
          </w:p>
        </w:tc>
        <w:tc>
          <w:tcPr>
            <w:tcW w:type="dxa" w:w="4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يعنيه هذا الدليل له</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ابدأ من</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تطوير الأعمال</w:t>
            </w:r>
          </w:p>
        </w:tc>
        <w:tc>
          <w:tcPr>
            <w:tcW w:type="dxa" w:w="4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فتح الفرص، تسجيل الزيارات والاجتماعات، متابعة المنافسين</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شاشة الفرصة التجارية · القسم 7</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4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دراسة الفرصة، مراقبة الأنبوب والمهل، اعتماد التسعير</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شاشة الفرصة التجارية · الأقسام 7 و14 و15</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4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تجهيز العقد وشروطه وبنوده وملاحقه وتجديداته</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شاشات العقد والبنود والملاحق · 10–12</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w:t>
            </w:r>
          </w:p>
        </w:tc>
        <w:tc>
          <w:tcPr>
            <w:tcW w:type="dxa" w:w="4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فحص الجاهزية واعتماد العقد قبل التوقيع</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شاشة عقد المشروع · القسمان 10 و14</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المشروع</w:t>
            </w:r>
          </w:p>
        </w:tc>
        <w:tc>
          <w:tcPr>
            <w:tcW w:type="dxa" w:w="4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تزويد جاهزية الموقع، واستلام العقد للتشغيل</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شاشة عقد المشروع · القسمان 10 و16</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الموظف الجديد والمتدرّب</w:t>
            </w:r>
          </w:p>
        </w:tc>
        <w:tc>
          <w:tcPr>
            <w:tcW w:type="dxa" w:w="4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تعلّم الدورة كاملةً من الفرصة حتى تحليل النتيجة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اقرأ بالترتيب من القسم 1 إلى 19</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إدارة المبيعات: دورها وحدودها  </w:t>
      </w:r>
      <w:r>
        <w:rPr>
          <w:rFonts w:ascii="Arial" w:cs="Arial" w:eastAsia="Arial" w:hAnsi="Arial"/>
          <w:b/>
          <w:bCs/>
          <w:color w:val="DCE6F1"/>
          <w:sz w:val="24"/>
          <w:szCs w:val="24"/>
          <w:rtl/>
        </w:rPr>
        <w:t xml:space="preserve">·  2</w:t>
      </w:r>
    </w:p>
    <w:p>
      <w:pPr>
        <w:bidi/>
        <w:spacing w:after="140" w:before="0" w:line="300"/>
        <w:jc w:val="both"/>
      </w:pPr>
      <w:r>
        <w:rPr>
          <w:rFonts w:ascii="Arial" w:cs="Arial" w:eastAsia="Arial" w:hAnsi="Arial"/>
          <w:b w:val="false"/>
          <w:bCs w:val="false"/>
          <w:i w:val="false"/>
          <w:iCs w:val="false"/>
          <w:color w:val="222222"/>
          <w:sz w:val="22"/>
          <w:szCs w:val="22"/>
          <w:rtl/>
        </w:rPr>
        <w:t xml:space="preserve">إدارة المبيعات هي التي تجلب العمل وتحدّد سقفه. تبدأ من فرصةٍ في السوق أو مناقصةٍ مطروحة، وتنتهي بعقد مشروعٍ معتمد يحدّد الكميات المسموح تشغيلها (الساعات والأطنان والأمتار) وأسعارها وشروطها. وما بعد ذلك — تشغيلٌ وفوترةٌ وصيانة — تتولّاه إداراتٌ أخرى تقرأ العقد ولا تعدّله.</w:t>
      </w:r>
    </w:p>
    <w:p>
      <w:pPr>
        <w:bidi/>
        <w:spacing w:after="140" w:before="0" w:line="300"/>
        <w:jc w:val="both"/>
      </w:pPr>
      <w:r>
        <w:rPr>
          <w:rFonts w:ascii="Arial" w:cs="Arial" w:eastAsia="Arial" w:hAnsi="Arial"/>
          <w:b w:val="false"/>
          <w:bCs w:val="false"/>
          <w:i w:val="false"/>
          <w:iCs w:val="false"/>
          <w:color w:val="222222"/>
          <w:sz w:val="22"/>
          <w:szCs w:val="22"/>
          <w:rtl/>
        </w:rPr>
        <w:t xml:space="preserve">والقاعدة التي تحكم عملك اليومي: لا تشغيل قبل عقدٍ نافذ، ولا عقد قبل فحص جاهزية، ولا تسعير قبل قرار دراسة.</w:t>
      </w:r>
    </w:p>
    <w:p>
      <w:pPr>
        <w:keepNext/>
        <w:bidi/>
        <w:spacing w:after="80" w:before="160"/>
        <w:jc w:val="right"/>
      </w:pPr>
      <w:r>
        <w:rPr>
          <w:rFonts w:ascii="Arial" w:cs="Arial" w:eastAsia="Arial" w:hAnsi="Arial"/>
          <w:b/>
          <w:bCs/>
          <w:color w:val="2E75B6"/>
          <w:sz w:val="22"/>
          <w:szCs w:val="22"/>
          <w:rtl/>
        </w:rPr>
        <w:t xml:space="preserve">ما تملكه الإدارة مقابل ما تقرأه فقط</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cantSplit/>
        </w:trPr>
        <w:tc>
          <w:tcPr>
            <w:tcW w:type="dxa" w:w="46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تملكه الإدارة وتُدخله بنفسها</w:t>
            </w:r>
          </w:p>
        </w:tc>
        <w:tc>
          <w:tcPr>
            <w:tcW w:type="dxa" w:w="468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تقرأه فقط من إدارةٍ أخرى</w:t>
            </w:r>
          </w:p>
        </w:tc>
      </w:tr>
      <w:tr>
        <w:trPr>
          <w:cantSplit/>
        </w:trPr>
        <w:tc>
          <w:tcPr>
            <w:tcW w:type="dxa" w:w="46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بيانات العميل والجهات التجارية</w:t>
            </w:r>
          </w:p>
        </w:tc>
        <w:tc>
          <w:tcPr>
            <w:tcW w:type="dxa" w:w="46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توفر المعدات وحالتها — الأسطول</w:t>
            </w:r>
          </w:p>
        </w:tc>
      </w:tr>
      <w:tr>
        <w:trPr>
          <w:cantSplit/>
        </w:trPr>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ودراستها وقرارها</w:t>
            </w:r>
          </w:p>
        </w:tc>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توفر المشغّلين ومهاراتهم — القوى التشغيلية</w:t>
            </w:r>
          </w:p>
        </w:tc>
      </w:tr>
      <w:tr>
        <w:trPr>
          <w:cantSplit/>
        </w:trPr>
        <w:tc>
          <w:tcPr>
            <w:tcW w:type="dxa" w:w="46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الزيارات والاجتماعات والاتصالات</w:t>
            </w:r>
          </w:p>
        </w:tc>
        <w:tc>
          <w:tcPr>
            <w:tcW w:type="dxa" w:w="46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قدرة الموردين على التغطية — موردو الآليات</w:t>
            </w:r>
          </w:p>
        </w:tc>
      </w:tr>
      <w:tr>
        <w:trPr>
          <w:cantSplit/>
        </w:trPr>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المناقصة ومستنداتها ونتيجتها</w:t>
            </w:r>
          </w:p>
        </w:tc>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القدرة التمويلية والضمانات — التمويل</w:t>
            </w:r>
          </w:p>
        </w:tc>
      </w:tr>
      <w:tr>
        <w:trPr>
          <w:cantSplit/>
        </w:trPr>
        <w:tc>
          <w:tcPr>
            <w:tcW w:type="dxa" w:w="46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 والتسعير وجولات التفاوض</w:t>
            </w:r>
          </w:p>
        </w:tc>
        <w:tc>
          <w:tcPr>
            <w:tcW w:type="dxa" w:w="46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القدرة على خدمة المعدات — الصيانة</w:t>
            </w:r>
          </w:p>
        </w:tc>
      </w:tr>
      <w:tr>
        <w:trPr>
          <w:cantSplit/>
        </w:trPr>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 وشروطه وبنوده وملاحقه</w:t>
            </w:r>
          </w:p>
        </w:tc>
        <w:tc>
          <w:tcPr>
            <w:tcW w:type="dxa" w:w="468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استهلاك الحصص أثناء التشغيل — الحركة والتشغيل</w:t>
            </w:r>
          </w:p>
        </w:tc>
      </w:tr>
      <w:tr>
        <w:trPr>
          <w:cantSplit/>
        </w:trPr>
        <w:tc>
          <w:tcPr>
            <w:tcW w:type="dxa" w:w="46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المخاطر التجارية وأسباب الفوز والخسارة</w:t>
            </w:r>
          </w:p>
        </w:tc>
        <w:tc>
          <w:tcPr>
            <w:tcW w:type="dxa" w:w="468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الفواتير والتحصيل — الإيراد والفوترة</w:t>
            </w:r>
          </w:p>
        </w:tc>
      </w:tr>
    </w:tbl>
    <w:p>
      <w:pPr>
        <w:keepNext/>
        <w:bidi/>
        <w:spacing w:after="80" w:before="160"/>
        <w:jc w:val="right"/>
      </w:pPr>
      <w:r>
        <w:rPr>
          <w:rFonts w:ascii="Arial" w:cs="Arial" w:eastAsia="Arial" w:hAnsi="Arial"/>
          <w:b/>
          <w:bCs/>
          <w:color w:val="2E75B6"/>
          <w:sz w:val="22"/>
          <w:szCs w:val="22"/>
          <w:rtl/>
        </w:rPr>
        <w:t xml:space="preserve">رحلة العمل داخل الإدارة</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فرصة · تُفتح وتُدرس</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زيارة أو اجتماع · تُوثَّق</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تسعير وعرض</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تفاوض</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فحص جاهزية · ثم اعتماد</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عقد نافذ · يُسلَّم للتشغيل</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تجديد أو إقفال · ثم تحليل النتيجة</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المفاهيم الأساسية قبل الاستخدام  </w:t>
      </w:r>
      <w:r>
        <w:rPr>
          <w:rFonts w:ascii="Arial" w:cs="Arial" w:eastAsia="Arial" w:hAnsi="Arial"/>
          <w:b/>
          <w:bCs/>
          <w:color w:val="DCE6F1"/>
          <w:sz w:val="24"/>
          <w:szCs w:val="24"/>
          <w:rtl/>
        </w:rPr>
        <w:t xml:space="preserve">·  3</w:t>
      </w:r>
    </w:p>
    <w:p>
      <w:pPr>
        <w:bidi/>
        <w:spacing w:after="140" w:before="0" w:line="300"/>
        <w:jc w:val="both"/>
      </w:pPr>
      <w:r>
        <w:rPr>
          <w:rFonts w:ascii="Arial" w:cs="Arial" w:eastAsia="Arial" w:hAnsi="Arial"/>
          <w:b w:val="false"/>
          <w:bCs w:val="false"/>
          <w:i w:val="false"/>
          <w:iCs w:val="false"/>
          <w:color w:val="222222"/>
          <w:sz w:val="22"/>
          <w:szCs w:val="22"/>
          <w:rtl/>
        </w:rPr>
        <w:t xml:space="preserve">هذه المصطلحات تتكرّر في كل شاشة؛ فهمها يختصر عليك نصف الدليل: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660"/>
        <w:gridCol w:w="3600"/>
      </w:tblGrid>
      <w:tr>
        <w:trPr>
          <w:tblHeader/>
          <w:cantSplit/>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المصطلح</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تعريفه</w:t>
            </w:r>
          </w:p>
        </w:tc>
        <w:tc>
          <w:tcPr>
            <w:tcW w:type="dxa" w:w="3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لماذا يهمّك عمليًّا</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عملٌ محتملٌ مسجَّل باسم عميلٍ وقيمةٍ تقديرية</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كل عقدٍ يبدأ منها؛ لا عقد بلا فرصة</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الأنبوب التجاري</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مجموع الفرص المفتوحة موزَّعةً على مراحلها</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منه يعرف مديرك ما لديك من عملٍ قادم</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الدراسة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صريح: متابعة أو تعليق أو استبعاد</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بدونه لا تستطيع الانتقال إلى التسعير</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النشاط التجاري</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زيارة أو اجتماع أو اتصالٌ موثَّق على الفرصة</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العلاقة يبقى في النظام لا في ذاكرتك</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نموذج الإيراد</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طريقة قياس العمل: بالساعة أو بالطن أو بالمتر</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يحدّد وحدة السعر وآلية الفوترة</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سقف الحصص</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الكمية القصوى المسموح تشغيلها في العقد</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تجاوزه يوقف التشغيل حتى يصدر ملحق</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الحاوية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الكمية المتعاقد عليها زمنيًّا وكميًّا</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تُتجاوز لا بالوقت ولا بالكمية</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الحوش</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 انتظار المعدة دون عملٍ فعلي</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تولّد إيرادًا؛ لا تُدرجها في الفوترة</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فحص الجاهزية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تحقّقٌ داخليٌّ من قدرتنا على التنفيذ قبل التوقيع</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بوابة إلزامية؛ لا اعتماد قبل اجتيازها</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الملحق</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مستندٌ يوثّق أي تغييرٍ على عقدٍ نافذ</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أي تعديلٍ بدونه غير معتمد</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التجديد مقابل التمديد</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التجديد دورةٌ جديدة بسقفٍ جديد؛ التمديد إطالةٌ للقائمة</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الخلط بينهما يفسد حساب السقف</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قاعدة 30 يومًا</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انقطاعٌ يتجاوز 30 يومًا يُنشئ عقدًا زمنيًّا جديدًا</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تُكمل على عقدٍ توقّف طويلًا</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سبب الفوز أو الخسارة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السبب الموثَّق عند إقفال الفرصة</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منه تُبنى مؤشرات الأداء ومقارنة المنافسين</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الأدوار والصلاحيات  </w:t>
      </w:r>
      <w:r>
        <w:rPr>
          <w:rFonts w:ascii="Arial" w:cs="Arial" w:eastAsia="Arial" w:hAnsi="Arial"/>
          <w:b/>
          <w:bCs/>
          <w:color w:val="DCE6F1"/>
          <w:sz w:val="24"/>
          <w:szCs w:val="24"/>
          <w:rtl/>
        </w:rPr>
        <w:t xml:space="preserve">·  4</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cantSplit/>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الدور</w:t>
            </w:r>
          </w:p>
        </w:tc>
        <w:tc>
          <w:tcPr>
            <w:tcW w:type="dxa" w:w="4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مسؤوليته</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شاشاته</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تطوير الأعمال</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فتح الفرصة، تسجيل الأنشطة، ربط المنافسين، تجهيز بيانات الدراسة</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العملاء · الفرصة · المناقصات</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إصدار قرار الدراسة، مراجعة التسعير، متابعة الأنبوب والمهل</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 العرض · نماذج التسعير</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تحويل العرض إلى عقد، إدخال الشروط والبنود، إصدار الملاحق</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العقد · البنود · الملاحق</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تشغيل فحص الجاهزية واعتماد العقد وإقراره للنفاذ</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العقد · الفرصة</w:t>
            </w:r>
          </w:p>
        </w:tc>
      </w:tr>
      <w:tr>
        <w:trPr>
          <w:cantSplit/>
        </w:trP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المشروع</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تأكيد جاهزية الموقع، استلام العقد النافذ للتشغيل</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العقد (قراءة) · البنود (قراءة)</w:t>
            </w:r>
          </w:p>
        </w:tc>
      </w:tr>
      <w:tr>
        <w:trPr>
          <w:cantSplit/>
        </w:trP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المالية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تأكيد جاهزية التمويل والضمانات ومراجعة شروط الدفع</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العقد (قراءة الشروط)</w:t>
            </w:r>
          </w:p>
        </w:tc>
      </w:tr>
    </w:tbl>
    <w:p>
      <w:pPr>
        <w:keepNext/>
        <w:bidi/>
        <w:spacing w:after="80" w:before="160"/>
        <w:jc w:val="right"/>
      </w:pPr>
      <w:r>
        <w:rPr>
          <w:rFonts w:ascii="Arial" w:cs="Arial" w:eastAsia="Arial" w:hAnsi="Arial"/>
          <w:b/>
          <w:bCs/>
          <w:color w:val="2E75B6"/>
          <w:sz w:val="22"/>
          <w:szCs w:val="22"/>
          <w:rtl/>
        </w:rPr>
        <w:t xml:space="preserve">مصفوفة الصلاحيات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cantSplit/>
        </w:trPr>
        <w:tc>
          <w:tcPr>
            <w:tcW w:type="dxa" w:w="27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الإجراء</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تطوير الأعمال</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مدير المبيعات</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مسؤول العقود</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المدير التجاري</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مدير المشروع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المالية</w:t>
            </w:r>
          </w:p>
        </w:tc>
      </w:tr>
      <w:tr>
        <w:trPr>
          <w:cantSplit/>
        </w:trPr>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فتح فرصة جديدة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زيارة أو اجتماع</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إصدار قرار الدراسة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إعداد التسعير والعرض</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جولة تفاوض</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تشغيل فحص الجاهزية</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العقد</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إصدار ملحقٍ أو تجديد</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إقفال الفرصة بنتيجةٍ وسبب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r>
        <w:trPr>
          <w:cantSplit/>
        </w:trPr>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تعديل نماذج التسعير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«لا» تعني أن الزر لا يظهر لك أصلًا. إن احتجت إجراءً خارج صلاحيتك، سجّل نشاطًا على السجل واطلب من صاحب الصلاحية تنفيذه — ولا تستخدم حساب زميلك.</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خريطة الشاشات  </w:t>
      </w:r>
      <w:r>
        <w:rPr>
          <w:rFonts w:ascii="Arial" w:cs="Arial" w:eastAsia="Arial" w:hAnsi="Arial"/>
          <w:b/>
          <w:bCs/>
          <w:color w:val="DCE6F1"/>
          <w:sz w:val="24"/>
          <w:szCs w:val="24"/>
          <w:rtl/>
        </w:rPr>
        <w:t xml:space="preserve">·  5</w:t>
      </w:r>
    </w:p>
    <w:p>
      <w:pPr>
        <w:bidi/>
        <w:spacing w:after="140" w:before="0" w:line="300"/>
        <w:jc w:val="both"/>
      </w:pPr>
      <w:r>
        <w:rPr>
          <w:rFonts w:ascii="Arial" w:cs="Arial" w:eastAsia="Arial" w:hAnsi="Arial"/>
          <w:b w:val="false"/>
          <w:bCs w:val="false"/>
          <w:i w:val="false"/>
          <w:iCs w:val="false"/>
          <w:color w:val="222222"/>
          <w:sz w:val="22"/>
          <w:szCs w:val="22"/>
          <w:rtl/>
        </w:rPr>
        <w:t xml:space="preserve">للإدارة ثماني شاشاتٍ لا غير. هذه صورتها العامة، وتفصيل كلٍّ منها في قسمها المستقل: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cantSplit/>
        </w:trPr>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الشاشة</w:t>
            </w:r>
          </w:p>
        </w:tc>
        <w:tc>
          <w:tcPr>
            <w:tcW w:type="dxa" w:w="37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غرضها</w:t>
            </w:r>
          </w:p>
        </w:tc>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من يفتحها ومتى</w:t>
            </w:r>
          </w:p>
        </w:tc>
      </w:tr>
      <w:tr>
        <w:trPr>
          <w:cantSplit/>
        </w:trP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العملاء والجهات</w:t>
            </w:r>
          </w:p>
        </w:tc>
        <w:tc>
          <w:tcPr>
            <w:tcW w:type="dxa" w:w="3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العميل والمنافس والجهة الطارحة للعطاء</w:t>
            </w:r>
          </w:p>
        </w:tc>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 — قبل فتح أي فرصة</w:t>
            </w:r>
          </w:p>
        </w:tc>
      </w:tr>
      <w:tr>
        <w:trPr>
          <w:cantSplit/>
        </w:trP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3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إدارة الفرصة ودراستها وأنشطتها ومنافسيها ومخاطرها</w:t>
            </w:r>
          </w:p>
        </w:tc>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 — عند ظهور عملٍ محتمل</w:t>
            </w:r>
          </w:p>
        </w:tc>
      </w:tr>
      <w:tr>
        <w:trPr>
          <w:cantSplit/>
        </w:trP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c>
          <w:tcPr>
            <w:tcW w:type="dxa" w:w="3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متابعة العطاء من الدعوة حتى النتيجة</w:t>
            </w:r>
          </w:p>
        </w:tc>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 — عند طرح مناقصة</w:t>
            </w:r>
          </w:p>
        </w:tc>
      </w:tr>
      <w:tr>
        <w:trPr>
          <w:cantSplit/>
        </w:trP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 والتسعير</w:t>
            </w:r>
          </w:p>
        </w:tc>
        <w:tc>
          <w:tcPr>
            <w:tcW w:type="dxa" w:w="3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بناء العرض وتسعير بنوده وتوثيق جولات التفاوض</w:t>
            </w:r>
          </w:p>
        </w:tc>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 — بعد قرار المتابعة</w:t>
            </w:r>
          </w:p>
        </w:tc>
      </w:tr>
      <w:tr>
        <w:trPr>
          <w:cantSplit/>
        </w:trP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3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الشروط التجارية وفحص الجاهزية والاعتماد</w:t>
            </w:r>
          </w:p>
        </w:tc>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 — بعد الاتفاق المبدئي</w:t>
            </w:r>
          </w:p>
        </w:tc>
      </w:tr>
      <w:tr>
        <w:trPr>
          <w:cantSplit/>
        </w:trP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بنود الحصص</w:t>
            </w:r>
          </w:p>
        </w:tc>
        <w:tc>
          <w:tcPr>
            <w:tcW w:type="dxa" w:w="3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تحديد نموذج الإيراد والكمية والسعر لكل بند</w:t>
            </w:r>
          </w:p>
        </w:tc>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 — أثناء تجهيز العقد</w:t>
            </w:r>
          </w:p>
        </w:tc>
      </w:tr>
      <w:tr>
        <w:trPr>
          <w:cantSplit/>
        </w:trP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الملاحق والتجديدات</w:t>
            </w:r>
          </w:p>
        </w:tc>
        <w:tc>
          <w:tcPr>
            <w:tcW w:type="dxa" w:w="3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توثيق أي تغييرٍ على عقدٍ نافذ</w:t>
            </w:r>
          </w:p>
        </w:tc>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 — عند التمديد أو التعديل</w:t>
            </w:r>
          </w:p>
        </w:tc>
      </w:tr>
      <w:tr>
        <w:trPr>
          <w:cantSplit/>
        </w:trP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نماذج التسعير</w:t>
            </w:r>
          </w:p>
        </w:tc>
        <w:tc>
          <w:tcPr>
            <w:tcW w:type="dxa" w:w="3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قواعد الأسعار حسب نموذج الإيراد والعملة</w:t>
            </w:r>
          </w:p>
        </w:tc>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 — عند تغيّر الأسعار</w:t>
            </w:r>
          </w:p>
        </w:tc>
      </w:tr>
    </w:tbl>
    <w:p>
      <w:pPr>
        <w:keepNext/>
        <w:bidi/>
        <w:spacing w:after="80" w:before="160"/>
        <w:jc w:val="right"/>
      </w:pPr>
      <w:r>
        <w:rPr>
          <w:rFonts w:ascii="Arial" w:cs="Arial" w:eastAsia="Arial" w:hAnsi="Arial"/>
          <w:b/>
          <w:bCs/>
          <w:color w:val="2E75B6"/>
          <w:sz w:val="22"/>
          <w:szCs w:val="22"/>
          <w:rtl/>
        </w:rPr>
        <w:t xml:space="preserve">مسار انتقال العمل بين الشاشات</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العملاء والجهات</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الفرصة التجارية · (وللمناقصات: شاشة المناقصات)</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العرض والتسعير</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عقد المشروع + بنود الحصص</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الملاحق والتجديدات</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إقفال الفرصة بنتيجتها</w:t>
            </w:r>
          </w:p>
        </w:tc>
      </w:tr>
    </w:tbl>
    <w:p>
      <w:pPr>
        <w:keepNext/>
        <w:bidi/>
        <w:spacing w:after="80" w:before="160"/>
        <w:jc w:val="right"/>
      </w:pPr>
      <w:r>
        <w:rPr>
          <w:rFonts w:ascii="Arial" w:cs="Arial" w:eastAsia="Arial" w:hAnsi="Arial"/>
          <w:b/>
          <w:bCs/>
          <w:color w:val="2E75B6"/>
          <w:sz w:val="22"/>
          <w:szCs w:val="22"/>
          <w:rtl/>
        </w:rPr>
        <w:t xml:space="preserve">مسار الوصول من القائمة الرئيسية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cantSplit/>
        </w:trPr>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الشاشة</w:t>
            </w:r>
          </w:p>
        </w:tc>
        <w:tc>
          <w:tcPr>
            <w:tcW w:type="dxa" w:w="6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مسار الوصول</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العملاء والجهات</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المبيعات ‹ العملاء والجهات</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المبيعات ‹ الفرص</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المبيعات ‹ المناقصات</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 والتسعير</w:t>
            </w:r>
          </w:p>
        </w:tc>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المبيعات ‹ العروض</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المبيعات ‹ العقود</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بنود الحصص</w:t>
            </w:r>
          </w:p>
        </w:tc>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المبيعات ‹ العقود ‹ افتح العقد ‹ تبويب البنود</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الملاحق والتجديدات</w:t>
            </w:r>
          </w:p>
        </w:tc>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المبيعات ‹ العقود ‹ افتح العقد ‹ تبويب الملاحق</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نماذج التسعير</w:t>
            </w:r>
          </w:p>
        </w:tc>
        <w:tc>
          <w:tcPr>
            <w:tcW w:type="dxa" w:w="6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المبيعات ‹ الإعدادات ‹ نماذج التسعير</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شاشة العملاء والجهات  </w:t>
      </w:r>
      <w:r>
        <w:rPr>
          <w:rFonts w:ascii="Arial" w:cs="Arial" w:eastAsia="Arial" w:hAnsi="Arial"/>
          <w:b/>
          <w:bCs/>
          <w:color w:val="DCE6F1"/>
          <w:sz w:val="24"/>
          <w:szCs w:val="24"/>
          <w:rtl/>
        </w:rPr>
        <w:t xml:space="preserve">·  6</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الهدف</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تسجيل كل جهةٍ نتعامل معها تجاريًّا: العميل، والمنافس، والجهة الطارحة للعطاء.</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تأتي إليها من</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بداية العمل — قبل فتح أي فرصة، أو من زر «عميل جديد» داخل الفرصة.</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تخرج منها إلى</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الفرصة التجارية لفتح فرصةٍ باسم هذه الجهة.</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الفائدة</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تمنع تكرار العميل بأسماءٍ مختلفة، وتجمع تاريخه التجاري كله في مكانٍ واحد.</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هذه أول شاشةٍ تفتحها مع أي جهةٍ جديدة. لا تُنشئ فرصةً باسمٍ غير مسجَّلٍ هنا. والمنافس ليس له شاشةٌ خاصة؛ يُسجَّل في هذه الشاشة نفسها بتصنيف «منافس»، وكذلك الجهة التي تطرح العطاء.</w:t>
      </w:r>
    </w:p>
    <w:p>
      <w:pPr>
        <w:keepNext/>
        <w:bidi/>
        <w:spacing w:after="80" w:before="160"/>
        <w:jc w:val="right"/>
      </w:pPr>
      <w:r>
        <w:rPr>
          <w:rFonts w:ascii="Arial" w:cs="Arial" w:eastAsia="Arial" w:hAnsi="Arial"/>
          <w:b/>
          <w:bCs/>
          <w:color w:val="2E75B6"/>
          <w:sz w:val="22"/>
          <w:szCs w:val="22"/>
          <w:rtl/>
        </w:rPr>
        <w:t xml:space="preserve">محاكاة الشاشة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040"/>
        <w:gridCol w:w="2640"/>
      </w:tblGrid>
      <w:tr>
        <w:trPr>
          <w:cantSplit/>
        </w:trP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2"/>
                <w:szCs w:val="22"/>
                <w:rtl/>
              </w:rPr>
              <w:t xml:space="preserve">▣  العملاء والجهات</w:t>
            </w:r>
            <w:r>
              <w:rPr>
                <w:rFonts w:ascii="Arial" w:cs="Arial" w:eastAsia="Arial" w:hAnsi="Arial"/>
                <w:b w:val="false"/>
                <w:bCs w:val="false"/>
                <w:color w:val="DCE6F1"/>
                <w:sz w:val="17"/>
                <w:szCs w:val="17"/>
                <w:rtl/>
              </w:rPr>
              <w:t xml:space="preserve">     المبيعات ‹ العملاء والجهات</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9"/>
                <w:szCs w:val="19"/>
                <w:rtl/>
              </w:rPr>
              <w:t xml:space="preserve">[ حفظ ]   [ فرصة جديدة ]   [ عرض العقود ]   [ أرشفة ]</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الاسم</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أعمال الجودي للتجارة والمقاولات</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التصنيف</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عميل</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النوع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شركة</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القطاع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مقاولات نقل</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الولاية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نهر النيل</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المحلية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أبوحمد</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الموقع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قبقبة</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نموذج العمل</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مقاولات نقل بالطن</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عدد المشاريع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1</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عدد العقود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595959"/>
                <w:sz w:val="18"/>
                <w:szCs w:val="18"/>
                <w:rtl/>
              </w:rPr>
              <w:t xml:space="preserve">التبويبات:  </w:t>
            </w:r>
            <w:r>
              <w:rPr>
                <w:rFonts w:ascii="Arial" w:cs="Arial" w:eastAsia="Arial" w:hAnsi="Arial"/>
                <w:b w:val="false"/>
                <w:bCs w:val="false"/>
                <w:color w:val="595959"/>
                <w:sz w:val="18"/>
                <w:szCs w:val="18"/>
                <w:rtl/>
              </w:rPr>
              <w:t xml:space="preserve">البيانات الأساسية  |  المشاريع  |  العقود  |  الأنشطة</w:t>
            </w:r>
          </w:p>
        </w:tc>
      </w:tr>
    </w:tbl>
    <w:p>
      <w:pPr>
        <w:keepNext/>
        <w:bidi/>
        <w:spacing w:after="80" w:before="160"/>
        <w:jc w:val="right"/>
      </w:pPr>
      <w:r>
        <w:rPr>
          <w:rFonts w:ascii="Arial" w:cs="Arial" w:eastAsia="Arial" w:hAnsi="Arial"/>
          <w:b/>
          <w:bCs/>
          <w:color w:val="2E75B6"/>
          <w:sz w:val="22"/>
          <w:szCs w:val="22"/>
          <w:rtl/>
        </w:rPr>
        <w:t xml:space="preserve">جدول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33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الحقل</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إلزامي؟</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ماذا تكتب</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 الشائع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الاسم</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الاسم الرسمي كما في السجل التجاري أو الهوية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كتابة اسمٍ مختصرٍ يُنشئ نسخةً ثانية للعميل نفسه</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التصنيف</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عميل · منافس · جهة طارحة للعطاء</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 المنافس بلا تصنيف فلا يظهر في تحليل المنافسين</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النوع</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شركة أو فرد</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شركةٍ بوصفها فردًا فتختلّ التقارير القطاعية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القطاع</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تعدين ذهب · مقاولات نقل · حفر وتخريم</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تركه فارغًا فلا تظهر الفرصة في تقرير القطاعات</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الولاية والمحلية والموقع</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الموقع الفعلي للعمل لا عنوان المكتب</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كتابة عنوان المكتب بدل موقع المنجم أو المشروع</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المشاريع والعقود</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تُكتب يدويًّا؛ تظهر تلقائيًّا مع كل عقدٍ جديد</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محاولة إدخالها يدويًّا فتتكرّر البيانات</w:t>
            </w:r>
          </w:p>
        </w:tc>
      </w:tr>
    </w:tbl>
    <w:p>
      <w:pPr>
        <w:keepNext/>
        <w:bidi/>
        <w:spacing w:after="80" w:before="160"/>
        <w:jc w:val="right"/>
      </w:pPr>
      <w:r>
        <w:rPr>
          <w:rFonts w:ascii="Arial" w:cs="Arial" w:eastAsia="Arial" w:hAnsi="Arial"/>
          <w:b/>
          <w:bCs/>
          <w:color w:val="2E75B6"/>
          <w:sz w:val="22"/>
          <w:szCs w:val="22"/>
          <w:rtl/>
        </w:rPr>
        <w:t xml:space="preserve">جدول الأزرار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الزر</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يفعله</w:t>
            </w:r>
          </w:p>
        </w:tc>
        <w:tc>
          <w:tcPr>
            <w:tcW w:type="dxa" w:w="3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النتيجة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حفظ</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يثبّت بيانات الجهة</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تصبح الجهة متاحةً للربط بالفرص والعقود</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فرصة جديدة</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يفتح شاشة الفرصة باسم هذه الجهة</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تُنشأ فرصةٌ في المرحلة «جديدة»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العقود</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يعرض عقود الجهة وتاريخها</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يغيّر شيئًا؛ للاطّلاع فقط</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أرشفة</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يُخفي الجهة من قوائم الاختيار</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تُحذف؛ تبقى في تقاريرها السابقة</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قبل إنشاء أي جهةٍ جديدة، ابحث باسمها أولًا. الجهة المكرّرة تُفسد نسبة الفوز أمام المنافس وتُشتّت تاريخ العميل بين سجلّين.</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شاشة الفرصة التجارية  </w:t>
      </w:r>
      <w:r>
        <w:rPr>
          <w:rFonts w:ascii="Arial" w:cs="Arial" w:eastAsia="Arial" w:hAnsi="Arial"/>
          <w:b/>
          <w:bCs/>
          <w:color w:val="DCE6F1"/>
          <w:sz w:val="24"/>
          <w:szCs w:val="24"/>
          <w:rtl/>
        </w:rPr>
        <w:t xml:space="preserve">·  7</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الهدف</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إدارة العمل المحتمل من تسجيله إلى إقفاله: دراسته، وزياراته، ومنافسوه، ومخاطره، ونتيجته.</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تأتي إليها من</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العملاء والجهات، أو من مناقصةٍ مطروحة، أو من طلب عميلٍ قائم.</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تخرج منها إلى</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العرض والتسعير بعد قرار الدراسة بالمتابعة.</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الفائدة</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تمنع صرف الجهد على فرصٍ لا تستحق، وتحفظ تاريخ العلاقة كاملًا في النظام.</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هذه شاشتك اليومية. كل ما يخصّ الفرصة يُسجَّل فيها: الدراسة الأولية، والزيارات والاجتماعات، وجولات التفاوض، والمنافسون، والمخاطر، وسبب الفوز أو الخسارة. لا تفتح شاشةً أخرى ولا دفترًا خارجيًّا لأيٍّ من ذلك.</w:t>
      </w:r>
    </w:p>
    <w:p>
      <w:pPr>
        <w:keepNext/>
        <w:bidi/>
        <w:spacing w:after="80" w:before="160"/>
        <w:jc w:val="right"/>
      </w:pPr>
      <w:r>
        <w:rPr>
          <w:rFonts w:ascii="Arial" w:cs="Arial" w:eastAsia="Arial" w:hAnsi="Arial"/>
          <w:b/>
          <w:bCs/>
          <w:color w:val="2E75B6"/>
          <w:sz w:val="22"/>
          <w:szCs w:val="22"/>
          <w:rtl/>
        </w:rPr>
        <w:t xml:space="preserve">محاكاة الشاشة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040"/>
        <w:gridCol w:w="2640"/>
      </w:tblGrid>
      <w:tr>
        <w:trPr>
          <w:cantSplit/>
        </w:trP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2"/>
                <w:szCs w:val="22"/>
                <w:rtl/>
              </w:rPr>
              <w:t xml:space="preserve">▣  الفرصة التجارية</w:t>
            </w:r>
            <w:r>
              <w:rPr>
                <w:rFonts w:ascii="Arial" w:cs="Arial" w:eastAsia="Arial" w:hAnsi="Arial"/>
                <w:b w:val="false"/>
                <w:bCs w:val="false"/>
                <w:color w:val="DCE6F1"/>
                <w:sz w:val="17"/>
                <w:szCs w:val="17"/>
                <w:rtl/>
              </w:rPr>
              <w:t xml:space="preserve">     المبيعات ‹ الفرص</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9"/>
                <w:szCs w:val="19"/>
                <w:rtl/>
              </w:rPr>
              <w:t xml:space="preserve">[ حفظ ]   [ بدء الدراسة ]   [ قرار الدراسة ]   [ تسجيل نشاط ]   [ إنشاء عرض ]   [ إقفال بنتيجة ]</w:t>
            </w:r>
          </w:p>
        </w:tc>
      </w:tr>
      <w:tr>
        <w:trPr>
          <w:cantSplit/>
        </w:trP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808080"/>
                <w:sz w:val="18"/>
                <w:szCs w:val="18"/>
                <w:rtl/>
              </w:rPr>
              <w:t xml:space="preserve">جديدة</w:t>
            </w:r>
            <w:r>
              <w:rPr>
                <w:rFonts w:ascii="Arial" w:cs="Arial" w:eastAsia="Arial" w:hAnsi="Arial"/>
                <w:b w:val="false"/>
                <w:bCs w:val="false"/>
                <w:color w:val="808080"/>
                <w:sz w:val="18"/>
                <w:szCs w:val="18"/>
                <w:rtl/>
              </w:rPr>
              <w:t xml:space="preserve">  ‹  </w:t>
            </w:r>
            <w:r>
              <w:rPr>
                <w:rFonts w:ascii="Arial" w:cs="Arial" w:eastAsia="Arial" w:hAnsi="Arial"/>
                <w:b/>
                <w:bCs/>
                <w:color w:val="1F4E79"/>
                <w:sz w:val="19"/>
                <w:szCs w:val="19"/>
                <w:rtl/>
              </w:rPr>
              <w:t xml:space="preserve">● قيد الدراسة</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مؤهَّلة</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عرض مُقدَّم</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تفاوض</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فوز / خسارة</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العميل</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شركة ريد روك</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مصدر الفرصة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عميل قائم</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القطاع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مقاولات نقل</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الموقع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نهر النيل · أبوحمد</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نموذج الإيراد المتوقع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النقل بالطن</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القيمة التقديرية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69,462 USD</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الكمية المستهدفة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115,770 طن</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احتمال الفوز</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20%</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تقييم الجاذبية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عالية</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التوافق الاستراتيجي</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نعم</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متطلبات التنفيذ</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6 قلابات · 12 مشغّلًا</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توفر المعدات</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متاح — TQ01-TQ06</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الحاجة إلى تمويل إضافي</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لا</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قرار الدراسة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متابعة</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595959"/>
                <w:sz w:val="18"/>
                <w:szCs w:val="18"/>
                <w:rtl/>
              </w:rPr>
              <w:t xml:space="preserve">التبويبات:  </w:t>
            </w:r>
            <w:r>
              <w:rPr>
                <w:rFonts w:ascii="Arial" w:cs="Arial" w:eastAsia="Arial" w:hAnsi="Arial"/>
                <w:b w:val="false"/>
                <w:bCs w:val="false"/>
                <w:color w:val="595959"/>
                <w:sz w:val="18"/>
                <w:szCs w:val="18"/>
                <w:rtl/>
              </w:rPr>
              <w:t xml:space="preserve">الدراسة  |  الأنشطة  |  التفاوض  |  المنافسون  |  المخاطر  |  نتيجة الإقفال</w:t>
            </w:r>
          </w:p>
        </w:tc>
      </w:tr>
    </w:tbl>
    <w:p>
      <w:pPr>
        <w:keepNext/>
        <w:bidi/>
        <w:spacing w:after="80" w:before="160"/>
        <w:jc w:val="right"/>
      </w:pPr>
      <w:r>
        <w:rPr>
          <w:rFonts w:ascii="Arial" w:cs="Arial" w:eastAsia="Arial" w:hAnsi="Arial"/>
          <w:b/>
          <w:bCs/>
          <w:color w:val="2E75B6"/>
          <w:sz w:val="22"/>
          <w:szCs w:val="22"/>
          <w:rtl/>
        </w:rPr>
        <w:t xml:space="preserve">جدول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33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الحقل</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إلزامي؟</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ماذا تكتب</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 الشائع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العميل</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اختره من الجهات المسجَّلة، لا تكتبه نصًّا</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كتابة اسمٍ حرًّا فلا يرتبط بتاريخ العميل</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مصدر الفرصة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سوق مباشر · إحالة · مناقصة · عميل قائم</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تركه فارغًا فلا نعرف أي قناةٍ تجلب لنا العمل</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نموذج الإيراد المتوقع</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 أو بالطن أو بالمتر</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اختيار نموذجٍ يخالف طبيعة العمل فيختلّ التسعير</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القيمة التقديرية والكمية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أفضل تقديرٍ متاح؛ يُحدَّث بعد الزيارة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 التقدير الأول دون تحديثٍ بعد معاينة الموقع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تقييم الجاذبية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عالية · متوسطة · منخفضة، بحسب القيمة والهامش وجدّية العميل</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وضع «عالية» لكل فرصةٍ فيفقد الحقل معناه</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التوافق الاستراتيجي</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هل تخدم قطاعاتنا ومناطقنا المستهدفة؟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تجاهله ثم اكتشاف بُعد الموقع بعد التسعير</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متطلبات التنفيذ</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عدد المعدات والمشغّلين والموردين المطلوبين</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تقديرها ذهنيًّا دون كتابتها فتضيع عند فحص الجاهزية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توفر المعدات والقوى</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تُقرأ من الأسطول والقوى التشغيلية؛ راجعها ولا تكتبها</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الاعتماد على مكالمةٍ هاتفية بدل قراءة النظام</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الحاجة إلى تمويل إضافي</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نعم/لا وحجمه؛ ينبّه إدارة التمويل مبكرًا</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إغفالها ثم توقّف التعبئة بعد التوقيع</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الدراسة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متابعة · تعليق · استبعاد — مع سببٍ عند غير المتابعة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الانتقال إلى التسعير قبل إصداره</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المنافسون</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اربط الجهات المصنَّفة «منافس» المتوقّع حضورها</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تركها فارغةً فتضيع مقارنة الأسعار مع السوق</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سبب الفوز أو الخسارة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 عند الإقفال</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السبب الحقيقي: السعر · العلاقة · الجاهزية · المنافس</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الإقفال بلا سبب فتفقد الإدارة قاعدة معرفتها</w:t>
            </w:r>
          </w:p>
        </w:tc>
      </w:tr>
    </w:tbl>
    <w:p>
      <w:pPr>
        <w:keepNext/>
        <w:bidi/>
        <w:spacing w:after="80" w:before="160"/>
        <w:jc w:val="right"/>
      </w:pPr>
      <w:r>
        <w:rPr>
          <w:rFonts w:ascii="Arial" w:cs="Arial" w:eastAsia="Arial" w:hAnsi="Arial"/>
          <w:b/>
          <w:bCs/>
          <w:color w:val="2E75B6"/>
          <w:sz w:val="22"/>
          <w:szCs w:val="22"/>
          <w:rtl/>
        </w:rPr>
        <w:t xml:space="preserve">جدول الأزرار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الزر</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يفعله</w:t>
            </w:r>
          </w:p>
        </w:tc>
        <w:tc>
          <w:tcPr>
            <w:tcW w:type="dxa" w:w="3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النتيجة على المرحلة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بدء الدراسة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يفتح تبويب الدراسة لتعبئة الجاذبية والقدرة</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«جديدة» إلى «قيد الدراسة»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الدراسة</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يسجّل قرار المتابعة أو التعليق أو الاستبعاد</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متابعة ← «مؤهَّلة» · استبعاد ← إقفال بالسبب</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نشاط</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يفتح نافذة النشاط: نوعه وتاريخه وحضوره ومخرجاته</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يغيّر المرحلة؛ يضيف سطرًا في تبويب الأنشطة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إنشاء عرض</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ينقل بيانات الفرصة إلى شاشة العرض والتسعير</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«مؤهَّلة» إلى «عرض مُقدَّم» بعد الإرسال</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إقفال بنتيجة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يطلب النتيجة والسبب وملاحظات المراجعة</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إلى «فوز» أو «خسارة» ولا يمكن التراجع</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زر «إنشاء عرض» لا يظهر قبل صدور قرار الدراسة بالمتابعة. إن لم تجده، فالدراسة لم تُحسم بعد — لا تلتفّ على القاعدة بإنشاء عرضٍ من شاشةٍ أخرى.</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شاشة المناقصات  </w:t>
      </w:r>
      <w:r>
        <w:rPr>
          <w:rFonts w:ascii="Arial" w:cs="Arial" w:eastAsia="Arial" w:hAnsi="Arial"/>
          <w:b/>
          <w:bCs/>
          <w:color w:val="DCE6F1"/>
          <w:sz w:val="24"/>
          <w:szCs w:val="24"/>
          <w:rtl/>
        </w:rPr>
        <w:t xml:space="preserve">·  8</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الهدف</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متابعة العطاء من دعوته حتى نتيجته، مرتبطًا بالفرصة التي أنشأته.</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تأتي إليها من</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الفرصة التجارية عند كون مصدرها مناقصة.</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تخرج منها إلى</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العرض والتسعير عند الفوز، أو إقفال الفرصة بالخسارة.</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الفائدة</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تمنع فوات مواعيد الإغلاق، وتبني سجلًّا لنسبة فوزنا بالمناقصات.</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تُستخدم هذه الشاشة فقط للأعمال التي تأتي عبر عطاءٍ مطروح. ولا تُنشئ سقف حصصٍ بذاتها؛ فالسقف لا يوجد إلا في العقد.</w:t>
      </w:r>
    </w:p>
    <w:p>
      <w:pPr>
        <w:keepNext/>
        <w:bidi/>
        <w:spacing w:after="80" w:before="160"/>
        <w:jc w:val="right"/>
      </w:pPr>
      <w:r>
        <w:rPr>
          <w:rFonts w:ascii="Arial" w:cs="Arial" w:eastAsia="Arial" w:hAnsi="Arial"/>
          <w:b/>
          <w:bCs/>
          <w:color w:val="2E75B6"/>
          <w:sz w:val="22"/>
          <w:szCs w:val="22"/>
          <w:rtl/>
        </w:rPr>
        <w:t xml:space="preserve">محاكاة الشاشة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040"/>
        <w:gridCol w:w="2640"/>
      </w:tblGrid>
      <w:tr>
        <w:trPr>
          <w:cantSplit/>
        </w:trP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2"/>
                <w:szCs w:val="22"/>
                <w:rtl/>
              </w:rPr>
              <w:t xml:space="preserve">▣  المناقصات</w:t>
            </w:r>
            <w:r>
              <w:rPr>
                <w:rFonts w:ascii="Arial" w:cs="Arial" w:eastAsia="Arial" w:hAnsi="Arial"/>
                <w:b w:val="false"/>
                <w:bCs w:val="false"/>
                <w:color w:val="DCE6F1"/>
                <w:sz w:val="17"/>
                <w:szCs w:val="17"/>
                <w:rtl/>
              </w:rPr>
              <w:t xml:space="preserve">     المبيعات ‹ المناقصات</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9"/>
                <w:szCs w:val="19"/>
                <w:rtl/>
              </w:rPr>
              <w:t xml:space="preserve">[ حفظ ]   [ إرفاق مستند ]   [ تسجيل التقديم ]   [ سحب العطاء ]   [ تسجيل النتيجة ]</w:t>
            </w:r>
          </w:p>
        </w:tc>
      </w:tr>
      <w:tr>
        <w:trPr>
          <w:cantSplit/>
        </w:trP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808080"/>
                <w:sz w:val="18"/>
                <w:szCs w:val="18"/>
                <w:rtl/>
              </w:rPr>
              <w:t xml:space="preserve">دعوة</w:t>
            </w:r>
            <w:r>
              <w:rPr>
                <w:rFonts w:ascii="Arial" w:cs="Arial" w:eastAsia="Arial" w:hAnsi="Arial"/>
                <w:b w:val="false"/>
                <w:bCs w:val="false"/>
                <w:color w:val="808080"/>
                <w:sz w:val="18"/>
                <w:szCs w:val="18"/>
                <w:rtl/>
              </w:rPr>
              <w:t xml:space="preserve">  ‹  </w:t>
            </w:r>
            <w:r>
              <w:rPr>
                <w:rFonts w:ascii="Arial" w:cs="Arial" w:eastAsia="Arial" w:hAnsi="Arial"/>
                <w:b/>
                <w:bCs/>
                <w:color w:val="1F4E79"/>
                <w:sz w:val="19"/>
                <w:szCs w:val="19"/>
                <w:rtl/>
              </w:rPr>
              <w:t xml:space="preserve">● تحت الإعداد</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مُقدَّمة</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تحت التقييم</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فوز / خسارة</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رقم الدعوة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TND-2026-014</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الجهة الطارحة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شركة تعدين — جهة مصنَّفة</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الفرصة المرتبطة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فرصة النقل بالطن — أبوحمد</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تاريخ الإغلاق</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2026-03-15</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حالة المشاركة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تحت الإعداد</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المستندات</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4 من 6 مُرفقة</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النتيجة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سبب النتيجة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595959"/>
                <w:sz w:val="18"/>
                <w:szCs w:val="18"/>
                <w:rtl/>
              </w:rPr>
              <w:t xml:space="preserve">التبويبات:  </w:t>
            </w:r>
            <w:r>
              <w:rPr>
                <w:rFonts w:ascii="Arial" w:cs="Arial" w:eastAsia="Arial" w:hAnsi="Arial"/>
                <w:b w:val="false"/>
                <w:bCs w:val="false"/>
                <w:color w:val="595959"/>
                <w:sz w:val="18"/>
                <w:szCs w:val="18"/>
                <w:rtl/>
              </w:rPr>
              <w:t xml:space="preserve">بيانات العطاء  |  المستندات  |  النتيجة</w:t>
            </w:r>
          </w:p>
        </w:tc>
      </w:tr>
    </w:tbl>
    <w:p>
      <w:pPr>
        <w:keepNext/>
        <w:bidi/>
        <w:spacing w:after="80" w:before="160"/>
        <w:jc w:val="right"/>
      </w:pPr>
      <w:r>
        <w:rPr>
          <w:rFonts w:ascii="Arial" w:cs="Arial" w:eastAsia="Arial" w:hAnsi="Arial"/>
          <w:b/>
          <w:bCs/>
          <w:color w:val="2E75B6"/>
          <w:sz w:val="22"/>
          <w:szCs w:val="22"/>
          <w:rtl/>
        </w:rPr>
        <w:t xml:space="preserve">جدول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33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الحقل</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إلزامي؟</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ماذا تكتب</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 الشائع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الدعوة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الرقم كما ورد في مستند الجهة الطارحة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ترقيمٌ داخليٌّ من عندك فيصعب تتبّع العطاء</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الجهة الطارحة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اخترها من الجهات المسجَّلة بتصنيف «جهة طارحة»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تسجيلها عميلًا فتختلط بتقارير العملاء</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المرتبطة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اربطها بالفرصة؛ لكل مناقصةٍ فرصة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إدارة العطاء بلا فرصة فلا يظهر في الأنبوب</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الإغلاق</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الموعد النهائي للتقديم كما في الدعوة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إدخال تاريخٍ تقريبي ففوات الموعد</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المستندات</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أرفق العرض الفني والمالي والضمانات والمستندات القانونية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التقديم بمستندٍ ناقصٍ فيُستبعد العطاء شكلًا</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حالة المشاركة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تحت الإعداد · مقدَّمة · مسحوبة</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بقاؤها «تحت الإعداد» بعد التقديم فتضلّ التقارير</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النتيجة وسببها</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 بعد الإعلان</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فوز · خسارة · إلغاء، مع السبب</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الخسارة بلا سببٍ ولا اسم الفائز</w:t>
            </w:r>
          </w:p>
        </w:tc>
      </w:tr>
    </w:tbl>
    <w:p>
      <w:pPr>
        <w:keepNext/>
        <w:bidi/>
        <w:spacing w:after="80" w:before="160"/>
        <w:jc w:val="right"/>
      </w:pPr>
      <w:r>
        <w:rPr>
          <w:rFonts w:ascii="Arial" w:cs="Arial" w:eastAsia="Arial" w:hAnsi="Arial"/>
          <w:b/>
          <w:bCs/>
          <w:color w:val="2E75B6"/>
          <w:sz w:val="22"/>
          <w:szCs w:val="22"/>
          <w:rtl/>
        </w:rPr>
        <w:t xml:space="preserve">جدول الأزرار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الزر</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يفعله</w:t>
            </w:r>
          </w:p>
        </w:tc>
        <w:tc>
          <w:tcPr>
            <w:tcW w:type="dxa" w:w="3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النتيجة على المرحلة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إرفاق مستند</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يضيف مستندًا إلى ملف العطاء</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يغيّر المرحلة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التقديم</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يثبّت تاريخ التقديم ومحتواه</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«تحت الإعداد» إلى «مُقدَّمة»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سحب العطاء</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يوقف المشاركة مع تسجيل السبب</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إلى «مسحوبة» وتُقفَل الفرصة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النتيجة</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يسجّل الفوز أو الخسارة وسببها</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إلى «فوز» أو «خسارة» وتُحدَّث الفرصة</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عند الخسارة سجّل اسم المنافس الفائز إن عُرف. هذه المعلومة هي التي تبني نسبة فوزنا أمام كل منافس، وتظهر لاحقًا في مؤشرات الإدارة.</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شاشة العرض والتسعير  </w:t>
      </w:r>
      <w:r>
        <w:rPr>
          <w:rFonts w:ascii="Arial" w:cs="Arial" w:eastAsia="Arial" w:hAnsi="Arial"/>
          <w:b/>
          <w:bCs/>
          <w:color w:val="DCE6F1"/>
          <w:sz w:val="24"/>
          <w:szCs w:val="24"/>
          <w:rtl/>
        </w:rPr>
        <w:t xml:space="preserve">·  9</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الهدف</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بناء العرض التجاري وتسعير بنوده وتوثيق جولات التفاوض قبل تحويله إلى عقد.</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تأتي إليها من</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الفرصة التجارية بعد قرار الدراسة بالمتابعة، أو من مناقصةٍ فائزة.</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تخرج منها إلى</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عقد المشروع بعد الاتفاق المبدئي على السعر والشروط.</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الفائدة</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تُظهر هامش كل بندٍ قبل الالتزام، وتحفظ ما دار في كل جولة تفاوض.</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العرض يُبنى بندًا بندًا، وكل بندٍ يحمل نموذج إيراده وسعره وتكلفته. لا تكتب سعرًا إجماليًّا واحدًا؛ فالهامش لا يُعرف إلا على مستوى البند.</w:t>
      </w:r>
    </w:p>
    <w:p>
      <w:pPr>
        <w:keepNext/>
        <w:bidi/>
        <w:spacing w:after="80" w:before="160"/>
        <w:jc w:val="right"/>
      </w:pPr>
      <w:r>
        <w:rPr>
          <w:rFonts w:ascii="Arial" w:cs="Arial" w:eastAsia="Arial" w:hAnsi="Arial"/>
          <w:b/>
          <w:bCs/>
          <w:color w:val="2E75B6"/>
          <w:sz w:val="22"/>
          <w:szCs w:val="22"/>
          <w:rtl/>
        </w:rPr>
        <w:t xml:space="preserve">محاكاة الشاشة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040"/>
        <w:gridCol w:w="2640"/>
      </w:tblGrid>
      <w:tr>
        <w:trPr>
          <w:cantSplit/>
        </w:trP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2"/>
                <w:szCs w:val="22"/>
                <w:rtl/>
              </w:rPr>
              <w:t xml:space="preserve">▣  العرض والتسعير</w:t>
            </w:r>
            <w:r>
              <w:rPr>
                <w:rFonts w:ascii="Arial" w:cs="Arial" w:eastAsia="Arial" w:hAnsi="Arial"/>
                <w:b w:val="false"/>
                <w:bCs w:val="false"/>
                <w:color w:val="DCE6F1"/>
                <w:sz w:val="17"/>
                <w:szCs w:val="17"/>
                <w:rtl/>
              </w:rPr>
              <w:t xml:space="preserve">     المبيعات ‹ العروض</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9"/>
                <w:szCs w:val="19"/>
                <w:rtl/>
              </w:rPr>
              <w:t xml:space="preserve">[ حفظ ]   [ إرسال للعميل ]   [ تسجيل جولة تفاوض ]   [ تحويل إلى عقد ]</w:t>
            </w:r>
          </w:p>
        </w:tc>
      </w:tr>
      <w:tr>
        <w:trPr>
          <w:cantSplit/>
        </w:trP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808080"/>
                <w:sz w:val="18"/>
                <w:szCs w:val="18"/>
                <w:rtl/>
              </w:rPr>
              <w:t xml:space="preserve">مسودة</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مُرسل للعميل</w:t>
            </w:r>
            <w:r>
              <w:rPr>
                <w:rFonts w:ascii="Arial" w:cs="Arial" w:eastAsia="Arial" w:hAnsi="Arial"/>
                <w:b w:val="false"/>
                <w:bCs w:val="false"/>
                <w:color w:val="808080"/>
                <w:sz w:val="18"/>
                <w:szCs w:val="18"/>
                <w:rtl/>
              </w:rPr>
              <w:t xml:space="preserve">  ‹  </w:t>
            </w:r>
            <w:r>
              <w:rPr>
                <w:rFonts w:ascii="Arial" w:cs="Arial" w:eastAsia="Arial" w:hAnsi="Arial"/>
                <w:b/>
                <w:bCs/>
                <w:color w:val="1F4E79"/>
                <w:sz w:val="19"/>
                <w:szCs w:val="19"/>
                <w:rtl/>
              </w:rPr>
              <w:t xml:space="preserve">● تحت التفاوض</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مقبول / مرفوض</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العميل</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شركة ريد روك</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الفرصة المصدر</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فرصة النقل بالطن</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البند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نقل بالطن — قلاب نقل</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المعدات</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TQ01-TQ06</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سعر الوحدة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0.6 USD / طن</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سعر التكلفة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مرجع داخلي</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الكمية المستهدفة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115,770 طن</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إجمالي العرض</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69,462 USD</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العملة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USD</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شروط الدفع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شهري</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صلاحية العرض</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2026-03-31</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جولات التفاوض</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595959"/>
                <w:sz w:val="18"/>
                <w:szCs w:val="18"/>
                <w:rtl/>
              </w:rPr>
              <w:t xml:space="preserve">التبويبات:  </w:t>
            </w:r>
            <w:r>
              <w:rPr>
                <w:rFonts w:ascii="Arial" w:cs="Arial" w:eastAsia="Arial" w:hAnsi="Arial"/>
                <w:b w:val="false"/>
                <w:bCs w:val="false"/>
                <w:color w:val="595959"/>
                <w:sz w:val="18"/>
                <w:szCs w:val="18"/>
                <w:rtl/>
              </w:rPr>
              <w:t xml:space="preserve">البنود  |  التسعير  |  جولات التفاوض  |  المرفقات</w:t>
            </w:r>
          </w:p>
        </w:tc>
      </w:tr>
    </w:tbl>
    <w:p>
      <w:pPr>
        <w:keepNext/>
        <w:bidi/>
        <w:spacing w:after="80" w:before="160"/>
        <w:jc w:val="right"/>
      </w:pPr>
      <w:r>
        <w:rPr>
          <w:rFonts w:ascii="Arial" w:cs="Arial" w:eastAsia="Arial" w:hAnsi="Arial"/>
          <w:b/>
          <w:bCs/>
          <w:color w:val="2E75B6"/>
          <w:sz w:val="22"/>
          <w:szCs w:val="22"/>
          <w:rtl/>
        </w:rPr>
        <w:t xml:space="preserve">جدول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33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الحقل</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إلزامي؟</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ماذا تكتب</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 الشائع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المصدر</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تأتي تلقائيًّا؛ تأكّد أنها الفرصة الصحيحة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إنشاء عرضٍ منفصلٍ فلا يظهر في الأنبوب</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البند والمعدات</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بندٌ لكل نوع عملٍ ومعداته</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دمج أعمالٍ مختلفةٍ في بندٍ واحد فيضيع الهامش</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نموذج الإيراد</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 أو بالطن أو بالمتر لكل بندٍ على حدة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افتراض نموذجٍ واحدٍ للعقد كله</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سعر الوحدة والعملة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السعر بوحدة النموذج، وبعملةٍ واحدةٍ للبند</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خلط الدولار والجنيه داخل البند نفسه</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سعر التكلفة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التكلفة المقدَّرة للوحدة؛ مرجع داخليٌّ لا يظهر للعميل</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تركه فارغًا فلا يُحسب الهامش</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الكمية المستهدفة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الكمية المتوقّعة خلال مدة العقد</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كتابة كميةٍ متفائلةٍ تُلزمنا بسقفٍ لا نبلغه</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شروط الدفع</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دورة السداد وآليته</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تأجيلها إلى مرحلة العقد فتتفاجأ المالية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صلاحية العرض</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التاريخ الذي ينتهي عنده التزامنا بالسعر</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تركها مفتوحةً فيُقبَل العرض بعد تغيّر التكاليف</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جولات التفاوض</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 عند كل جولة</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ما طلبه العميل وما وافقنا عليه ومن حضر</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الاكتفاء بتعديل السعر دون تسجيل سبب التعديل</w:t>
            </w:r>
          </w:p>
        </w:tc>
      </w:tr>
    </w:tbl>
    <w:p>
      <w:pPr>
        <w:keepNext/>
        <w:bidi/>
        <w:spacing w:after="80" w:before="160"/>
        <w:jc w:val="right"/>
      </w:pPr>
      <w:r>
        <w:rPr>
          <w:rFonts w:ascii="Arial" w:cs="Arial" w:eastAsia="Arial" w:hAnsi="Arial"/>
          <w:b/>
          <w:bCs/>
          <w:color w:val="2E75B6"/>
          <w:sz w:val="22"/>
          <w:szCs w:val="22"/>
          <w:rtl/>
        </w:rPr>
        <w:t xml:space="preserve">جدول الأزرار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الزر</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يفعله</w:t>
            </w:r>
          </w:p>
        </w:tc>
        <w:tc>
          <w:tcPr>
            <w:tcW w:type="dxa" w:w="3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النتيجة على المرحلة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إرسال للعميل</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يثبّت نسخة العرض ويسجّل تاريخ الإرسال</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«مسودة» إلى «مُرسل للعميل»</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جولة تفاوض</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يضيف سطرًا بتاريخ الجولة ومخرجاتها</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إلى «تحت التفاوض»</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تحويل إلى عقد</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ينقل البنود والأسعار إلى شاشة عقد المشروع</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يُنشئ عقدًا في حالة «مسودة»</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مثال مقبول: بندان منفصلان — «نقل بالطن 0.6 USD» و«تأجير بالساعة 3,500 SDG». مثال مرفوض: بندٌ واحد بعملتين أو بنموذجَي إيراد.</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شاشة عقد المشروع  </w:t>
      </w:r>
      <w:r>
        <w:rPr>
          <w:rFonts w:ascii="Arial" w:cs="Arial" w:eastAsia="Arial" w:hAnsi="Arial"/>
          <w:b/>
          <w:bCs/>
          <w:color w:val="DCE6F1"/>
          <w:sz w:val="24"/>
          <w:szCs w:val="24"/>
          <w:rtl/>
        </w:rPr>
        <w:t xml:space="preserve">·  10</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الهدف</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تثبيت الالتزام التجاري: شروطه، وبنوده وسقوفها، وفحص جاهزيته، واعتماده ونفاذه.</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تأتي إليها من</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العرض والتسعير عبر زر «تحويل إلى عقد».</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تخرج منها إلى</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التشغيل بعد النفاذ، ثم شاشة الملاحق عند أي تغيير، ثم الإقفال.</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الفائدة</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تمنع توقيع عقدٍ لا نقدر على تنفيذه، وتجعل الشروط جزءًا من التحليل لا مرفقًا مُهمَلًا.</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هذه أخطر شاشةٍ في الإدارة؛ ما يُعتمد فيها يلتزم به التشغيل والمالية معًا. راجع الشروط وبنود الجاهزية قبل الضغط على «اعتماد العقد»، فبعد النفاذ لا تعديل إلا بملحق.</w:t>
      </w:r>
    </w:p>
    <w:p>
      <w:pPr>
        <w:keepNext/>
        <w:bidi/>
        <w:spacing w:after="80" w:before="160"/>
        <w:jc w:val="right"/>
      </w:pPr>
      <w:r>
        <w:rPr>
          <w:rFonts w:ascii="Arial" w:cs="Arial" w:eastAsia="Arial" w:hAnsi="Arial"/>
          <w:b/>
          <w:bCs/>
          <w:color w:val="2E75B6"/>
          <w:sz w:val="22"/>
          <w:szCs w:val="22"/>
          <w:rtl/>
        </w:rPr>
        <w:t xml:space="preserve">محاكاة الشاشة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040"/>
        <w:gridCol w:w="2640"/>
      </w:tblGrid>
      <w:tr>
        <w:trPr>
          <w:cantSplit/>
        </w:trP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2"/>
                <w:szCs w:val="22"/>
                <w:rtl/>
              </w:rPr>
              <w:t xml:space="preserve">▣  عقد المشروع</w:t>
            </w:r>
            <w:r>
              <w:rPr>
                <w:rFonts w:ascii="Arial" w:cs="Arial" w:eastAsia="Arial" w:hAnsi="Arial"/>
                <w:b w:val="false"/>
                <w:bCs w:val="false"/>
                <w:color w:val="DCE6F1"/>
                <w:sz w:val="17"/>
                <w:szCs w:val="17"/>
                <w:rtl/>
              </w:rPr>
              <w:t xml:space="preserve">     المبيعات ‹ العقود</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9"/>
                <w:szCs w:val="19"/>
                <w:rtl/>
              </w:rPr>
              <w:t xml:space="preserve">[ حفظ ]   [ تشغيل فحص الجاهزية ]   [ اعتماد العقد ]   [ تفعيل النفاذ ]   [ إقفال العقد ]</w:t>
            </w:r>
          </w:p>
        </w:tc>
      </w:tr>
      <w:tr>
        <w:trPr>
          <w:cantSplit/>
        </w:trPr>
        <w:tc>
          <w:tcPr>
            <w:tcW w:type="dxa" w:w="9360"/>
            <w:gridSpan w:val="4"/>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808080"/>
                <w:sz w:val="18"/>
                <w:szCs w:val="18"/>
                <w:rtl/>
              </w:rPr>
              <w:t xml:space="preserve">مسودة</w:t>
            </w:r>
            <w:r>
              <w:rPr>
                <w:rFonts w:ascii="Arial" w:cs="Arial" w:eastAsia="Arial" w:hAnsi="Arial"/>
                <w:b w:val="false"/>
                <w:bCs w:val="false"/>
                <w:color w:val="808080"/>
                <w:sz w:val="18"/>
                <w:szCs w:val="18"/>
                <w:rtl/>
              </w:rPr>
              <w:t xml:space="preserve">  ‹  </w:t>
            </w:r>
            <w:r>
              <w:rPr>
                <w:rFonts w:ascii="Arial" w:cs="Arial" w:eastAsia="Arial" w:hAnsi="Arial"/>
                <w:b/>
                <w:bCs/>
                <w:color w:val="1F4E79"/>
                <w:sz w:val="19"/>
                <w:szCs w:val="19"/>
                <w:rtl/>
              </w:rPr>
              <w:t xml:space="preserve">● فحص الجاهزية</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معتمد</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نافذ</w:t>
            </w:r>
            <w:r>
              <w:rPr>
                <w:rFonts w:ascii="Arial" w:cs="Arial" w:eastAsia="Arial" w:hAnsi="Arial"/>
                <w:b w:val="false"/>
                <w:bCs w:val="false"/>
                <w:color w:val="808080"/>
                <w:sz w:val="18"/>
                <w:szCs w:val="18"/>
                <w:rtl/>
              </w:rPr>
              <w:t xml:space="preserve">  ‹  </w:t>
            </w:r>
            <w:r>
              <w:rPr>
                <w:rFonts w:ascii="Arial" w:cs="Arial" w:eastAsia="Arial" w:hAnsi="Arial"/>
                <w:b w:val="false"/>
                <w:bCs w:val="false"/>
                <w:color w:val="808080"/>
                <w:sz w:val="18"/>
                <w:szCs w:val="18"/>
                <w:rtl/>
              </w:rPr>
              <w:t xml:space="preserve">مُقفَل</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رقم العقد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TRN-002</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العميل</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شركة ريد روك</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المشروع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نقل بالطن — أبوحمد</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نموذج العقد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مقاولات نقل بالطن</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تاريخ البداية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2026-04-01</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المدة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3 أشهر</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تاريخ النهاية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2026-06-30</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العملة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USD</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شروط الدفع</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شهري</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الدفعة المقدمة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الضمانات</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شيك ضمان</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غرامة التأخير</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حالة فحص الجاهزية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جارٍ — 5 من 6</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المخاطر العالية المفتوحة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0</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595959"/>
                <w:sz w:val="18"/>
                <w:szCs w:val="18"/>
                <w:rtl/>
              </w:rPr>
              <w:t xml:space="preserve">التبويبات:  </w:t>
            </w:r>
            <w:r>
              <w:rPr>
                <w:rFonts w:ascii="Arial" w:cs="Arial" w:eastAsia="Arial" w:hAnsi="Arial"/>
                <w:b w:val="false"/>
                <w:bCs w:val="false"/>
                <w:color w:val="595959"/>
                <w:sz w:val="18"/>
                <w:szCs w:val="18"/>
                <w:rtl/>
              </w:rPr>
              <w:t xml:space="preserve">البنود  |  الشروط التجارية  |  فحص الجاهزية  |  المخاطر  |  الملاحق</w:t>
            </w:r>
          </w:p>
        </w:tc>
      </w:tr>
    </w:tbl>
    <w:p>
      <w:pPr>
        <w:keepNext/>
        <w:bidi/>
        <w:spacing w:after="80" w:before="160"/>
        <w:jc w:val="right"/>
      </w:pPr>
      <w:r>
        <w:rPr>
          <w:rFonts w:ascii="Arial" w:cs="Arial" w:eastAsia="Arial" w:hAnsi="Arial"/>
          <w:b/>
          <w:bCs/>
          <w:color w:val="2E75B6"/>
          <w:sz w:val="22"/>
          <w:szCs w:val="22"/>
          <w:rtl/>
        </w:rPr>
        <w:t xml:space="preserve">جدول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33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الحقل</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إلزامي؟</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ماذا تكتب</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 الشائع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رقم العقد</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يُولَّد آليًّا وفق التكويد المعتمد</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كتابة رقمٍ يدويٍّ فيتعارض مع التكويد</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المدة والتواريخ</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البداية والنهاية كما اتُّفق عليه</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 النهاية مفتوحةً فلا يعمل تنبيه التجديد</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العملة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عملةٌ واحدةٌ للعقد ولبنوده</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بعملتين فتختلّ الفوترة والتحصيل</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شروط الدفع</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دورة السداد ومهلتها</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كتابة «حسب الاتفاق» بلا تفصيل</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الدفعة المقدمة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 إن وُجدت</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نسبتها وموعد استحقاقها</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الاتفاق عليها شفهيًّا دون تسجيلها</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الضمانات</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 إن طُلبت</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الضمان وقيمته وتاريخ انتهائه</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إغفال تاريخ الانتهاء فينتهي الضمان أثناء التنفيذ</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غرامة التأخير</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 إن وُجدت</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آلية الحساب وسقفها الأقصى</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قبول غرامةٍ بلا سقفٍ أعلى</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شروط الإنهاء والتجديد</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متى يحقّ الإنهاء، وهل التجديد تلقائيٌّ ومهلة إشعاره</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تركها للمرفق فلا تدخل التحليل ولا التنبيهات</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شروط زيادة الأسعار</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 في العقود الطويلة</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متى يحقّ الرفع ووفق أي مؤشر</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طويلٌ بسعرٍ ثابتٍ بلا شرط زيادة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شروط القوة القاهرة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ما يُعفي الطرفين وأثره على المدة والسقف</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تجاهلها ثم الخلاف عند التوقف الاضطراري</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بنود فحص الجاهزية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تُملأ من الإدارات الستّ؛ راجعها ولا تتجاوزها</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الاعتماد بينما بندٌ واحدٌ غير مجتاز</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المخاطر</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ترحّل من الفرصة؛ أضف ما استجدّ بخطة معالجته</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 خطرٍ عالٍ بلا خطةٍ ثم الاعتماد</w:t>
            </w:r>
          </w:p>
        </w:tc>
      </w:tr>
    </w:tbl>
    <w:p>
      <w:pPr>
        <w:keepNext/>
        <w:bidi/>
        <w:spacing w:after="80" w:before="160"/>
        <w:jc w:val="right"/>
      </w:pPr>
      <w:r>
        <w:rPr>
          <w:rFonts w:ascii="Arial" w:cs="Arial" w:eastAsia="Arial" w:hAnsi="Arial"/>
          <w:b/>
          <w:bCs/>
          <w:color w:val="2E75B6"/>
          <w:sz w:val="22"/>
          <w:szCs w:val="22"/>
          <w:rtl/>
        </w:rPr>
        <w:t xml:space="preserve">جدول الأزرار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الزر</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يفعله</w:t>
            </w:r>
          </w:p>
        </w:tc>
        <w:tc>
          <w:tcPr>
            <w:tcW w:type="dxa" w:w="3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النتيجة على الحالة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تشغيل فحص الجاهزية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يستدعي حالة الإدارات الستّ ويُظهر البنود غير المجتازة</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«مسودة» إلى «فحص الجاهزية»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اعتماد العقد</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يقفل الشروط والبنود عن التعديل المباشر</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يعمل إلا إذا اجتاز الفحص؛ إلى «معتمد»</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تفعيل النفاذ</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يجعل سقف الحصص متاحًا للتشغيل</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إلى «نافذ» ويبدأ التخصيص</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إقفال العقد</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يُنهي العقد بعد التسوية ويطلب تحليل النتيجة</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إلى «مُقفَل» ولا يقبل تخصيصًا</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زر «اعتماد العقد» معطَّلٌ ما دام بندٌ من بنود الجاهزية الستّة غير مجتاز، أو ما دام هناك خطرٌ عالٍ بلا خطة معالجة. هذا ليس عطلًا في النظام؛ هذه هي القاعدة.</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شاشة بنود الحصص  </w:t>
      </w:r>
      <w:r>
        <w:rPr>
          <w:rFonts w:ascii="Arial" w:cs="Arial" w:eastAsia="Arial" w:hAnsi="Arial"/>
          <w:b/>
          <w:bCs/>
          <w:color w:val="DCE6F1"/>
          <w:sz w:val="24"/>
          <w:szCs w:val="24"/>
          <w:rtl/>
        </w:rPr>
        <w:t xml:space="preserve">·  11</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الهدف</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تحديد ما سيُنفَّذ فعلًا: نموذج الإيراد والكمية القصوى وسعر الوحدة لكل بند.</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تأتي إليها من</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تبويب البنود داخل عقد المشروع، أو تلقائيًّا من بنود العرض.</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تخرج منها إلى</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التشغيل الذي يستهلك الكمية، والفوترة التي تحسبها.</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الفائدة</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تحدّد السقف الذي يقف عنده التشغيل، فلا يُنفَّذ عملٌ بلا غطاءٍ تعاقدي.</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البند هو أصغر وحدةٍ تجاريةٍ في النظام، وعليه يقوم كل شيءٍ بعده: التخصيص والتشغيل والفوترة والهامش. والعقد الواحد قد يحمل بنودًا بنماذج إيرادٍ مختلفة.</w:t>
      </w:r>
    </w:p>
    <w:p>
      <w:pPr>
        <w:keepNext/>
        <w:bidi/>
        <w:spacing w:after="80" w:before="160"/>
        <w:jc w:val="right"/>
      </w:pPr>
      <w:r>
        <w:rPr>
          <w:rFonts w:ascii="Arial" w:cs="Arial" w:eastAsia="Arial" w:hAnsi="Arial"/>
          <w:b/>
          <w:bCs/>
          <w:color w:val="2E75B6"/>
          <w:sz w:val="22"/>
          <w:szCs w:val="22"/>
          <w:rtl/>
        </w:rPr>
        <w:t xml:space="preserve">محاكاة الشاشة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040"/>
        <w:gridCol w:w="2640"/>
      </w:tblGrid>
      <w:tr>
        <w:trPr>
          <w:cantSplit/>
        </w:trP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2"/>
                <w:szCs w:val="22"/>
                <w:rtl/>
              </w:rPr>
              <w:t xml:space="preserve">▣  بنود الحصص</w:t>
            </w:r>
            <w:r>
              <w:rPr>
                <w:rFonts w:ascii="Arial" w:cs="Arial" w:eastAsia="Arial" w:hAnsi="Arial"/>
                <w:b w:val="false"/>
                <w:bCs w:val="false"/>
                <w:color w:val="DCE6F1"/>
                <w:sz w:val="17"/>
                <w:szCs w:val="17"/>
                <w:rtl/>
              </w:rPr>
              <w:t xml:space="preserve">     المبيعات ‹ العقود ‹ TRN-002 ‹ تبويب البنود</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9"/>
                <w:szCs w:val="19"/>
                <w:rtl/>
              </w:rPr>
              <w:t xml:space="preserve">[ حفظ ]   [ إضافة بند ]   [ حذف بند ]</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البند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نقل بالطن</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المعدات</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قلاب نقل — TQ01-TQ06</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نموذج الإيراد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بالطن</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سقف الكمية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115,770 طن</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سعر الوحدة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0.6 USD</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العملة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USD</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قيمة البند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69,462 USD</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المستهلَك حتى الآن</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0</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595959"/>
                <w:sz w:val="18"/>
                <w:szCs w:val="18"/>
                <w:rtl/>
              </w:rPr>
              <w:t xml:space="preserve">التبويبات:  </w:t>
            </w:r>
            <w:r>
              <w:rPr>
                <w:rFonts w:ascii="Arial" w:cs="Arial" w:eastAsia="Arial" w:hAnsi="Arial"/>
                <w:b w:val="false"/>
                <w:bCs w:val="false"/>
                <w:color w:val="595959"/>
                <w:sz w:val="18"/>
                <w:szCs w:val="18"/>
                <w:rtl/>
              </w:rPr>
              <w:t xml:space="preserve">بيانات البند  |  التسعير  |  الاستهلاك</w:t>
            </w:r>
          </w:p>
        </w:tc>
      </w:tr>
    </w:tbl>
    <w:p>
      <w:pPr>
        <w:keepNext/>
        <w:bidi/>
        <w:spacing w:after="80" w:before="160"/>
        <w:jc w:val="right"/>
      </w:pPr>
      <w:r>
        <w:rPr>
          <w:rFonts w:ascii="Arial" w:cs="Arial" w:eastAsia="Arial" w:hAnsi="Arial"/>
          <w:b/>
          <w:bCs/>
          <w:color w:val="2E75B6"/>
          <w:sz w:val="22"/>
          <w:szCs w:val="22"/>
          <w:rtl/>
        </w:rPr>
        <w:t xml:space="preserve">جدول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33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الحقل</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إلزامي؟</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ماذا تكتب</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 الشائع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المعدات</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المعدة أو مجموعتها المخصَّصة للبند</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 البند بلا معدةٍ فلا يمكن تخصيصه للتشغيل</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نموذج الإيراد</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بالساعة أو بالطن أو بالمتر — نموذجٌ واحدٌ للبند</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بندٌ بنموذجين فيتعذّر قياس التنفيذ</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سقف الكمية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الساعات أو الأطنان أو الأمتار المتعاقد عليها</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تركه صفرًا أو مفتوحًا فيتجاوز التشغيل الاتفاق</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سعر الوحدة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السعر لكل ساعة أو طن أو متر</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إدخال السعر الإجمالي بدل سعر الوحدة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العملة</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تُورَّث من العقد ولا تُخالفه</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مخالفة عملة العقد فتُرفض الفوترة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المستهلَك والمتبقّي</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يُحدَّث آليًّا من التشغيل؛ للقراءة فقط</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محاولة تعديله يدويًّا لتغطية تجاوز</w:t>
            </w:r>
          </w:p>
        </w:tc>
      </w:tr>
    </w:tbl>
    <w:p>
      <w:pPr>
        <w:keepNext/>
        <w:bidi/>
        <w:spacing w:after="80" w:before="160"/>
        <w:jc w:val="right"/>
      </w:pPr>
      <w:r>
        <w:rPr>
          <w:rFonts w:ascii="Arial" w:cs="Arial" w:eastAsia="Arial" w:hAnsi="Arial"/>
          <w:b/>
          <w:bCs/>
          <w:color w:val="2E75B6"/>
          <w:sz w:val="22"/>
          <w:szCs w:val="22"/>
          <w:rtl/>
        </w:rPr>
        <w:t xml:space="preserve">جدول الأزرار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الزر</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يفعله</w:t>
            </w:r>
          </w:p>
        </w:tc>
        <w:tc>
          <w:tcPr>
            <w:tcW w:type="dxa" w:w="3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النتيجة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إضافة بند</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يفتح سطرًا جديدًا تحت العقد</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يزيد سقف العقد بقيمة البند</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حذف بند</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يحذف السطر قبل الاعتماد فقط</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معطَّلٌ بعد النفاذ؛ استخدم ملحقًا</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ساعات الحوش (انتظار المعدة دون عملٍ فعلي) لا تُحتسب في سقف الساعات ولا في الفوترة. وإذا بلغ المستهلَك السقف، يتوقف التشغيل حتى يصدر ملحقٌ بزيادة النطاق.</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شاشة الملاحق والتجديدات  </w:t>
      </w:r>
      <w:r>
        <w:rPr>
          <w:rFonts w:ascii="Arial" w:cs="Arial" w:eastAsia="Arial" w:hAnsi="Arial"/>
          <w:b/>
          <w:bCs/>
          <w:color w:val="DCE6F1"/>
          <w:sz w:val="24"/>
          <w:szCs w:val="24"/>
          <w:rtl/>
        </w:rPr>
        <w:t xml:space="preserve">·  12</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الهدف</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توثيق كل تغييرٍ يطرأ على عقدٍ نافذ: تجديدًا أو تمديدًا أو تعديلًا في النطاق أو السعر.</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تأتي إليها من</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تبويب الملاحق داخل عقد المشروع، أو من تنبيه اقتراب انتهاء العقد.</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تخرج منها إلى</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العقد نفسه بسقفٍ أو مدةٍ محدَّثة، أو عقدٍ زمنيٍّ جديد عند انطباق قاعدة 30 يومًا.</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الفائدة</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تحفظ تاريخ العقد كاملًا، فلا يتغيّر التزامٌ دون أثرٍ موثَّق.</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لا تعدّل عقدًا نافذًا مباشرة. كل تغييرٍ — ولو كان سعرًا واحدًا — يمرّ من هنا بنوعه وسببه، حتى يبقى الفرق بين ما اتُّفق عليه أولًا وما انتهى إليه العقد مرئيًّا لأي مراجعة.</w:t>
      </w:r>
    </w:p>
    <w:p>
      <w:pPr>
        <w:keepNext/>
        <w:bidi/>
        <w:spacing w:after="80" w:before="160"/>
        <w:jc w:val="right"/>
      </w:pPr>
      <w:r>
        <w:rPr>
          <w:rFonts w:ascii="Arial" w:cs="Arial" w:eastAsia="Arial" w:hAnsi="Arial"/>
          <w:b/>
          <w:bCs/>
          <w:color w:val="2E75B6"/>
          <w:sz w:val="22"/>
          <w:szCs w:val="22"/>
          <w:rtl/>
        </w:rPr>
        <w:t xml:space="preserve">محاكاة الشاشة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040"/>
        <w:gridCol w:w="2640"/>
      </w:tblGrid>
      <w:tr>
        <w:trPr>
          <w:cantSplit/>
        </w:trP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2"/>
                <w:szCs w:val="22"/>
                <w:rtl/>
              </w:rPr>
              <w:t xml:space="preserve">▣  الملاحق والتجديدات</w:t>
            </w:r>
            <w:r>
              <w:rPr>
                <w:rFonts w:ascii="Arial" w:cs="Arial" w:eastAsia="Arial" w:hAnsi="Arial"/>
                <w:b w:val="false"/>
                <w:bCs w:val="false"/>
                <w:color w:val="DCE6F1"/>
                <w:sz w:val="17"/>
                <w:szCs w:val="17"/>
                <w:rtl/>
              </w:rPr>
              <w:t xml:space="preserve">     المبيعات ‹ العقود ‹ افتح العقد ‹ تبويب الملاحق</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9"/>
                <w:szCs w:val="19"/>
                <w:rtl/>
              </w:rPr>
              <w:t xml:space="preserve">[ حفظ ]   [ إصدار ملحق ]   [ تجديد العقد ]   [ تمديد المدة ]</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العقد الأصلي</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TRN-001A</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العميل</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أعمال الجودي للتجارة والمقاولات</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نوع التعديل</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تجديد — دورة جديدة</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سبب التعديل</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انقطاع يتجاوز 30 يومًا</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نهاية العقد السابق</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2026-04-30</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بداية الدورة الجديدة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2026-12-01</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المدة الجديدة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14 شهرًا</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العقد الناتج</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TRN-001B</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السقف قبل</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دورة مُقفلة</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السقف بعد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سقف جديد للدورة</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595959"/>
                <w:sz w:val="18"/>
                <w:szCs w:val="18"/>
                <w:rtl/>
              </w:rPr>
              <w:t xml:space="preserve">التبويبات:  </w:t>
            </w:r>
            <w:r>
              <w:rPr>
                <w:rFonts w:ascii="Arial" w:cs="Arial" w:eastAsia="Arial" w:hAnsi="Arial"/>
                <w:b w:val="false"/>
                <w:bCs w:val="false"/>
                <w:color w:val="595959"/>
                <w:sz w:val="18"/>
                <w:szCs w:val="18"/>
                <w:rtl/>
              </w:rPr>
              <w:t xml:space="preserve">بيانات الملحق  |  الأثر على السقف  |  المرفقات</w:t>
            </w:r>
          </w:p>
        </w:tc>
      </w:tr>
    </w:tbl>
    <w:p>
      <w:pPr>
        <w:keepNext/>
        <w:bidi/>
        <w:spacing w:after="80" w:before="160"/>
        <w:jc w:val="right"/>
      </w:pPr>
      <w:r>
        <w:rPr>
          <w:rFonts w:ascii="Arial" w:cs="Arial" w:eastAsia="Arial" w:hAnsi="Arial"/>
          <w:b/>
          <w:bCs/>
          <w:color w:val="2E75B6"/>
          <w:sz w:val="22"/>
          <w:szCs w:val="22"/>
          <w:rtl/>
        </w:rPr>
        <w:t xml:space="preserve">جدول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33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الحقل</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إلزامي؟</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ماذا تكتب</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 الشائع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نوع التعديل</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تجديد · تمديد · زيادة نطاق · تخفيض نطاق · تغيير أسعار · إضافة معدات أو خدمات</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التجديد تمديدًا فيختلّ حساب السقف</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سبب التعديل</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السبب الفعلي: انقطاع، توسّع، تغيّر تكاليف، طلب عميل</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كتابة «حسب الاتفاق» بلا سببٍ حقيقي</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التعديل</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سريان الملحق لا تاريخ كتابته</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الخلط بينهما فتتداخل دورات الفوترة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الأثر على السقف</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الكمية أو المدة قبل وبعد</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تعديل السقف دون توثيق قيمته السابقة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المرفقات</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نسخة الملحق الموقَّعة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تفعيل الملحق قبل توقيعه</w:t>
            </w:r>
          </w:p>
        </w:tc>
      </w:tr>
    </w:tbl>
    <w:p>
      <w:pPr>
        <w:keepNext/>
        <w:bidi/>
        <w:spacing w:after="80" w:before="160"/>
        <w:jc w:val="right"/>
      </w:pPr>
      <w:r>
        <w:rPr>
          <w:rFonts w:ascii="Arial" w:cs="Arial" w:eastAsia="Arial" w:hAnsi="Arial"/>
          <w:b/>
          <w:bCs/>
          <w:color w:val="2E75B6"/>
          <w:sz w:val="22"/>
          <w:szCs w:val="22"/>
          <w:rtl/>
        </w:rPr>
        <w:t xml:space="preserve">جدول الأزرار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الزر</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يفعله</w:t>
            </w:r>
          </w:p>
        </w:tc>
        <w:tc>
          <w:tcPr>
            <w:tcW w:type="dxa" w:w="3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النتيجة على العقد</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إصدار ملحق</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يوثّق تعديلًا على النطاق أو السعر أو المعدات</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يُحدِّث السقف مع حفظ القيمة السابقة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تجديد العقد</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يبدأ دورةً تعاقديةً جديدة</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سقفٌ جديد؛ وتُقفَل الدورة السابقة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تمديد المدة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يُطيل العقد القائم دون دورةٍ جديدة</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المدة تتغيّر والكميات تبقى</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قاعدة الفصل: انقطاعٌ يتجاوز 30 يومًا بين دورتين يعني عقدًا زمنيًّا جديدًا لا تمديدًا. مثال واقعي: عقدٌ انتهى في 2026-04-30 واستؤنف العمل في 2026-12-01 يُسجَّل دورةً جديدة.</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شاشة نماذج التسعير  </w:t>
      </w:r>
      <w:r>
        <w:rPr>
          <w:rFonts w:ascii="Arial" w:cs="Arial" w:eastAsia="Arial" w:hAnsi="Arial"/>
          <w:b/>
          <w:bCs/>
          <w:color w:val="DCE6F1"/>
          <w:sz w:val="24"/>
          <w:szCs w:val="24"/>
          <w:rtl/>
        </w:rPr>
        <w:t xml:space="preserve">·  13</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الهدف</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ضبط قواعد الأسعار المعتمدة حسب نموذج الإيراد والعملة ومحرّكات السعر.</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تأتي إليها من</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قائمة إعدادات المبيعات؛ يفتحها المدير التجاري عند تغيّر الأسعار.</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تخرج منها إلى</w:t>
            </w:r>
          </w:p>
        </w:tc>
        <w:tc>
          <w:tcPr>
            <w:tcW w:type="dxa" w:w="7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20"/>
                <w:szCs w:val="20"/>
                <w:rtl/>
              </w:rPr>
              <w:t xml:space="preserve">شاشة العرض والتسعير التي تستدعي هذه القواعد عند بناء البنود.</w:t>
            </w:r>
          </w:p>
        </w:tc>
      </w:tr>
      <w:tr>
        <w:trP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0"/>
                <w:szCs w:val="20"/>
                <w:rtl/>
              </w:rPr>
              <w:t xml:space="preserve">الفائدة</w:t>
            </w:r>
          </w:p>
        </w:tc>
        <w:tc>
          <w:tcPr>
            <w:tcW w:type="dxa" w:w="7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توحّد الأسعار بين الفرق، وتمنع التسعير الاجتهادي غير المعتمد.</w:t>
            </w:r>
          </w:p>
        </w:tc>
      </w:tr>
    </w:tbl>
    <w:p>
      <w:pPr>
        <w:bidi/>
        <w:spacing w:after="140" w:before="0" w:line="300"/>
        <w:jc w:val="both"/>
      </w:pPr>
      <w:r>
        <w:rPr>
          <w:rFonts w:ascii="Arial" w:cs="Arial" w:eastAsia="Arial" w:hAnsi="Arial"/>
          <w:b w:val="false"/>
          <w:bCs w:val="false"/>
          <w:i w:val="false"/>
          <w:iCs w:val="false"/>
          <w:color w:val="222222"/>
          <w:sz w:val="22"/>
          <w:szCs w:val="22"/>
          <w:rtl/>
        </w:rPr>
        <w:t xml:space="preserve">هذه شاشة إعداداتٍ لا تُفتح يوميًّا. تعديل قاعدةٍ هنا يؤثّر في كل عرضٍ جديد، ولا يمسّ العقود النافذة.</w:t>
      </w:r>
    </w:p>
    <w:p>
      <w:pPr>
        <w:keepNext/>
        <w:bidi/>
        <w:spacing w:after="80" w:before="160"/>
        <w:jc w:val="right"/>
      </w:pPr>
      <w:r>
        <w:rPr>
          <w:rFonts w:ascii="Arial" w:cs="Arial" w:eastAsia="Arial" w:hAnsi="Arial"/>
          <w:b/>
          <w:bCs/>
          <w:color w:val="2E75B6"/>
          <w:sz w:val="22"/>
          <w:szCs w:val="22"/>
          <w:rtl/>
        </w:rPr>
        <w:t xml:space="preserve">محاكاة الشاشة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40"/>
        <w:gridCol w:w="2640"/>
        <w:gridCol w:w="2040"/>
        <w:gridCol w:w="2640"/>
      </w:tblGrid>
      <w:tr>
        <w:trPr>
          <w:cantSplit/>
        </w:trPr>
        <w:tc>
          <w:tcPr>
            <w:tcW w:type="dxa" w:w="9360"/>
            <w:gridSpan w:val="4"/>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FFFFFF"/>
                <w:sz w:val="22"/>
                <w:szCs w:val="22"/>
                <w:rtl/>
              </w:rPr>
              <w:t xml:space="preserve">▣  نماذج التسعير</w:t>
            </w:r>
            <w:r>
              <w:rPr>
                <w:rFonts w:ascii="Arial" w:cs="Arial" w:eastAsia="Arial" w:hAnsi="Arial"/>
                <w:b w:val="false"/>
                <w:bCs w:val="false"/>
                <w:color w:val="DCE6F1"/>
                <w:sz w:val="17"/>
                <w:szCs w:val="17"/>
                <w:rtl/>
              </w:rPr>
              <w:t xml:space="preserve">     المبيعات ‹ الإعدادات ‹ نماذج التسعير</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9"/>
                <w:szCs w:val="19"/>
                <w:rtl/>
              </w:rPr>
              <w:t xml:space="preserve">[ حفظ ]   [ قاعدة جديدة ]   [ تعطيل القاعدة ]</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نموذج الإيراد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بالطن</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سعر الوحدة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0.6 USD / طن</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نموذج الإيراد</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بالساعة</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سعر الوحدة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3,500 SDG / ساعة</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أثر المسافة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يرفع السعر مع بُعد الموقع</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أثر الورديات</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ورديتان: نهار وليل</w:t>
            </w:r>
          </w:p>
        </w:tc>
      </w:tr>
      <w:tr>
        <w:trPr>
          <w:cantSplit/>
        </w:trPr>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أثر الحجم</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خصم كميّ عند الأحجام الكبيرة</w:t>
            </w:r>
          </w:p>
        </w:tc>
        <w:tc>
          <w:tcPr>
            <w:tcW w:type="dxa" w:w="204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bCs/>
                <w:color w:val="1F4E79"/>
                <w:sz w:val="18"/>
                <w:szCs w:val="18"/>
                <w:rtl/>
              </w:rPr>
              <w:t xml:space="preserve">أثر المدة</w:t>
            </w:r>
          </w:p>
        </w:tc>
        <w:tc>
          <w:tcPr>
            <w:tcW w:type="dxa" w:w="264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keepNext/>
              <w:bidi/>
              <w:spacing w:after="0" w:line="264"/>
              <w:jc w:val="right"/>
            </w:pPr>
            <w:r>
              <w:rPr>
                <w:rFonts w:ascii="Arial" w:cs="Arial" w:eastAsia="Arial" w:hAnsi="Arial"/>
                <w:b w:val="false"/>
                <w:bCs w:val="false"/>
                <w:color w:val="222222"/>
                <w:sz w:val="18"/>
                <w:szCs w:val="18"/>
                <w:rtl/>
              </w:rPr>
              <w:t xml:space="preserve">سعر تفضيلي للعقود الطويلة</w:t>
            </w:r>
          </w:p>
        </w:tc>
      </w:tr>
      <w:tr>
        <w:trPr>
          <w:cantSplit/>
        </w:trPr>
        <w:tc>
          <w:tcPr>
            <w:tcW w:type="dxa" w:w="9360"/>
            <w:gridSpan w:val="4"/>
            <w:tcBorders>
              <w:top w:val="single" w:color="D6E0EC" w:sz="2"/>
              <w:left w:val="single" w:color="D6E0EC" w:sz="2"/>
              <w:bottom w:val="single" w:color="D6E0EC" w:sz="2"/>
              <w:right w:val="single" w:color="D6E0EC" w:sz="2"/>
            </w:tcBorders>
            <w:shd w:fill="EAF1F8" w:color="auto" w:val="clear"/>
            <w:tcMar>
              <w:top w:type="dxa" w:w="60"/>
              <w:left w:type="dxa" w:w="110"/>
              <w:bottom w:type="dxa" w:w="60"/>
              <w:right w:type="dxa" w:w="110"/>
            </w:tcMar>
            <w:vAlign w:val="center"/>
          </w:tcPr>
          <w:p>
            <w:pPr>
              <w:bidi/>
              <w:spacing w:after="0" w:line="264"/>
              <w:jc w:val="right"/>
            </w:pPr>
            <w:r>
              <w:rPr>
                <w:rFonts w:ascii="Arial" w:cs="Arial" w:eastAsia="Arial" w:hAnsi="Arial"/>
                <w:b/>
                <w:bCs/>
                <w:color w:val="595959"/>
                <w:sz w:val="18"/>
                <w:szCs w:val="18"/>
                <w:rtl/>
              </w:rPr>
              <w:t xml:space="preserve">التبويبات:  </w:t>
            </w:r>
            <w:r>
              <w:rPr>
                <w:rFonts w:ascii="Arial" w:cs="Arial" w:eastAsia="Arial" w:hAnsi="Arial"/>
                <w:b w:val="false"/>
                <w:bCs w:val="false"/>
                <w:color w:val="595959"/>
                <w:sz w:val="18"/>
                <w:szCs w:val="18"/>
                <w:rtl/>
              </w:rPr>
              <w:t xml:space="preserve">القواعد  |  المحرّكات  |  سجل التغييرات</w:t>
            </w:r>
          </w:p>
        </w:tc>
      </w:tr>
    </w:tbl>
    <w:p>
      <w:pPr>
        <w:keepNext/>
        <w:bidi/>
        <w:spacing w:after="80" w:before="160"/>
        <w:jc w:val="right"/>
      </w:pPr>
      <w:r>
        <w:rPr>
          <w:rFonts w:ascii="Arial" w:cs="Arial" w:eastAsia="Arial" w:hAnsi="Arial"/>
          <w:b/>
          <w:bCs/>
          <w:color w:val="2E75B6"/>
          <w:sz w:val="22"/>
          <w:szCs w:val="22"/>
          <w:rtl/>
        </w:rPr>
        <w:t xml:space="preserve">جدول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33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الحقل</w:t>
            </w:r>
          </w:p>
        </w:tc>
        <w:tc>
          <w:tcPr>
            <w:tcW w:type="dxa" w:w="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إلزامي؟</w:t>
            </w:r>
          </w:p>
        </w:tc>
        <w:tc>
          <w:tcPr>
            <w:tcW w:type="dxa" w:w="3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ماذا تكتب</w:t>
            </w:r>
          </w:p>
        </w:tc>
        <w:tc>
          <w:tcPr>
            <w:tcW w:type="dxa" w:w="3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 الشائع</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نموذج الإيراد</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القاعدة تخصّ نموذجًا واحدًا: ساعة أو طن أو متر</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قاعدةٌ عامةٌ لكل النماذج فتُطبَّق في غير موضعها</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سعر الوحدة والعملة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السعر المعتمد وعملته</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قاعدةٌ بالدولار تُستدعى في عقدٍ بالجنيه</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محرّكات السعر</w:t>
            </w:r>
          </w:p>
        </w:tc>
        <w:tc>
          <w:tcPr>
            <w:tcW w:type="dxa" w:w="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w:t>
            </w:r>
          </w:p>
        </w:tc>
        <w:tc>
          <w:tcPr>
            <w:tcW w:type="dxa" w:w="3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أثر المسافة والورديات والحجم والمدة</w:t>
            </w:r>
          </w:p>
        </w:tc>
        <w:tc>
          <w:tcPr>
            <w:tcW w:type="dxa" w:w="3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تجاهلها ثم تسعير موقعٍ بعيدٍ بسعر موقعٍ قريب</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مدة سريان القاعدة</w:t>
            </w:r>
          </w:p>
        </w:tc>
        <w:tc>
          <w:tcPr>
            <w:tcW w:type="dxa" w:w="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نعم</w:t>
            </w:r>
          </w:p>
        </w:tc>
        <w:tc>
          <w:tcPr>
            <w:tcW w:type="dxa" w:w="3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 تاريخ كذا إلى تاريخ كذا</w:t>
            </w:r>
          </w:p>
        </w:tc>
        <w:tc>
          <w:tcPr>
            <w:tcW w:type="dxa" w:w="3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قاعدةٌ بلا نهايةٍ تبقى سارية بعد تغيّر التكاليف</w:t>
            </w:r>
          </w:p>
        </w:tc>
      </w:tr>
    </w:tbl>
    <w:p>
      <w:pPr>
        <w:keepNext/>
        <w:bidi/>
        <w:spacing w:after="80" w:before="160"/>
        <w:jc w:val="right"/>
      </w:pPr>
      <w:r>
        <w:rPr>
          <w:rFonts w:ascii="Arial" w:cs="Arial" w:eastAsia="Arial" w:hAnsi="Arial"/>
          <w:b/>
          <w:bCs/>
          <w:color w:val="2E75B6"/>
          <w:sz w:val="22"/>
          <w:szCs w:val="22"/>
          <w:rtl/>
        </w:rPr>
        <w:t xml:space="preserve">جدول الأزرار</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cantSplit/>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الزر</w:t>
            </w:r>
          </w:p>
        </w:tc>
        <w:tc>
          <w:tcPr>
            <w:tcW w:type="dxa" w:w="3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يفعله</w:t>
            </w:r>
          </w:p>
        </w:tc>
        <w:tc>
          <w:tcPr>
            <w:tcW w:type="dxa" w:w="3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النتيجة</w:t>
            </w:r>
          </w:p>
        </w:tc>
      </w:tr>
      <w:tr>
        <w:trPr>
          <w:cantSplit/>
        </w:trP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قاعدة جديدة</w:t>
            </w:r>
          </w:p>
        </w:tc>
        <w:tc>
          <w:tcPr>
            <w:tcW w:type="dxa" w:w="3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يضيف قاعدة سعرٍ لنموذج إيرادٍ وعملة</w:t>
            </w:r>
          </w:p>
        </w:tc>
        <w:tc>
          <w:tcPr>
            <w:tcW w:type="dxa" w:w="3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تصبح متاحةً للعروض الجديدة</w:t>
            </w:r>
          </w:p>
        </w:tc>
      </w:tr>
      <w:tr>
        <w:trPr>
          <w:cantSplit/>
        </w:trP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تعطيل القاعدة</w:t>
            </w:r>
          </w:p>
        </w:tc>
        <w:tc>
          <w:tcPr>
            <w:tcW w:type="dxa" w:w="3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يوقف استخدامها مستقبلًا</w:t>
            </w:r>
          </w:p>
        </w:tc>
        <w:tc>
          <w:tcPr>
            <w:tcW w:type="dxa" w:w="3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العقود النافذة لا تتأثّر</w:t>
            </w:r>
          </w:p>
        </w:tc>
      </w:tr>
    </w:tbl>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سعر التكلفة مرجعٌ داخليٌّ لقياس الهامش، ولا يظهر في أي مستندٍ يُسلَّم للعميل.</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انتقال العمل بين المراحل  </w:t>
      </w:r>
      <w:r>
        <w:rPr>
          <w:rFonts w:ascii="Arial" w:cs="Arial" w:eastAsia="Arial" w:hAnsi="Arial"/>
          <w:b/>
          <w:bCs/>
          <w:color w:val="DCE6F1"/>
          <w:sz w:val="24"/>
          <w:szCs w:val="24"/>
          <w:rtl/>
        </w:rPr>
        <w:t xml:space="preserve">·  14</w:t>
      </w:r>
    </w:p>
    <w:p>
      <w:pPr>
        <w:bidi/>
        <w:spacing w:after="140" w:before="0" w:line="300"/>
        <w:jc w:val="both"/>
      </w:pPr>
      <w:r>
        <w:rPr>
          <w:rFonts w:ascii="Arial" w:cs="Arial" w:eastAsia="Arial" w:hAnsi="Arial"/>
          <w:b w:val="false"/>
          <w:bCs w:val="false"/>
          <w:i w:val="false"/>
          <w:iCs w:val="false"/>
          <w:color w:val="222222"/>
          <w:sz w:val="22"/>
          <w:szCs w:val="22"/>
          <w:rtl/>
        </w:rPr>
        <w:t xml:space="preserve">العمل في الإدارة يتحرّك في سلسلةٍ واحدة، ولكل مرحلةٍ مالكٌ واحدٌ مسؤولٌ عنها وشرطٌ لا تنتقل قبله. إذا لم تعرف ماذا تفعل الآن، فابحث عن مرحلتك في هذا الجدول: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400"/>
        <w:gridCol w:w="2100"/>
        <w:gridCol w:w="1460"/>
      </w:tblGrid>
      <w:tr>
        <w:trPr>
          <w:tblHeader/>
          <w:cantSplit/>
        </w:trPr>
        <w:tc>
          <w:tcPr>
            <w:tcW w:type="dxa" w:w="1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المرحلة</w:t>
            </w:r>
          </w:p>
        </w:tc>
        <w:tc>
          <w:tcPr>
            <w:tcW w:type="dxa" w:w="1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المالك الحالي</w:t>
            </w:r>
          </w:p>
        </w:tc>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يجري فيها</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شرط الانتقال</w:t>
            </w:r>
          </w:p>
        </w:tc>
        <w:tc>
          <w:tcPr>
            <w:tcW w:type="dxa" w:w="1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الشاشة</w:t>
            </w:r>
          </w:p>
        </w:tc>
      </w:tr>
      <w:tr>
        <w:trPr>
          <w:cantSplit/>
        </w:trP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جديدة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الفرصة وبياناتها الأولية</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اكتمال البيانات وبدء الدراسة</w:t>
            </w:r>
          </w:p>
        </w:tc>
        <w:tc>
          <w:tcPr>
            <w:tcW w:type="dxa" w:w="1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w:t>
            </w:r>
          </w:p>
        </w:tc>
      </w:tr>
      <w:tr>
        <w:trPr>
          <w:cantSplit/>
        </w:trP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قيد الدراسة</w:t>
            </w:r>
          </w:p>
        </w:tc>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تقييم الجاذبية والتوافق والقدرة والتمويل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صدور قرار الدراسة</w:t>
            </w:r>
          </w:p>
        </w:tc>
        <w:tc>
          <w:tcPr>
            <w:tcW w:type="dxa" w:w="1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w:t>
            </w:r>
          </w:p>
        </w:tc>
      </w:tr>
      <w:tr>
        <w:trPr>
          <w:cantSplit/>
        </w:trP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مؤهَّلة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زيارة الموقع واجتماع العميل وتحديث التقديرات</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اكتمال بيانات التسعير</w:t>
            </w:r>
          </w:p>
        </w:tc>
        <w:tc>
          <w:tcPr>
            <w:tcW w:type="dxa" w:w="1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w:t>
            </w:r>
          </w:p>
        </w:tc>
      </w:tr>
      <w:tr>
        <w:trPr>
          <w:cantSplit/>
        </w:trP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مناقصة</w:t>
            </w:r>
          </w:p>
        </w:tc>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تجهيز المستندات وتقديم العطاء</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التقديم</w:t>
            </w:r>
          </w:p>
        </w:tc>
        <w:tc>
          <w:tcPr>
            <w:tcW w:type="dxa" w:w="1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r>
      <w:tr>
        <w:trPr>
          <w:cantSplit/>
        </w:trP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مُقدَّم</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بناء البنود وتسعيرها وإرسال العرض</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استلام ملاحظات العميل</w:t>
            </w:r>
          </w:p>
        </w:tc>
        <w:tc>
          <w:tcPr>
            <w:tcW w:type="dxa" w:w="1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 والتسعير</w:t>
            </w:r>
          </w:p>
        </w:tc>
      </w:tr>
      <w:tr>
        <w:trPr>
          <w:cantSplit/>
        </w:trP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تفاوض</w:t>
            </w:r>
          </w:p>
        </w:tc>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جولات على السعر والشروط</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اتفاق مبدئي</w:t>
            </w:r>
          </w:p>
        </w:tc>
        <w:tc>
          <w:tcPr>
            <w:tcW w:type="dxa" w:w="1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 والتسعير</w:t>
            </w:r>
          </w:p>
        </w:tc>
      </w:tr>
      <w:tr>
        <w:trPr>
          <w:cantSplit/>
        </w:trP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فحص الجاهزية</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البنود الستّة والمخاطر والشروط</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اجتياز البنود الستّة</w:t>
            </w:r>
          </w:p>
        </w:tc>
        <w:tc>
          <w:tcPr>
            <w:tcW w:type="dxa" w:w="1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r>
      <w:tr>
        <w:trPr>
          <w:cantSplit/>
        </w:trP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معتمد</w:t>
            </w:r>
          </w:p>
        </w:tc>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إقفال الشروط والبنود عن التعديل المباشر</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التوقيع</w:t>
            </w:r>
          </w:p>
        </w:tc>
        <w:tc>
          <w:tcPr>
            <w:tcW w:type="dxa" w:w="1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r>
      <w:tr>
        <w:trPr>
          <w:cantSplit/>
        </w:trP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نافذ</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المشروع</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التشغيل ضمن سقف الحصص</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بلوغ المدة أو السقف</w:t>
            </w:r>
          </w:p>
        </w:tc>
        <w:tc>
          <w:tcPr>
            <w:tcW w:type="dxa" w:w="1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البنود</w:t>
            </w:r>
          </w:p>
        </w:tc>
      </w:tr>
      <w:tr>
        <w:trPr>
          <w:cantSplit/>
        </w:trPr>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تجديد أو تمديد</w:t>
            </w:r>
          </w:p>
        </w:tc>
        <w:tc>
          <w:tcPr>
            <w:tcW w:type="dxa" w:w="1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إصدار الملحق أو بدء دورةٍ جديدة</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سريان الملحق</w:t>
            </w:r>
          </w:p>
        </w:tc>
        <w:tc>
          <w:tcPr>
            <w:tcW w:type="dxa" w:w="1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الملاحق</w:t>
            </w:r>
          </w:p>
        </w:tc>
      </w:tr>
      <w:tr>
        <w:trPr>
          <w:cantSplit/>
        </w:trPr>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مُقفَل</w:t>
            </w:r>
          </w:p>
        </w:tc>
        <w:tc>
          <w:tcPr>
            <w:tcW w:type="dxa" w:w="1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التسوية وتسجيل النتيجة وسببها ومراجعتها</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t>
            </w:r>
          </w:p>
        </w:tc>
        <w:tc>
          <w:tcPr>
            <w:tcW w:type="dxa" w:w="1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والعقد</w:t>
            </w:r>
          </w:p>
        </w:tc>
      </w:tr>
    </w:tbl>
    <w:p>
      <w:pPr>
        <w:keepNext/>
        <w:bidi/>
        <w:spacing w:after="80" w:before="160"/>
        <w:jc w:val="right"/>
      </w:pPr>
      <w:r>
        <w:rPr>
          <w:rFonts w:ascii="Arial" w:cs="Arial" w:eastAsia="Arial" w:hAnsi="Arial"/>
          <w:b/>
          <w:bCs/>
          <w:color w:val="2E75B6"/>
          <w:sz w:val="22"/>
          <w:szCs w:val="22"/>
          <w:rtl/>
        </w:rPr>
        <w:t xml:space="preserve">مخطّط المراحل</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جديدة · تطوير الأعمال</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قيد الدراسة · مدير المبيعات</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مؤهَّلة · زيارة واجتماع</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عرض مُقدَّم · تسعير وإرسال</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تفاوض · جولات موثَّقة</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فحص الجاهزية · المدير التجاري</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معتمد ثم نافذ · تسليم للتشغيل</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تجديد أو تمديد · بملحق</w:t>
            </w:r>
          </w:p>
        </w:tc>
      </w:tr>
    </w:tbl>
    <w:p>
      <w:pPr>
        <w:bidi/>
        <w:spacing w:after="20" w:before="20"/>
        <w:jc w:val="center"/>
      </w:pPr>
      <w:r>
        <w:rPr>
          <w:rFonts w:ascii="Arial" w:cs="Arial" w:eastAsia="Arial" w:hAnsi="Arial"/>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rPr>
          <w:cantSplit/>
        </w:trP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color w:val="1F4E79"/>
                <w:sz w:val="21"/>
                <w:szCs w:val="21"/>
                <w:rtl/>
              </w:rPr>
              <w:t xml:space="preserve">مُقفَل · نتيجة وسبب ومراجعة</w:t>
            </w:r>
          </w:p>
        </w:tc>
      </w:tr>
    </w:tbl>
    <w:p>
      <w:pPr>
        <w:bidi/>
        <w:spacing w:after="6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المرحلة لا تنتقل بمرور الوقت، بل بإجراءٍ يقوم به مالكها. وإذا رأيت فرصةً واقفةً في مرحلةٍ طويلًا، فالمطلوب إجراءٌ لا انتظار.</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المهل والتنبيهات والتصعيد  </w:t>
      </w:r>
      <w:r>
        <w:rPr>
          <w:rFonts w:ascii="Arial" w:cs="Arial" w:eastAsia="Arial" w:hAnsi="Arial"/>
          <w:b/>
          <w:bCs/>
          <w:color w:val="DCE6F1"/>
          <w:sz w:val="24"/>
          <w:szCs w:val="24"/>
          <w:rtl/>
        </w:rPr>
        <w:t xml:space="preserve">·  15</w:t>
      </w:r>
    </w:p>
    <w:p>
      <w:pPr>
        <w:bidi/>
        <w:spacing w:after="140" w:before="0" w:line="300"/>
        <w:jc w:val="both"/>
      </w:pPr>
      <w:r>
        <w:rPr>
          <w:rFonts w:ascii="Arial" w:cs="Arial" w:eastAsia="Arial" w:hAnsi="Arial"/>
          <w:b w:val="false"/>
          <w:bCs w:val="false"/>
          <w:i w:val="false"/>
          <w:iCs w:val="false"/>
          <w:color w:val="222222"/>
          <w:sz w:val="22"/>
          <w:szCs w:val="22"/>
          <w:rtl/>
        </w:rPr>
        <w:t xml:space="preserve">النظام ينبّهك قبل أن تتحوّل التأخيرات إلى خسائر. هذه التنبيهات ومواعيدها والإجراء المطلوب منك فور وصول كلٍّ منها: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cantSplit/>
        </w:trPr>
        <w:tc>
          <w:tcPr>
            <w:tcW w:type="dxa" w:w="2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التنبيه</w:t>
            </w:r>
          </w:p>
        </w:tc>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متى يصل</w:t>
            </w:r>
          </w:p>
        </w:tc>
        <w:tc>
          <w:tcPr>
            <w:tcW w:type="dxa" w:w="4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إجراؤك المطلوب فورًا</w:t>
            </w:r>
          </w:p>
        </w:tc>
      </w:tr>
      <w:tr>
        <w:trPr>
          <w:cantSplit/>
        </w:trP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فرصة بلا نشاط</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بعد 14 يومًا من آخر زيارةٍ أو اتصال</w:t>
            </w:r>
          </w:p>
        </w:tc>
        <w:tc>
          <w:tcPr>
            <w:tcW w:type="dxa" w:w="4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سجّل نشاطًا، أو انقل الفرصة إلى «تعليق» بقرارٍ وسبب</w:t>
            </w:r>
          </w:p>
        </w:tc>
      </w:tr>
      <w:tr>
        <w:trPr>
          <w:cantSplit/>
        </w:trP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دراسة بلا قرار</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بعد 7 أيام في مرحلة «قيد الدراسة»</w:t>
            </w:r>
          </w:p>
        </w:tc>
        <w:tc>
          <w:tcPr>
            <w:tcW w:type="dxa" w:w="4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أصدر قرار الدراسة، أو اطلبه من مدير المبيعات</w:t>
            </w:r>
          </w:p>
        </w:tc>
      </w:tr>
      <w:tr>
        <w:trPr>
          <w:cantSplit/>
        </w:trP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عرض قارب انتهاء صلاحيته</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قبل 5 أيام من تاريخ الصلاحية</w:t>
            </w:r>
          </w:p>
        </w:tc>
        <w:tc>
          <w:tcPr>
            <w:tcW w:type="dxa" w:w="4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تابع العميل، أو مدّد الصلاحية بسعرٍ محدَّث</w:t>
            </w:r>
          </w:p>
        </w:tc>
      </w:tr>
      <w:tr>
        <w:trPr>
          <w:cantSplit/>
        </w:trP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مناقصة قارب إغلاقها</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قبل 7 أيام من تاريخ الإغلاق</w:t>
            </w:r>
          </w:p>
        </w:tc>
        <w:tc>
          <w:tcPr>
            <w:tcW w:type="dxa" w:w="4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أكمل المستندات الناقصة وسجّل التقديم</w:t>
            </w:r>
          </w:p>
        </w:tc>
      </w:tr>
      <w:tr>
        <w:trPr>
          <w:cantSplit/>
        </w:trP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فحص جاهزية متوقف</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بعد 3 أيام وبندٌ واحدٌ غير مجتاز</w:t>
            </w:r>
          </w:p>
        </w:tc>
        <w:tc>
          <w:tcPr>
            <w:tcW w:type="dxa" w:w="4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راجع الإدارة صاحبة البند وسجّل نتيجة المراجعة</w:t>
            </w:r>
          </w:p>
        </w:tc>
      </w:tr>
      <w:tr>
        <w:trPr>
          <w:cantSplit/>
        </w:trP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خطر عالٍ بلا خطة</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فور تسجيل الخطر بدرجة «عالية»</w:t>
            </w:r>
          </w:p>
        </w:tc>
        <w:tc>
          <w:tcPr>
            <w:tcW w:type="dxa" w:w="4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اكتب خطة المعالجة ومسؤولها قبل طلب الاعتماد</w:t>
            </w:r>
          </w:p>
        </w:tc>
      </w:tr>
      <w:tr>
        <w:trPr>
          <w:cantSplit/>
        </w:trP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قارب انتهاءه</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قبل 30 يومًا من تاريخ النهاية</w:t>
            </w:r>
          </w:p>
        </w:tc>
        <w:tc>
          <w:tcPr>
            <w:tcW w:type="dxa" w:w="4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افتح فرصة تجديد، أو أصدر ملحق تمديد</w:t>
            </w:r>
          </w:p>
        </w:tc>
      </w:tr>
      <w:tr>
        <w:trPr>
          <w:cantSplit/>
        </w:trP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سقف بندٍ شارف النفاد</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عند بلوغ 90% من الكمية المتعاقدة</w:t>
            </w:r>
          </w:p>
        </w:tc>
        <w:tc>
          <w:tcPr>
            <w:tcW w:type="dxa" w:w="4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أصدر ملحق زيادة نطاق قبل توقّف التشغيل</w:t>
            </w:r>
          </w:p>
        </w:tc>
      </w:tr>
      <w:tr>
        <w:trPr>
          <w:cantSplit/>
        </w:trP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ضمان قارب انتهاءه</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قبل 15 يومًا من تاريخ انتهاء الضمان</w:t>
            </w:r>
          </w:p>
        </w:tc>
        <w:tc>
          <w:tcPr>
            <w:tcW w:type="dxa" w:w="4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جدّد الضمان أو نبّه المالية بذلك</w:t>
            </w:r>
          </w:p>
        </w:tc>
      </w:tr>
      <w:tr>
        <w:trPr>
          <w:cantSplit/>
        </w:trP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فرصة مُقفلة بلا مراجعة</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بعد 3 أيام من الإقفال</w:t>
            </w:r>
          </w:p>
        </w:tc>
        <w:tc>
          <w:tcPr>
            <w:tcW w:type="dxa" w:w="4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اكتب سبب الفوز أو الخسارة وخلاصة المراجعة</w:t>
            </w:r>
          </w:p>
        </w:tc>
      </w:tr>
    </w:tbl>
    <w:p>
      <w:pPr>
        <w:keepNext/>
        <w:bidi/>
        <w:spacing w:after="80" w:before="160"/>
        <w:jc w:val="right"/>
      </w:pPr>
      <w:r>
        <w:rPr>
          <w:rFonts w:ascii="Arial" w:cs="Arial" w:eastAsia="Arial" w:hAnsi="Arial"/>
          <w:b/>
          <w:bCs/>
          <w:color w:val="2E75B6"/>
          <w:sz w:val="22"/>
          <w:szCs w:val="22"/>
          <w:rtl/>
        </w:rPr>
        <w:t xml:space="preserve">سلّم التصعيد</w:t>
      </w:r>
    </w:p>
    <w:p>
      <w:pPr>
        <w:bidi/>
        <w:spacing w:after="160" w:before="60"/>
        <w:jc w:val="center"/>
      </w:pPr>
      <w:r>
        <w:rPr>
          <w:rFonts w:ascii="Arial" w:cs="Arial" w:eastAsia="Arial" w:hAnsi="Arial"/>
          <w:b/>
          <w:bCs/>
          <w:color w:val="1F4E79"/>
          <w:sz w:val="24"/>
          <w:szCs w:val="24"/>
          <w:rtl/>
        </w:rPr>
        <w:t xml:space="preserve">مسؤول الفرصة ← مدير المبيعات ← المدير التجاري ← المدير العام</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المستوى الأول — مسؤول الفرصة: يعالج التنبيه خلال يوم عملٍ واحد.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المستوى الثاني — مدير المبيعات: يتسلّم التنبيه بعد يومَي عملٍ بلا إجراء.</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المستوى الثالث — المدير التجاري: بعد 5 أيام عمل، أو فورًا في تنبيهات العقود والمناقصات.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المستوى الرابع — المدير العام: عند فوات موعد إغلاق مناقصة، أو تجاوز سقف عقدٍ نافذ.</w:t>
      </w:r>
    </w:p>
    <w:p>
      <w:pPr>
        <w:keepNext/>
        <w:bidi/>
        <w:spacing w:after="80" w:before="160"/>
        <w:jc w:val="right"/>
      </w:pPr>
      <w:r>
        <w:rPr>
          <w:rFonts w:ascii="Arial" w:cs="Arial" w:eastAsia="Arial" w:hAnsi="Arial"/>
          <w:b/>
          <w:bCs/>
          <w:color w:val="2E75B6"/>
          <w:sz w:val="22"/>
          <w:szCs w:val="22"/>
          <w:rtl/>
        </w:rPr>
        <w:t xml:space="preserve">قاعدة عدالة القياس</w:t>
      </w:r>
    </w:p>
    <w:p>
      <w:pPr>
        <w:bidi/>
        <w:spacing w:after="140" w:before="0" w:line="300"/>
        <w:jc w:val="both"/>
      </w:pPr>
      <w:r>
        <w:rPr>
          <w:rFonts w:ascii="Arial" w:cs="Arial" w:eastAsia="Arial" w:hAnsi="Arial"/>
          <w:b w:val="false"/>
          <w:bCs w:val="false"/>
          <w:i w:val="false"/>
          <w:iCs w:val="false"/>
          <w:color w:val="222222"/>
          <w:sz w:val="22"/>
          <w:szCs w:val="22"/>
          <w:rtl/>
        </w:rPr>
        <w:t xml:space="preserve">العدّاد الذي تُقاس به مهلتك لا يعمل في الحالات الآتية، حتى لا يُحاسَب الموظف على انتظارٍ خارج يده: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مدة التعليق الموثَّق بقرار دراسة، من تاريخ التعليق حتى الاستئناف.</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مدة انتظار ردٍّ رسميٍّ من جهةٍ طارحة للعطاء بعد تسجيل التقديم.</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العطلات الرسمية ضمن المهل المحسوبة بأيام العمل.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مدة التوقّف بقوةٍ قاهرة موثَّقة في العقد.</w:t>
      </w:r>
    </w:p>
    <w:p>
      <w:pPr>
        <w:bidi/>
        <w:spacing w:after="40"/>
      </w:pP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color w:val="333333"/>
                <w:sz w:val="21"/>
                <w:szCs w:val="21"/>
                <w:rtl/>
              </w:rPr>
              <w:t xml:space="preserve">ما لا يُوثَّق يُحتسب. التعليق الشفهي لا يوقف العدّاد؛ سجّله قرارًا في الشاشة حتى يُستثنى.</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سيناريوهات عملية كاملة  </w:t>
      </w:r>
      <w:r>
        <w:rPr>
          <w:rFonts w:ascii="Arial" w:cs="Arial" w:eastAsia="Arial" w:hAnsi="Arial"/>
          <w:b/>
          <w:bCs/>
          <w:color w:val="DCE6F1"/>
          <w:sz w:val="24"/>
          <w:szCs w:val="24"/>
          <w:rtl/>
        </w:rPr>
        <w:t xml:space="preserve">·  16</w:t>
      </w:r>
    </w:p>
    <w:p>
      <w:pPr>
        <w:bidi/>
        <w:spacing w:after="140" w:before="0" w:line="300"/>
        <w:jc w:val="both"/>
      </w:pPr>
      <w:r>
        <w:rPr>
          <w:rFonts w:ascii="Arial" w:cs="Arial" w:eastAsia="Arial" w:hAnsi="Arial"/>
          <w:b w:val="false"/>
          <w:bCs w:val="false"/>
          <w:i w:val="false"/>
          <w:iCs w:val="false"/>
          <w:color w:val="222222"/>
          <w:sz w:val="22"/>
          <w:szCs w:val="22"/>
          <w:rtl/>
        </w:rPr>
        <w:t xml:space="preserve">هذه حالاتٌ مأخوذة من عملياتٍ فعلية، مكتوبةٌ خطوةً بخطوة. اتّبعها كما هي في الحالات المشابهة.</w:t>
      </w:r>
    </w:p>
    <w:p>
      <w:pPr>
        <w:keepNext/>
        <w:bidi/>
        <w:spacing w:after="80" w:before="160"/>
        <w:jc w:val="right"/>
      </w:pPr>
      <w:r>
        <w:rPr>
          <w:rFonts w:ascii="Arial" w:cs="Arial" w:eastAsia="Arial" w:hAnsi="Arial"/>
          <w:b/>
          <w:bCs/>
          <w:color w:val="2E75B6"/>
          <w:sz w:val="22"/>
          <w:szCs w:val="22"/>
          <w:rtl/>
        </w:rPr>
        <w:t xml:space="preserve">السيناريو الأول: من فرصة نقلٍ بالطن إلى عقدٍ نافذ</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100"/>
        <w:gridCol w:w="4660"/>
      </w:tblGrid>
      <w:tr>
        <w:trPr>
          <w:tblHeader/>
          <w:cantSplit/>
        </w:trPr>
        <w:tc>
          <w:tcPr>
            <w:tcW w:type="dxa" w:w="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الفاعل</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الشاشة</w:t>
            </w:r>
          </w:p>
        </w:tc>
        <w:tc>
          <w:tcPr>
            <w:tcW w:type="dxa" w:w="4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يحدث</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العملاء والجهات</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يبحث عن «شركة ريد روك»؛ الجهة مسجَّلة، فلا يُنشئ نسخةً ثانية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«فرصة جديدة»: نموذج الإيراد بالطن، الكمية 115,770 طن</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3</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«بدء الدراسة» فتنتقل الفرصة إلى «قيد الدراسة»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4</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يقرأ توفر القلابات TQ01-TQ06 من الأسطول ويسجّل متطلبات التنفيذ</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5</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«قرار الدراسة» ويختار «متابعة»؛ تصبح الفرصة «مؤهَّلة»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6</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«تسجيل نشاط»: زيارة موقعٍ بتاريخها وحضورها ومخرجاتها</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7</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 والتسعير</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يبني بندًا واحدًا: نقل بالطن بسعر 0.6 USD للطن</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8</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 والتسعير</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«إرسال للعميل»؛ إجمالي العرض 69,462 USD</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9</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 والتسعير</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يسجّل جولتَي تفاوضٍ بمخرجاتهما، ثم «تحويل إلى عقد»</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10</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يُدخل المدة 3 أشهر وشروط الدفع الشهرية والضمان</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11</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«تشغيل فحص الجاهزية»؛ تجتاز البنود الستّة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12</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«اعتماد العقد» ثم «تفعيل النفاذ»؛ يبدأ التشغيل ضمن السقف</w:t>
            </w:r>
          </w:p>
        </w:tc>
      </w:tr>
    </w:tbl>
    <w:p>
      <w:pPr>
        <w:keepNext/>
        <w:bidi/>
        <w:spacing w:after="80" w:before="160"/>
        <w:jc w:val="right"/>
      </w:pPr>
      <w:r>
        <w:rPr>
          <w:rFonts w:ascii="Arial" w:cs="Arial" w:eastAsia="Arial" w:hAnsi="Arial"/>
          <w:b/>
          <w:bCs/>
          <w:color w:val="2E75B6"/>
          <w:sz w:val="22"/>
          <w:szCs w:val="22"/>
          <w:rtl/>
        </w:rPr>
        <w:t xml:space="preserve">السيناريو الثاني: مناقصة انتهت بخسارة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100"/>
        <w:gridCol w:w="4660"/>
      </w:tblGrid>
      <w:tr>
        <w:trPr>
          <w:tblHeader/>
          <w:cantSplit/>
        </w:trPr>
        <w:tc>
          <w:tcPr>
            <w:tcW w:type="dxa" w:w="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الفاعل</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الشاشة</w:t>
            </w:r>
          </w:p>
        </w:tc>
        <w:tc>
          <w:tcPr>
            <w:tcW w:type="dxa" w:w="4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يحدث</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يفتح فرصةً مصدرها «مناقصة»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يسجّل رقم الدعوة والجهة الطارحة وتاريخ الإغلاق</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3</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يربط المناقصة بالفرصة ويرفق المستندات الستّة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4</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قبل 7 أيام يصله تنبيه الإغلاق فيكمل المستند الناقص</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5</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«تسجيل التقديم»؛ تنتقل إلى «مُقدَّمة»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6</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بعد الإعلان يضغط «تسجيل النتيجة» ويختار «خسارة»</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7</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المناقصات</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يسجّل اسم المنافس الفائز وسبب الخسارة: السعر</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8</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يكتب خلاصة مراجعة ما بعد الخسارة؛ تتحدّث نسبة الفوز أمام المنافس</w:t>
            </w:r>
          </w:p>
        </w:tc>
      </w:tr>
    </w:tbl>
    <w:p>
      <w:pPr>
        <w:keepNext/>
        <w:bidi/>
        <w:spacing w:after="80" w:before="160"/>
        <w:jc w:val="right"/>
      </w:pPr>
      <w:r>
        <w:rPr>
          <w:rFonts w:ascii="Arial" w:cs="Arial" w:eastAsia="Arial" w:hAnsi="Arial"/>
          <w:b/>
          <w:bCs/>
          <w:color w:val="2E75B6"/>
          <w:sz w:val="22"/>
          <w:szCs w:val="22"/>
          <w:rtl/>
        </w:rPr>
        <w:t xml:space="preserve">السيناريو الثالث: عقدٌ توقّف طويلًا ثم استؤنف</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100"/>
        <w:gridCol w:w="4660"/>
      </w:tblGrid>
      <w:tr>
        <w:trPr>
          <w:tblHeader/>
          <w:cantSplit/>
        </w:trPr>
        <w:tc>
          <w:tcPr>
            <w:tcW w:type="dxa" w:w="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الفاعل</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الشاشة</w:t>
            </w:r>
          </w:p>
        </w:tc>
        <w:tc>
          <w:tcPr>
            <w:tcW w:type="dxa" w:w="4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يحدث</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«أعمال الجودي» TRN-001A ينتهي في 2026-04-30 ويُقفَل بالتسوية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تطوير الأعمال</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بعد أشهر يطلب العميل استئناف العمل، فتُفتح فرصةٌ جديدة</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3</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المبيعات</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 التجارية</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الدراسة: متابعة — العميل مجرَّبٌ وسجلّ سداده معروف</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4</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الملاحق والتجديدات</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يفحص الفجوة: أكثر من 30 يومًا بين النهاية والاستئناف</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5</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الملاحق والتجديدات</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يختار «تجديد العقد» لا «تمديد المدة»؛ فتبدأ دورةٌ جديدة</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6</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يصدر العقد الجديد TRN-001B بمدة 14 شهرًا وسقفٍ جديد</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7</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فحص جاهزيةٍ جديد ثم اعتمادٌ ونفاذ؛ الدورة السابقة تبقى في التاريخ</w:t>
            </w:r>
          </w:p>
        </w:tc>
      </w:tr>
    </w:tbl>
    <w:p>
      <w:pPr>
        <w:keepNext/>
        <w:bidi/>
        <w:spacing w:after="80" w:before="160"/>
        <w:jc w:val="right"/>
      </w:pPr>
      <w:r>
        <w:rPr>
          <w:rFonts w:ascii="Arial" w:cs="Arial" w:eastAsia="Arial" w:hAnsi="Arial"/>
          <w:b/>
          <w:bCs/>
          <w:color w:val="2E75B6"/>
          <w:sz w:val="22"/>
          <w:szCs w:val="22"/>
          <w:rtl/>
        </w:rPr>
        <w:t xml:space="preserve">السيناريو الرابع: سقف بندٍ شارف النفاد</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100"/>
        <w:gridCol w:w="4660"/>
      </w:tblGrid>
      <w:tr>
        <w:trPr>
          <w:tblHeader/>
          <w:cantSplit/>
        </w:trPr>
        <w:tc>
          <w:tcPr>
            <w:tcW w:type="dxa" w:w="7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الفاعل</w:t>
            </w:r>
          </w:p>
        </w:tc>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الشاشة</w:t>
            </w:r>
          </w:p>
        </w:tc>
        <w:tc>
          <w:tcPr>
            <w:tcW w:type="dxa" w:w="4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ما يحدث</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1</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النظام</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بنود الحصص</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يصل تنبيه: بند التخريم بالمتر (الخرّامة DM01) بلغ 90% من سقفه</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2</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بنود الحصص</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يراجع المستهلَك والمتبقّي؛ لا يعدّل الأرقام يدويًّا</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3</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مسؤول العقود</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الملاحق والتجديدات</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يضغط «إصدار ملحق» ويختار «زيادة نطاق» مع سببها</w:t>
            </w:r>
          </w:p>
        </w:tc>
      </w:tr>
      <w:tr>
        <w:trPr>
          <w:cantSplit/>
        </w:trPr>
        <w:tc>
          <w:tcPr>
            <w:tcW w:type="dxa" w:w="7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4</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المدير التجاري</w:t>
            </w:r>
          </w:p>
        </w:tc>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الملاحق والتجديدات</w:t>
            </w:r>
          </w:p>
        </w:tc>
        <w:tc>
          <w:tcPr>
            <w:tcW w:type="dxa" w:w="4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يعتمد الملحق بعد مراجعة أثره على السقف</w:t>
            </w:r>
          </w:p>
        </w:tc>
      </w:tr>
      <w:tr>
        <w:trPr>
          <w:cantSplit/>
        </w:trPr>
        <w:tc>
          <w:tcPr>
            <w:tcW w:type="dxa" w:w="7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5</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مدير المشروع</w:t>
            </w:r>
          </w:p>
        </w:tc>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بنود الحصص</w:t>
            </w:r>
          </w:p>
        </w:tc>
        <w:tc>
          <w:tcPr>
            <w:tcW w:type="dxa" w:w="4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يستمر التشغيل ضمن السقف الجديد دون انقطاع</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الأخطاء الشائعة  </w:t>
      </w:r>
      <w:r>
        <w:rPr>
          <w:rFonts w:ascii="Arial" w:cs="Arial" w:eastAsia="Arial" w:hAnsi="Arial"/>
          <w:b/>
          <w:bCs/>
          <w:color w:val="DCE6F1"/>
          <w:sz w:val="24"/>
          <w:szCs w:val="24"/>
          <w:rtl/>
        </w:rPr>
        <w:t xml:space="preserve">·  17</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cantSplit/>
        </w:trPr>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الخطأ</w:t>
            </w:r>
          </w:p>
        </w:tc>
        <w:tc>
          <w:tcPr>
            <w:tcW w:type="dxa" w:w="27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أثره</w:t>
            </w:r>
          </w:p>
        </w:tc>
        <w:tc>
          <w:tcPr>
            <w:tcW w:type="dxa" w:w="3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الصواب</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إنشاء عميلٍ موجودٍ باسمٍ مختصر</w:t>
            </w:r>
          </w:p>
        </w:tc>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العميل ينقسم بين سجلّين</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ابحث بالاسم أولًا، واستخدم السجل القائم</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الانتقال إلى التسعير قبل قرار الدراسة</w:t>
            </w:r>
          </w:p>
        </w:tc>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جهدٌ يُصرف على فرصٍ لا تستحق</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أصدر قرار الدراسة أولًا، ثم أنشئ العرض</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الزيارات في دفترٍ خارجي</w:t>
            </w:r>
          </w:p>
        </w:tc>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تاريخ العلاقة يضيع بذهاب صاحبه</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استخدم زر «تسجيل نشاط» في شاشة الفرصة</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ترك المنافس بلا ربطٍ بالفرصة</w:t>
            </w:r>
          </w:p>
        </w:tc>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لا تُحسب نسبة الفوز أمامه</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اربط الجهة المصنَّفة «منافس» عند فتح الفرصة</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بندٌ واحدٌ يجمع نموذجَي إيراد</w:t>
            </w:r>
          </w:p>
        </w:tc>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يتعذّر قياس التنفيذ وحساب الهامش</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بندٌ مستقلٌّ لكل نموذج إيراد</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خلط الدولار والجنيه في العقد</w:t>
            </w:r>
          </w:p>
        </w:tc>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تختلّ الفوترة والتحصيل</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عملةٌ واحدةٌ للعقد ولبنوده</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احتساب ساعات الحوش في الفوترة</w:t>
            </w:r>
          </w:p>
        </w:tc>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مطالبةٌ مرفوضةٌ من العميل وخصمٌ لاحق</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الحوش لا يولّد إيرادًا؛ استبعده</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طلب الاعتماد وبندُ جاهزيةٍ غير مجتاز</w:t>
            </w:r>
          </w:p>
        </w:tc>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لا نقدر على تنفيذه</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عالج البند مع إدارته ثم أعد الفحص</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خطرٍ عالٍ بلا خطة معالجة</w:t>
            </w:r>
          </w:p>
        </w:tc>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يتعطّل زر الاعتماد ويتأخر التوقيع</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اكتب الخطة ومسؤولها فور تسجيل الخطر</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تعديل عقدٍ نافذٍ مباشرة</w:t>
            </w:r>
          </w:p>
        </w:tc>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يضيع أثر التغيير وتختلّ المراجعة</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كل تغييرٍ عبر ملحقٍ بنوعه وسببه</w:t>
            </w:r>
          </w:p>
        </w:tc>
      </w:tr>
      <w:tr>
        <w:trPr>
          <w:cantSplit/>
        </w:trPr>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تسجيل التجديد تمديدًا</w:t>
            </w:r>
          </w:p>
        </w:tc>
        <w:tc>
          <w:tcPr>
            <w:tcW w:type="dxa" w:w="2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يختلّ حساب السقف والدورات</w:t>
            </w:r>
          </w:p>
        </w:tc>
        <w:tc>
          <w:tcPr>
            <w:tcW w:type="dxa" w:w="3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التجديد دورةٌ جديدة؛ التمديد إطالةٌ للقائمة</w:t>
            </w:r>
          </w:p>
        </w:tc>
      </w:tr>
      <w:tr>
        <w:trPr>
          <w:cantSplit/>
        </w:trPr>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إقفال الفرصة بلا سببٍ ولا مراجعة</w:t>
            </w:r>
          </w:p>
        </w:tc>
        <w:tc>
          <w:tcPr>
            <w:tcW w:type="dxa" w:w="2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تفقد الإدارة قاعدة معرفتها</w:t>
            </w:r>
          </w:p>
        </w:tc>
        <w:tc>
          <w:tcPr>
            <w:tcW w:type="dxa" w:w="3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سجّل السبب وخلاصة المراجعة عند الإقفال</w:t>
            </w:r>
          </w:p>
        </w:tc>
      </w:tr>
    </w:tbl>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القواعد الحاكمة  </w:t>
      </w:r>
      <w:r>
        <w:rPr>
          <w:rFonts w:ascii="Arial" w:cs="Arial" w:eastAsia="Arial" w:hAnsi="Arial"/>
          <w:b/>
          <w:bCs/>
          <w:color w:val="DCE6F1"/>
          <w:sz w:val="24"/>
          <w:szCs w:val="24"/>
          <w:rtl/>
        </w:rPr>
        <w:t xml:space="preserve">·  18</w:t>
      </w:r>
    </w:p>
    <w:p>
      <w:pPr>
        <w:bidi/>
        <w:spacing w:after="140" w:before="0" w:line="300"/>
        <w:jc w:val="both"/>
      </w:pPr>
      <w:r>
        <w:rPr>
          <w:rFonts w:ascii="Arial" w:cs="Arial" w:eastAsia="Arial" w:hAnsi="Arial"/>
          <w:b w:val="false"/>
          <w:bCs w:val="false"/>
          <w:i w:val="false"/>
          <w:iCs w:val="false"/>
          <w:color w:val="222222"/>
          <w:sz w:val="22"/>
          <w:szCs w:val="22"/>
          <w:rtl/>
        </w:rPr>
        <w:t xml:space="preserve">هذه قواعد يفرضها النظام ولا تُخالَف، ولا تُعالَج بحسابٍ آخر ولا بمستندٍ خارجي: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تسعير قبل صدور قرار الدراسة بالمتابعة.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اعتماد لعقدٍ قبل اجتياز بنود فحص الجاهزية الستّة.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اعتماد وفي العقد خطرٌ عالٍ بلا خطة معالجةٍ موثَّقة.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تشغيل ولا تخصيص قبل نفاذ العقد.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سقف الحصص لا يُتجاوز؛ وتجاوزه يوقف التشغيل حتى يصدر ملحق.</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بندٍ يحمل نموذج إيرادٍ واحدًا وعملةً واحدة.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ساعات الحوش لا تولّد إيرادًا.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انقطاعٌ يتجاوز 30 يومًا يعني عقدًا زمنيًّا جديدًا لا تمديدًا.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تعديلٍ على عقدٍ نافذ يمرّ عبر ملحقٍ موثَّق بنوعه وسببه.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نشاطٍ تجاري يُسجَّل بتاريخه وحضوره ومخرجاته وإجراءاته.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فرصةٍ تُقفَل بنتيجةٍ وسببٍ وخلاصة مراجعة.</w:t>
      </w:r>
    </w:p>
    <w:p>
      <w:pPr>
        <w:keepNext/>
        <w:pBdr>
          <w:bottom w:val="single" w:color="C9A227" w:sz="4" w:space="2"/>
        </w:pBdr>
        <w:shd w:fill="1F4E79" w:color="auto" w:val="clear"/>
        <w:bidi/>
        <w:spacing w:after="160" w:before="300"/>
        <w:jc w:val="right"/>
      </w:pPr>
      <w:r>
        <w:rPr>
          <w:rFonts w:ascii="Arial" w:cs="Arial" w:eastAsia="Arial" w:hAnsi="Arial"/>
          <w:b/>
          <w:bCs/>
          <w:color w:val="FFFFFF"/>
          <w:sz w:val="28"/>
          <w:szCs w:val="28"/>
          <w:rtl/>
        </w:rPr>
        <w:t xml:space="preserve">مسرد المصطلحات  </w:t>
      </w:r>
      <w:r>
        <w:rPr>
          <w:rFonts w:ascii="Arial" w:cs="Arial" w:eastAsia="Arial" w:hAnsi="Arial"/>
          <w:b/>
          <w:bCs/>
          <w:color w:val="DCE6F1"/>
          <w:sz w:val="24"/>
          <w:szCs w:val="24"/>
          <w:rtl/>
        </w:rPr>
        <w:t xml:space="preserve">·  19</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cantSplit/>
        </w:trPr>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المصطلح</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المقابل الإنجليزي</w:t>
            </w:r>
          </w:p>
        </w:tc>
        <w:tc>
          <w:tcPr>
            <w:tcW w:type="dxa" w:w="49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keepNext/>
              <w:bidi/>
              <w:spacing w:after="0" w:line="264"/>
              <w:jc w:val="center"/>
            </w:pPr>
            <w:r>
              <w:rPr>
                <w:rFonts w:ascii="Arial" w:cs="Arial" w:eastAsia="Arial" w:hAnsi="Arial"/>
                <w:b/>
                <w:bCs/>
                <w:color w:val="FFFFFF"/>
                <w:sz w:val="21"/>
                <w:szCs w:val="21"/>
                <w:rtl/>
              </w:rPr>
              <w:t xml:space="preserve">التعريف المعتمد</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الفرصة</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Opportunity</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عملٌ محتملٌ مسجَّل باسم عميلٍ وقيمةٍ تقديرية ومرحلة</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الأنبوب التجاري</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Pipeline</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مجموع الفرص المفتوحة موزَّعةً على مراحلها</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الدراسة</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Qualification Decision</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قرار المتابعة أو التعليق أو الاستبعاد بعد الدراسة الأولية</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النشاط التجاري</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Commercial Activity</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زيارة أو اجتماعٌ أو اتصالٌ موثَّق على الفرصة أو العميل</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المناقصة</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Tender</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عطاءٌ مطروحٌ من جهةٍ يُشارَك فيه بمستنداتٍ وموعد إغلاق</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العرض</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Quotation</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مستندٌ تجاريٌّ ببنودٍ وأسعارٍ وصلاحيةٍ محدَّدة</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عقد المشروع</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Project Contract</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الالتزام المعتمد الذي يحدّد سقف الحصص وشروطه</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بند الحصة</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Quota Line</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سطرٌ في العقد يحمل نموذج إيرادٍ وكميةً وسعرًا</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سقف الحصص</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Quota Ceiling</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الكمية القصوى المسموح تشغيلها ضمن العقد</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نموذج الإيراد</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Revenue Model</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طريقة قياس العمل: بالساعة أو بالطن أو بالمتر</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الحاوية</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Contracted Volume</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الكمية المتعاقد عليها زمنيًّا وكميًّا معًا</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الحوش</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Idle / Standby</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ساعات انتظار المعدة دون عملٍ فعلي، ولا تولّد إيرادًا</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فحص الجاهزية</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Readiness Check</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تحقّقٌ داخليٌّ من قدرة الإدارات على التنفيذ قبل الاعتماد</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الملحق</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Amendment</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مستندٌ يوثّق تغييرًا على عقدٍ نافذ</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التجديد</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Renewal</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دورةٌ تعاقديةٌ جديدة بسقفٍ جديد</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التمديد</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Extension</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إطالة مدة العقد القائم دون دورةٍ جديدة</w:t>
            </w:r>
          </w:p>
        </w:tc>
      </w:tr>
      <w:tr>
        <w:trPr>
          <w:cantSplit/>
        </w:trPr>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سبب الخسارة</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Loss Reason</w:t>
            </w:r>
          </w:p>
        </w:tc>
        <w:tc>
          <w:tcPr>
            <w:tcW w:type="dxa" w:w="49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السبب الموثَّق لعدم الفوز بالفرصة</w:t>
            </w:r>
          </w:p>
        </w:tc>
      </w:tr>
      <w:tr>
        <w:trPr>
          <w:cantSplit/>
        </w:trPr>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مراجعة ما بعد النتيجة</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Win / Loss Review</w:t>
            </w:r>
          </w:p>
        </w:tc>
        <w:tc>
          <w:tcPr>
            <w:tcW w:type="dxa" w:w="49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color w:val="222222"/>
                <w:sz w:val="20"/>
                <w:szCs w:val="20"/>
                <w:rtl/>
              </w:rPr>
              <w:t xml:space="preserve">خلاصةٌ تُكتب عند الإقفال لبناء قاعدة المعرفة</w:t>
            </w:r>
          </w:p>
        </w:tc>
      </w:tr>
    </w:tbl>
    <w:p>
      <w:pPr>
        <w:bidi/>
        <w:spacing w:before="360" w:after="0"/>
        <w:jc w:val="center"/>
      </w:pPr>
      <w:r>
        <w:rPr>
          <w:rFonts w:ascii="Arial" w:cs="Arial" w:eastAsia="Arial" w:hAnsi="Arial"/>
          <w:b/>
          <w:bCs/>
          <w:i/>
          <w:iCs/>
          <w:color w:val="595959"/>
          <w:sz w:val="20"/>
          <w:szCs w:val="20"/>
          <w:rtl/>
        </w:rPr>
        <w:t xml:space="preserve">— نهاية الدليل · دليل تشغيل إدارة المبيعات (EQUIP-OPE-M05) —</w:t>
      </w:r>
    </w:p>
    <w:sectPr>
      <w:headerReference w:type="default" r:id="rId7"/>
      <w:footerReference w:type="default" r:id="rId8"/>
      <w:pgSz w:w="12240" w:h="15840" w:orient="portrait"/>
      <w:pgMar w:top="1300" w:right="1200" w:bottom="1200" w:left="120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bidi/>
      <w:spacing w:before="40"/>
      <w:jc w:val="center"/>
    </w:pPr>
    <w:r>
      <w:rPr>
        <w:rFonts w:ascii="Arial" w:cs="Arial" w:eastAsia="Arial" w:hAnsi="Arial"/>
        <w:color w:val="595959"/>
        <w:sz w:val="16"/>
        <w:szCs w:val="16"/>
        <w:rtl/>
      </w:rPr>
      <w:t xml:space="preserve">مجموعة إكيوبيشن · مُقيّد للاستخدام المؤسسي    —    صفحة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left" w:pos="0"/>
      </w:tabs>
      <w:bidi/>
      <w:spacing w:after="40"/>
      <w:jc w:val="right"/>
    </w:pPr>
    <w:r>
      <w:rPr>
        <w:rFonts w:ascii="Arial" w:cs="Arial" w:eastAsia="Arial" w:hAnsi="Arial"/>
        <w:color w:val="808080"/>
        <w:sz w:val="16"/>
        <w:szCs w:val="16"/>
      </w:rPr>
      <w:t xml:space="preserve">EQUIP-OPE-M05</w:t>
    </w:r>
    <w:r>
      <w:rPr>
        <w:rFonts w:ascii="Arial" w:cs="Arial" w:eastAsia="Arial" w:hAnsi="Arial"/>
      </w:rPr>
      <w:t xml:space="preserve">	</w:t>
    </w:r>
    <w:r>
      <w:rPr>
        <w:rFonts w:ascii="Arial" w:cs="Arial" w:eastAsia="Arial" w:hAnsi="Arial"/>
        <w:b/>
        <w:bCs/>
        <w:color w:val="1F4E79"/>
        <w:sz w:val="16"/>
        <w:szCs w:val="16"/>
        <w:rtl/>
      </w:rPr>
      <w:t xml:space="preserve">دليل تشغيل إدارة المبيعات · قطاع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rPr>
        <w:color w:val="2E75B6"/>
      </w:rPr>
    </w:lvl>
  </w:abstractNum>
  <w:abstractNum w:abstractNumId="3" w15:restartNumberingAfterBreak="0">
    <w:multiLevelType w:val="hybridMultilevel"/>
    <w:lvl w:ilvl="0" w15:tentative="1">
      <w:start w:val="1"/>
      <w:numFmt w:val="decimal"/>
      <w:lvlText w:val="%1."/>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تشغيل إدارة المبيعات — EQUIP-OPE-M05</dc:title>
  <dc:creator>Equipation — OPE</dc:creator>
  <cp:lastModifiedBy>Un-named</cp:lastModifiedBy>
  <cp:revision>1</cp:revision>
  <dcterms:created xsi:type="dcterms:W3CDTF">2026-06-08T13:02:22.277Z</dcterms:created>
  <dcterms:modified xsi:type="dcterms:W3CDTF">2026-06-08T13:02:22.277Z</dcterms:modified>
</cp:coreProperties>
</file>

<file path=docProps/custom.xml><?xml version="1.0" encoding="utf-8"?>
<Properties xmlns="http://schemas.openxmlformats.org/officeDocument/2006/custom-properties" xmlns:vt="http://schemas.openxmlformats.org/officeDocument/2006/docPropsVTypes"/>
</file>