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0"/>
      </w:pPr>
      <w:r>
        <w:rPr>
          <w:rFonts w:ascii="Arial" w:cs="Arial" w:eastAsia="Arial" w:hAnsi="Arial"/>
        </w:rPr>
        <w:t xml:space="preserve"/>
      </w:r>
    </w:p>
    <w:p>
      <w:pPr>
        <w:bidi/>
        <w:spacing w:after="30" w:before="0" w:line="276"/>
        <w:jc w:val="center"/>
      </w:pPr>
      <w:r>
        <w:rPr>
          <w:rFonts w:ascii="Arial" w:cs="Arial" w:eastAsia="Arial" w:hAnsi="Arial"/>
          <w:b/>
          <w:bCs/>
          <w:i w:val="false"/>
          <w:iCs w:val="false"/>
          <w:color w:val="1F4E79"/>
          <w:sz w:val="36"/>
          <w:szCs w:val="36"/>
          <w:rtl/>
        </w:rPr>
        <w:t xml:space="preserve">E Q U I P A T I O N</w:t>
      </w:r>
    </w:p>
    <w:p>
      <w:pPr>
        <w:bidi/>
        <w:spacing w:after="30" w:before="0" w:line="276"/>
        <w:jc w:val="center"/>
      </w:pPr>
      <w:r>
        <w:rPr>
          <w:rFonts w:ascii="Arial" w:cs="Arial" w:eastAsia="Arial" w:hAnsi="Arial"/>
          <w:b/>
          <w:bCs/>
          <w:color w:val="1F4E79"/>
          <w:sz w:val="18"/>
          <w:szCs w:val="18"/>
        </w:rPr>
        <w:t xml:space="preserve">EQUIPMENT OPERATIONS — OPE</w:t>
      </w:r>
    </w:p>
    <w:p>
      <w:pPr>
        <w:bidi/>
        <w:spacing w:after="60" w:before="0" w:line="276"/>
        <w:jc w:val="center"/>
      </w:pPr>
      <w:r>
        <w:rPr>
          <w:rFonts w:ascii="Arial" w:cs="Arial" w:eastAsia="Arial" w:hAnsi="Arial"/>
          <w:b w:val="false"/>
          <w:bCs w:val="false"/>
          <w:i w:val="false"/>
          <w:iCs w:val="false"/>
          <w:color w:val="595959"/>
          <w:sz w:val="19"/>
          <w:szCs w:val="19"/>
          <w:rtl/>
        </w:rPr>
        <w:t xml:space="preserve">مجموعة إكيوبيشن  ·  قطاع تشغيل المعدات</w:t>
      </w:r>
    </w:p>
    <w:p>
      <w:pPr>
        <w:pBdr>
          <w:bottom w:val="single" w:color="C9A227" w:sz="12" w:space="1"/>
        </w:pBdr>
        <w:spacing w:after="320" w:before="40"/>
      </w:pPr>
      <w:r>
        <w:rPr>
          <w:rFonts w:ascii="Arial" w:cs="Arial" w:eastAsia="Arial" w:hAnsi="Arial"/>
        </w:rPr>
        <w:t xml:space="preserve"/>
      </w:r>
    </w:p>
    <w:p>
      <w:pPr>
        <w:bidi/>
        <w:spacing w:after="40" w:before="0" w:line="276"/>
        <w:jc w:val="center"/>
      </w:pPr>
      <w:r>
        <w:rPr>
          <w:rFonts w:ascii="Arial" w:cs="Arial" w:eastAsia="Arial" w:hAnsi="Arial"/>
          <w:b/>
          <w:bCs/>
          <w:i w:val="false"/>
          <w:iCs w:val="false"/>
          <w:color w:val="1F4E79"/>
          <w:sz w:val="40"/>
          <w:szCs w:val="40"/>
          <w:rtl/>
        </w:rPr>
        <w:t xml:space="preserve">مواصفات المشتريات والمخزون والعهدة</w:t>
      </w:r>
    </w:p>
    <w:p>
      <w:pPr>
        <w:bidi/>
        <w:spacing w:after="140" w:before="0" w:line="276"/>
        <w:jc w:val="center"/>
      </w:pPr>
      <w:r>
        <w:rPr>
          <w:rFonts w:ascii="Arial" w:cs="Arial" w:eastAsia="Arial" w:hAnsi="Arial"/>
          <w:b/>
          <w:bCs/>
          <w:color w:val="2E75B6"/>
          <w:sz w:val="24"/>
          <w:szCs w:val="24"/>
        </w:rPr>
        <w:t xml:space="preserve">Procurement, Inventory &amp; Custody — Specification</w:t>
      </w:r>
    </w:p>
    <w:p>
      <w:pPr>
        <w:bidi/>
        <w:spacing w:after="40" w:before="0" w:line="276"/>
        <w:jc w:val="center"/>
      </w:pPr>
      <w:r>
        <w:rPr>
          <w:rFonts w:ascii="Arial" w:cs="Arial" w:eastAsia="Arial" w:hAnsi="Arial"/>
          <w:b w:val="false"/>
          <w:bCs w:val="false"/>
          <w:i w:val="false"/>
          <w:iCs w:val="false"/>
          <w:color w:val="595959"/>
          <w:sz w:val="20"/>
          <w:szCs w:val="20"/>
          <w:rtl/>
        </w:rPr>
        <w:t xml:space="preserve">إدارة الإمداد التشغيلي والصيانة  ·  موردو الشراء لا موردو الحصص</w:t>
      </w:r>
    </w:p>
    <w:p>
      <w:pPr>
        <w:bidi/>
        <w:spacing w:after="150" w:before="0" w:line="276"/>
        <w:jc w:val="center"/>
      </w:pPr>
      <w:r>
        <w:rPr>
          <w:rFonts w:ascii="Arial" w:cs="Arial" w:eastAsia="Arial" w:hAnsi="Arial"/>
          <w:b w:val="false"/>
          <w:bCs w:val="false"/>
          <w:i w:val="false"/>
          <w:iCs w:val="false"/>
          <w:color w:val="595959"/>
          <w:sz w:val="20"/>
          <w:szCs w:val="20"/>
          <w:rtl/>
        </w:rPr>
        <w:t xml:space="preserve">احتياجٌ تشغيلي فعلي  ·  مخزونٌ بالجرد المستمر  ·  تكلفةٌ محمَّلةٌ على مصدرها</w:t>
      </w:r>
    </w:p>
    <w:p>
      <w:pPr>
        <w:bidi/>
        <w:spacing w:after="360" w:before="0" w:line="276"/>
        <w:jc w:val="center"/>
      </w:pPr>
      <w:r>
        <w:rPr>
          <w:rFonts w:ascii="Arial" w:cs="Arial" w:eastAsia="Arial" w:hAnsi="Arial"/>
          <w:b/>
          <w:bCs/>
          <w:i w:val="false"/>
          <w:iCs w:val="false"/>
          <w:color w:val="C00000"/>
          <w:sz w:val="22"/>
          <w:szCs w:val="22"/>
          <w:rtl/>
        </w:rPr>
        <w:t xml:space="preserve">مُقيّد  ·  للاستخدام المؤسسي  —  </w:t>
      </w:r>
      <w:r>
        <w:rPr>
          <w:rFonts w:ascii="Arial" w:cs="Arial" w:eastAsia="Arial" w:hAnsi="Arial"/>
          <w:b/>
          <w:bCs/>
          <w:color w:val="C00000"/>
          <w:sz w:val="22"/>
          <w:szCs w:val="22"/>
        </w:rPr>
        <w:t xml:space="preserve">Restricted / Internal Use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100"/>
        <w:gridCol w:w="6740"/>
      </w:tblGrid>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معرّف الوثيقة</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color w:val="222222"/>
                <w:sz w:val="19"/>
                <w:szCs w:val="19"/>
              </w:rPr>
              <w:t xml:space="preserve">EQUIP-OPE-S09</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العنوان</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مواصفات المشتريات والمخزون والعهدة — إدارة الإمداد التشغيلي للمعدات والصيانة</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الإصدار</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الإصدار 2.1</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حالة الوثيقة</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إصدارٌ معتمدٌ للمراجعة</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التصنيف</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مُقيّد  ·  للاستخدام المؤسسي</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الجهة المالكة</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مجموعة إكيوبيشن  ·  قطاع تشغيل المعدات</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تاريخ الإصدار</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2026</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الجمهور المستهدف</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مطوّرو Odoo · محلّلو النظم · مدير المشتريات · أمين المخزن · مدير الصيانة · مدير الأسطول · المدير المالي</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النطاق</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الإمداد التشغيلي لقطع الغيار والزيوت والفلاتر والمواد الاستهلاكية · تصنيف الصيانة (وقائية/تصحيحية/رأسمالية/استهلاكية) · الاعتماد المالي قبل الالتزام · الاستلام الأولي وعهدة الاستلام المؤقت · الترحيل والاستلام النهائي · القطع الحرجة وإعادة الطلب · المخزون التشغيلي متعدد الحالات · سلسلة العهدة حتى الاستهلاك · تحميل التكلفة على مصدرها · التمييز عن موردي الآليات</w:t>
            </w:r>
          </w:p>
        </w:tc>
      </w:tr>
      <w:tr>
        <w:tc>
          <w:tcPr>
            <w:tcW w:type="dxa" w:w="3100"/>
            <w:tcBorders>
              <w:top w:val="single" w:color="D6E0EC" w:sz="4"/>
              <w:left w:val="single" w:color="D6E0EC" w:sz="4"/>
              <w:bottom w:val="single" w:color="D6E0EC" w:sz="4"/>
              <w:right w:val="single" w:color="D6E0EC" w:sz="4"/>
            </w:tcBorders>
            <w:shd w:fill="1F4E79" w:color="auto" w:val="clear"/>
            <w:tcMar>
              <w:top w:type="dxa" w:w="70"/>
              <w:left w:type="dxa" w:w="110"/>
              <w:bottom w:type="dxa" w:w="70"/>
              <w:right w:type="dxa" w:w="110"/>
            </w:tcMar>
            <w:vAlign w:val="center"/>
          </w:tcPr>
          <w:p>
            <w:pPr>
              <w:bidi/>
              <w:spacing w:after="0" w:before="0"/>
              <w:jc w:val="right"/>
            </w:pPr>
            <w:r>
              <w:rPr>
                <w:rFonts w:ascii="Arial" w:cs="Arial" w:eastAsia="Arial" w:hAnsi="Arial"/>
                <w:b/>
                <w:bCs/>
                <w:i w:val="false"/>
                <w:iCs w:val="false"/>
                <w:color w:val="FFFFFF"/>
                <w:sz w:val="20"/>
                <w:szCs w:val="20"/>
                <w:rtl/>
              </w:rPr>
              <w:t xml:space="preserve">الإحالات</w:t>
            </w:r>
          </w:p>
        </w:tc>
        <w:tc>
          <w:tcPr>
            <w:tcW w:type="dxa" w:w="6740"/>
            <w:tcBorders>
              <w:top w:val="single" w:color="D6E0EC" w:sz="4"/>
              <w:left w:val="single" w:color="D6E0EC" w:sz="4"/>
              <w:bottom w:val="single" w:color="D6E0EC" w:sz="4"/>
              <w:right w:val="single" w:color="D6E0EC" w:sz="4"/>
            </w:tcBorders>
            <w:shd w:fill="F4F8FC" w:color="auto" w:val="clear"/>
            <w:tcMar>
              <w:top w:type="dxa" w:w="70"/>
              <w:left w:type="dxa" w:w="130"/>
              <w:bottom w:type="dxa" w:w="70"/>
              <w:right w:type="dxa" w:w="130"/>
            </w:tcMar>
            <w:vAlign w:val="center"/>
          </w:tcPr>
          <w:p>
            <w:pPr>
              <w:bidi/>
              <w:spacing w:after="0" w:before="0" w:line="252"/>
              <w:jc w:val="right"/>
            </w:pPr>
            <w:r>
              <w:rPr>
                <w:rFonts w:ascii="Arial" w:cs="Arial" w:eastAsia="Arial" w:hAnsi="Arial"/>
                <w:b w:val="false"/>
                <w:bCs w:val="false"/>
                <w:i w:val="false"/>
                <w:iCs w:val="false"/>
                <w:color w:val="222222"/>
                <w:sz w:val="19"/>
                <w:szCs w:val="19"/>
                <w:rtl/>
              </w:rPr>
              <w:t xml:space="preserve">المعمارية D00 · النماذج D01 · الأسطول والمعدات · الصيانة S08 · التشغيل S07 · النقل والترحيل S06 · موردو الآليات S02 · المالية D04</w:t>
            </w:r>
          </w:p>
        </w:tc>
      </w:tr>
    </w:tbl>
    <w:p>
      <w:pPr>
        <w:bidi/>
        <w:spacing w:after="0" w:before="120"/>
        <w:jc w:val="center"/>
      </w:pPr>
      <w:r>
        <w:rPr>
          <w:rFonts w:ascii="Arial" w:cs="Arial" w:eastAsia="Arial" w:hAnsi="Arial"/>
          <w:b w:val="false"/>
          <w:bCs w:val="false"/>
          <w:i/>
          <w:iCs/>
          <w:color w:val="595959"/>
          <w:sz w:val="18"/>
          <w:szCs w:val="18"/>
          <w:rtl/>
        </w:rPr>
        <w:t xml:space="preserve">أُعدّت وفق معيار وثائق الحلول المؤسسية — </w:t>
      </w:r>
      <w:r>
        <w:rPr>
          <w:rFonts w:ascii="Arial" w:cs="Arial" w:eastAsia="Arial" w:hAnsi="Arial"/>
          <w:b w:val="false"/>
          <w:bCs w:val="false"/>
          <w:color w:val="595959"/>
          <w:sz w:val="18"/>
          <w:szCs w:val="18"/>
        </w:rPr>
        <w:t xml:space="preserve">Solution Design Standard</w:t>
      </w:r>
    </w:p>
    <w:p>
      <w:r>
        <w:rPr>
          <w:rFonts w:ascii="Arial" w:cs="Arial" w:eastAsia="Arial" w:hAnsi="Arial"/>
        </w:rPr>
        <w:t xml:space="preserve"/>
      </w:r>
    </w:p>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الغرض والموقع المعماري    ·    1  </w:t>
      </w:r>
    </w:p>
    <w:p>
      <w:pPr>
        <w:bidi/>
        <w:spacing w:after="120" w:before="40" w:line="264"/>
        <w:jc w:val="right"/>
      </w:pPr>
      <w:r>
        <w:rPr>
          <w:rFonts w:ascii="Arial" w:cs="Arial" w:eastAsia="Arial" w:hAnsi="Arial"/>
          <w:b w:val="false"/>
          <w:bCs w:val="false"/>
          <w:i w:val="false"/>
          <w:iCs w:val="false"/>
          <w:color w:val="222222"/>
          <w:sz w:val="20"/>
          <w:szCs w:val="20"/>
          <w:rtl/>
        </w:rPr>
        <w:t xml:space="preserve">هذه الإدارة ليست إدارة شراءٍ عامة، بل إدارةُ إمدادٍ تشغيلي وصيانة. مهمتها تأمين قطع الغيار والزيوت والشحوم والفلاتر وأسنان الجردل وقطع الجاك همر والسيور والمواد الاستهلاكية المرتبطة بالصيانة والتشغيل، بما يحافظ على الجاهزية التشغيلية للأسطول ويحقّق مستهدفات الإنتاج بأقلّ تكلفةٍ وأعلى موثوقية.</w:t>
      </w:r>
    </w:p>
    <w:p>
      <w:pPr>
        <w:bidi/>
        <w:spacing w:after="120" w:before="40" w:line="264"/>
        <w:jc w:val="right"/>
      </w:pPr>
      <w:r>
        <w:rPr>
          <w:rFonts w:ascii="Arial" w:cs="Arial" w:eastAsia="Arial" w:hAnsi="Arial"/>
          <w:b w:val="false"/>
          <w:bCs w:val="false"/>
          <w:i w:val="false"/>
          <w:iCs w:val="false"/>
          <w:color w:val="222222"/>
          <w:sz w:val="20"/>
          <w:szCs w:val="20"/>
          <w:rtl/>
        </w:rPr>
        <w:t xml:space="preserve">وجوهر تمايزها أنّ موردي الشراء التشغيليين يُتعامل معهم بأوامر شراءٍ معيارية ولا يدخلون هرم الحصص — خلافاً لموردي الآليات الذين يتقاسمون الإيراد (راجع </w:t>
      </w:r>
      <w:r>
        <w:rPr>
          <w:rFonts w:ascii="Arial" w:cs="Arial" w:eastAsia="Arial" w:hAnsi="Arial"/>
          <w:b w:val="false"/>
          <w:bCs w:val="false"/>
          <w:color w:val="222222"/>
          <w:sz w:val="19"/>
          <w:szCs w:val="19"/>
        </w:rPr>
        <w:t xml:space="preserve">S02</w:t>
      </w:r>
      <w:r>
        <w:rPr>
          <w:rFonts w:ascii="Arial" w:cs="Arial" w:eastAsia="Arial" w:hAnsi="Arial"/>
          <w:b w:val="false"/>
          <w:bCs w:val="false"/>
          <w:i w:val="false"/>
          <w:iCs w:val="false"/>
          <w:color w:val="222222"/>
          <w:sz w:val="20"/>
          <w:szCs w:val="20"/>
          <w:rtl/>
        </w:rPr>
        <w:t xml:space="preserve">).</w:t>
      </w:r>
    </w:p>
    <w:p>
      <w:pPr>
        <w:bidi/>
        <w:spacing w:after="120" w:before="40" w:line="264"/>
        <w:jc w:val="right"/>
      </w:pPr>
      <w:r>
        <w:rPr>
          <w:rFonts w:ascii="Arial" w:cs="Arial" w:eastAsia="Arial" w:hAnsi="Arial"/>
          <w:b w:val="false"/>
          <w:bCs w:val="false"/>
          <w:i w:val="false"/>
          <w:iCs w:val="false"/>
          <w:color w:val="222222"/>
          <w:sz w:val="20"/>
          <w:szCs w:val="20"/>
          <w:rtl/>
        </w:rPr>
        <w:t xml:space="preserve">تستقبل الإدارة احتياجاتِ الإمداد من الصيانة والتشغيل، وتنتج أصنافاً مستلَمةً ومصروفةً بتكلفةٍ محمَّلةٍ على مصدرها (معدة/مشروع/أمر صيانة). وتعتمد على الموردين التشغيليين، ويعتمد عليها: الصيانة (القطع) والتشغيل (المواد) والمالية (تكلفة المخزون والاستهلاك).</w:t>
      </w:r>
    </w:p>
    <w:p>
      <w:pPr>
        <w:spacing w:after="6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احتياجٌ تشغيلي  ·  خطة صيانة / أمر صيانة / نقص مخزون / إعادة طلب</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طلب الشراء التشغيلي  ·  </w:t>
            </w:r>
            <w:r>
              <w:rPr>
                <w:rFonts w:ascii="Arial" w:cs="Arial" w:eastAsia="Arial" w:hAnsi="Arial"/>
                <w:b/>
                <w:bCs/>
                <w:color w:val="1F4E79"/>
                <w:sz w:val="20"/>
                <w:szCs w:val="20"/>
              </w:rPr>
              <w:t xml:space="preserve">purchase.request / requisition</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أمر الشراء  ·  </w:t>
            </w:r>
            <w:r>
              <w:rPr>
                <w:rFonts w:ascii="Arial" w:cs="Arial" w:eastAsia="Arial" w:hAnsi="Arial"/>
                <w:b/>
                <w:bCs/>
                <w:color w:val="1F4E79"/>
                <w:sz w:val="20"/>
                <w:szCs w:val="20"/>
              </w:rPr>
              <w:t xml:space="preserve">purchase.order</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الاستلام وإدخال المخزون (جرد مستمر)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الصرف وتحميل التكلفة على المصدر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سلسلة العهدة حتى الاستهلاك النهائي</w:t>
            </w:r>
          </w:p>
        </w:tc>
      </w:tr>
    </w:tbl>
    <w:p>
      <w:pPr>
        <w:spacing w:after="6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موردو المشتريات التشغيلية ليسوا موردي آليات: لا يدخلون هرم الحصص ولا يتقاسمون الإيراد؛ والخلط بينهما خطأٌ معماري (راجع </w:t>
            </w:r>
            <w:r>
              <w:rPr>
                <w:rFonts w:ascii="Arial" w:cs="Arial" w:eastAsia="Arial" w:hAnsi="Arial"/>
                <w:b w:val="false"/>
                <w:bCs w:val="false"/>
                <w:color w:val="1F4E79"/>
                <w:sz w:val="19"/>
                <w:szCs w:val="19"/>
              </w:rPr>
              <w:t xml:space="preserve">S02</w:t>
            </w:r>
            <w:r>
              <w:rPr>
                <w:rFonts w:ascii="Arial" w:cs="Arial" w:eastAsia="Arial" w:hAnsi="Arial"/>
                <w:b w:val="false"/>
                <w:bCs w:val="false"/>
                <w:i w:val="false"/>
                <w:iCs w:val="false"/>
                <w:color w:val="1F4E79"/>
                <w:sz w:val="20"/>
                <w:szCs w:val="20"/>
                <w:rtl/>
              </w:rPr>
              <w:t xml:space="preserve">).</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الموقع داخل سلسلة القيمة    ·    2  </w:t>
      </w:r>
    </w:p>
    <w:p>
      <w:pPr>
        <w:bidi/>
        <w:spacing w:after="120" w:before="40" w:line="264"/>
        <w:jc w:val="right"/>
      </w:pPr>
      <w:r>
        <w:rPr>
          <w:rFonts w:ascii="Arial" w:cs="Arial" w:eastAsia="Arial" w:hAnsi="Arial"/>
          <w:b w:val="false"/>
          <w:bCs w:val="false"/>
          <w:i w:val="false"/>
          <w:iCs w:val="false"/>
          <w:color w:val="222222"/>
          <w:sz w:val="20"/>
          <w:szCs w:val="20"/>
          <w:rtl/>
        </w:rPr>
        <w:t xml:space="preserve">تقع الإدارة في خطّ الإمداد الجانبي الذي يغذّي التشغيل والصيانة؛ فهي لا تُنتج إيراداً مباشراً، بل تُمكّن استمرارية الإنتاج عبر إتاحة القطعة والمادة الصحيحة في الوقت والمكان الصحيحين:</w:t>
      </w:r>
    </w:p>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المورد التشغيلي</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أمر الشراء</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المخزون (جرد مستمر)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الصرف  ·  العهدة</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استهلاكٌ على المعدة / أمر الصيانة / المشروع</w:t>
            </w:r>
          </w:p>
        </w:tc>
      </w:tr>
    </w:tbl>
    <w:p>
      <w:pPr>
        <w:spacing w:after="40" w:before="0"/>
      </w:pPr>
      <w:r>
        <w:rPr>
          <w:rFonts w:ascii="Arial" w:cs="Arial" w:eastAsia="Arial" w:hAnsi="Arial"/>
        </w:rPr>
        <w:t xml:space="preserve"/>
      </w:r>
    </w:p>
    <w:p>
      <w:pPr>
        <w:bidi/>
        <w:spacing w:after="120" w:before="40" w:line="264"/>
        <w:jc w:val="right"/>
      </w:pPr>
      <w:r>
        <w:rPr>
          <w:rFonts w:ascii="Arial" w:cs="Arial" w:eastAsia="Arial" w:hAnsi="Arial"/>
          <w:b w:val="false"/>
          <w:bCs w:val="false"/>
          <w:i w:val="false"/>
          <w:iCs w:val="false"/>
          <w:color w:val="222222"/>
          <w:sz w:val="20"/>
          <w:szCs w:val="20"/>
          <w:rtl/>
        </w:rPr>
        <w:t xml:space="preserve">ولأنّ الجاهزية التشغيلية تتأثر مباشرةً بتوافر القطع الحرجة، تُقاس قيمة هذه الإدارة بمدى منعها لتوقّف المعدات بسبب نقص الإمداد، لا بحجم المشتريات وحده.</w:t>
      </w:r>
    </w:p>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نطاق الإدارة وحدود الوقود    ·    3  </w:t>
      </w:r>
    </w:p>
    <w:p>
      <w:pPr>
        <w:bidi/>
        <w:spacing w:after="120" w:before="40" w:line="264"/>
        <w:jc w:val="right"/>
      </w:pPr>
      <w:r>
        <w:rPr>
          <w:rFonts w:ascii="Arial" w:cs="Arial" w:eastAsia="Arial" w:hAnsi="Arial"/>
          <w:b w:val="false"/>
          <w:bCs w:val="false"/>
          <w:i w:val="false"/>
          <w:iCs w:val="false"/>
          <w:color w:val="222222"/>
          <w:sz w:val="20"/>
          <w:szCs w:val="20"/>
          <w:rtl/>
        </w:rPr>
        <w:t xml:space="preserve">يغطّي نطاق الإدارة عائلاتِ المواد التشغيلية التالية، وهي مبنيةٌ على ما تتعامل معه الشركة فعلياً:</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4540"/>
        <w:gridCol w:w="2600"/>
      </w:tblGrid>
      <w:tr>
        <w:trPr>
          <w:tblHeader/>
        </w:trPr>
        <w:tc>
          <w:tcPr>
            <w:tcW w:type="dxa" w:w="27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عائلة المواد</w:t>
            </w:r>
          </w:p>
        </w:tc>
        <w:tc>
          <w:tcPr>
            <w:tcW w:type="dxa" w:w="45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أمثلة فعلية</w:t>
            </w:r>
          </w:p>
        </w:tc>
        <w:tc>
          <w:tcPr>
            <w:tcW w:type="dxa" w:w="26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طبيعة التخزين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قطع الغيار (الإسبيرات)</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إسبيرات المعدات الثقيلة والشاحنات، مكوّنات الإصلاح</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الزيوت والشحوم</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شحوم (مثل فوكس)، زيوت محركات وهيدروليك</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الفلاتر</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فلاتر زيت / هواء / وقود / هيدروليك</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أسنان الجردل وأدوات التخريم</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أسنان الجردل، تيجان ولقم الحفر</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قطع الجاك همر</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لقم ومكوّنات الهدّام الهيدروليكي</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السيور</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سيور النقل والتشغيل</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البطاريات</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بطاريات المعدات والشاحنات</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مواد استهلاكية وخدمات وسلامة</w:t>
            </w:r>
          </w:p>
        </w:tc>
        <w:tc>
          <w:tcPr>
            <w:tcW w:type="dxa" w:w="45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غسيل، بنشر، معدات سلامة</w:t>
            </w:r>
          </w:p>
        </w:tc>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غالبها غير قابل للتخزين</w:t>
            </w:r>
          </w:p>
        </w:tc>
      </w:tr>
    </w:tbl>
    <w:p>
      <w:pPr>
        <w:spacing w:after="8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الوقود وحدوده — يحدّده نموذج العقد</w:t>
      </w:r>
    </w:p>
    <w:p>
      <w:pPr>
        <w:bidi/>
        <w:spacing w:after="120" w:before="40" w:line="264"/>
        <w:jc w:val="right"/>
      </w:pPr>
      <w:r>
        <w:rPr>
          <w:rFonts w:ascii="Arial" w:cs="Arial" w:eastAsia="Arial" w:hAnsi="Arial"/>
          <w:b w:val="false"/>
          <w:bCs w:val="false"/>
          <w:i w:val="false"/>
          <w:iCs w:val="false"/>
          <w:color w:val="222222"/>
          <w:sz w:val="20"/>
          <w:szCs w:val="20"/>
          <w:rtl/>
        </w:rPr>
        <w:t xml:space="preserve">الوقود والبنزين ليسا بالضرورة جزءاً من مشتريات الشركة. في العقود التي يتحمّل فيها العميل الوقود، يكون الوقود خارج نطاق هذه الإدارة ويُتابَع وفق نموذج العقد. ويجب أن يسمح النظام بوجود عقودٍ مختلفة دون افتراض أنّ الوقود دائماً على الشركة.</w:t>
      </w:r>
    </w:p>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العقد التشغيلي</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هل الوقود على الشركة وفق العقد؟</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0"/>
                <w:szCs w:val="20"/>
                <w:rtl/>
              </w:rPr>
              <w:t xml:space="preserve">نعم ← يُعامَل كصنفٍ تشغيلي ضمن المخزون    |    لا ← خارج المشتريات، يُتابَع وفق العقد</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لا يُفترض أنّ الوقود دائماً على الشركة؛ بل يحدّده نموذج العقد. ويُبنى الحقل قابلاً للتهيئة لكل عقدٍ على حدة، لا كقاعدةٍ ثابتة.</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التصنيف التشغيلي للمشتريات    ·    4  </w:t>
      </w:r>
    </w:p>
    <w:p>
      <w:pPr>
        <w:bidi/>
        <w:spacing w:after="120" w:before="40" w:line="264"/>
        <w:jc w:val="right"/>
      </w:pPr>
      <w:r>
        <w:rPr>
          <w:rFonts w:ascii="Arial" w:cs="Arial" w:eastAsia="Arial" w:hAnsi="Arial"/>
          <w:b w:val="false"/>
          <w:bCs w:val="false"/>
          <w:i w:val="false"/>
          <w:iCs w:val="false"/>
          <w:color w:val="222222"/>
          <w:sz w:val="20"/>
          <w:szCs w:val="20"/>
          <w:rtl/>
        </w:rPr>
        <w:t xml:space="preserve">تُصنَّف المشتريات حسب طبيعتها التشغيلية — لا حسب الصنف فقط — لأنّ التصنيف هو ما يقود التحميل المالي والتقارير والتحليل. وتُعتمد أربعة تصنيفاتٍ تشغيلية:</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3090"/>
        <w:gridCol w:w="2200"/>
        <w:gridCol w:w="2200"/>
      </w:tblGrid>
      <w:tr>
        <w:trPr>
          <w:tblHeader/>
        </w:trPr>
        <w:tc>
          <w:tcPr>
            <w:tcW w:type="dxa" w:w="23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التصنيف التشغيلي</w:t>
            </w:r>
          </w:p>
        </w:tc>
        <w:tc>
          <w:tcPr>
            <w:tcW w:type="dxa" w:w="309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يشمل</w:t>
            </w:r>
          </w:p>
        </w:tc>
        <w:tc>
          <w:tcPr>
            <w:tcW w:type="dxa" w:w="22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مصدر الاحتياج النموذجي</w:t>
            </w:r>
          </w:p>
        </w:tc>
        <w:tc>
          <w:tcPr>
            <w:tcW w:type="dxa" w:w="22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سلوك التكلفة</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الصيانة الوقائية</w:t>
            </w:r>
            <w:r>
              <w:rPr>
                <w:rFonts w:ascii="Arial" w:cs="Arial" w:eastAsia="Arial" w:hAnsi="Arial"/>
                <w:b w:val="false"/>
                <w:bCs w:val="false"/>
                <w:color w:val="595959"/>
                <w:sz w:val="17"/>
                <w:szCs w:val="17"/>
              </w:rPr>
              <w:t xml:space="preserve">  Preventive</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زيوت، شحوم، فلاتر، أطقم دورية لبرامج 250 / 500 / 1000 / 2000 ساعة</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خطة الصيانة الوقائية</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مخطّطة دورية؛ تُحمَّل على برنامج الساعات والمعدة</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الصيانة التصحيحية</w:t>
            </w:r>
            <w:r>
              <w:rPr>
                <w:rFonts w:ascii="Arial" w:cs="Arial" w:eastAsia="Arial" w:hAnsi="Arial"/>
                <w:b w:val="false"/>
                <w:bCs w:val="false"/>
                <w:color w:val="595959"/>
                <w:sz w:val="17"/>
                <w:szCs w:val="17"/>
              </w:rPr>
              <w:t xml:space="preserve">  Corrective</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قطع الأعطال، مكوّنات الإصلاح، مواد الأعطال الطارئة</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صيانة تصحيحي</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غير مخطّطة؛ تُحمَّل على أمر الصيانة والمعدة</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الصيانة الرأسمالية</w:t>
            </w:r>
            <w:r>
              <w:rPr>
                <w:rFonts w:ascii="Arial" w:cs="Arial" w:eastAsia="Arial" w:hAnsi="Arial"/>
                <w:b w:val="false"/>
                <w:bCs w:val="false"/>
                <w:color w:val="595959"/>
                <w:sz w:val="17"/>
                <w:szCs w:val="17"/>
              </w:rPr>
              <w:t xml:space="preserve">  Overhaul</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تغيير محركات وطرمبات وجيربوكسات، إصلاحات جذرية وحوادث كبيرة</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إصلاح رأسمالي / مشروع عمرة</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عالية القيمة؛ تُرسمَل أو تُحمَّل على عمرة المعدة</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مواد تشغيلية استهلاكية</w:t>
            </w:r>
            <w:r>
              <w:rPr>
                <w:rFonts w:ascii="Arial" w:cs="Arial" w:eastAsia="Arial" w:hAnsi="Arial"/>
                <w:b w:val="false"/>
                <w:bCs w:val="false"/>
                <w:color w:val="595959"/>
                <w:sz w:val="17"/>
                <w:szCs w:val="17"/>
              </w:rPr>
              <w:t xml:space="preserve">  Consumables</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أسنان الجردل، أدوات التخريم، السيور، استهلاك التشغيل اليومي</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التشغيل اليومي / نقص المخزون</w:t>
            </w:r>
          </w:p>
        </w:tc>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متكرّرة؛ تُحمَّل على التشغيل والمشروع</w:t>
            </w:r>
          </w:p>
        </w:tc>
      </w:tr>
    </w:tbl>
    <w:p>
      <w:pPr>
        <w:spacing w:after="7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انعكاس التصنيف على النظام</w:t>
      </w:r>
    </w:p>
    <w:p>
      <w:pPr>
        <w:bidi/>
        <w:spacing w:after="120" w:before="40" w:line="264"/>
        <w:jc w:val="right"/>
      </w:pPr>
      <w:r>
        <w:rPr>
          <w:rFonts w:ascii="Arial" w:cs="Arial" w:eastAsia="Arial" w:hAnsi="Arial"/>
          <w:b w:val="false"/>
          <w:bCs w:val="false"/>
          <w:i w:val="false"/>
          <w:iCs w:val="false"/>
          <w:color w:val="222222"/>
          <w:sz w:val="20"/>
          <w:szCs w:val="20"/>
          <w:rtl/>
        </w:rPr>
        <w:t xml:space="preserve">يجب أن ينعكس هذا التصنيف — كحقلٍ إلزامي على كل بند — في المواضع التالية: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طلب الشراء وأمر الشراء: يُحدَّد التصنيف على مستوى البند لا الأمر كله.</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المخزون: يُرفق التصنيف بحركة الصرف لتغذية تحليل الاستهلاك حسب نوع الصيانة.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التقارير: تجميع المشتريات والاستهلاك حسب التصنيف (وقائية/تصحيحية/رأسمالية/استهلاكية).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التحليل المالي وتحميل التكاليف: توجيه التكلفة إلى البرنامج/الأمر/المعدة الصحيحة.</w:t>
      </w:r>
    </w:p>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التصنيف التشغيلي حقلٌ إلزامي يقود التحميل والتقارير — وليس وصفاً اختيارياً. ويوضَع على مستوى البند لأنّ الأمر الواحد قد يجمع بنوداً من تصنيفاتٍ مختلفة.</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الكيانات الرئيسية    ·    5  </w:t>
      </w:r>
    </w:p>
    <w:p>
      <w:pPr>
        <w:bidi/>
        <w:spacing w:after="120" w:before="40" w:line="264"/>
        <w:jc w:val="right"/>
      </w:pPr>
      <w:r>
        <w:rPr>
          <w:rFonts w:ascii="Arial" w:cs="Arial" w:eastAsia="Arial" w:hAnsi="Arial"/>
          <w:b w:val="false"/>
          <w:bCs w:val="false"/>
          <w:i w:val="false"/>
          <w:iCs w:val="false"/>
          <w:color w:val="222222"/>
          <w:sz w:val="20"/>
          <w:szCs w:val="20"/>
          <w:rtl/>
        </w:rPr>
        <w:t xml:space="preserve">تتبع الإدارةَ الكياناتُ التالية، مرتَّبةً وفق رحلة التوريد الفعلية من الاحتياج حتى الإقفال — وتشمل بوابة الاعتماد المالي وعهدة الاستلام المؤقت والترحيل:</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0"/>
        <w:gridCol w:w="4090"/>
        <w:gridCol w:w="3000"/>
      </w:tblGrid>
      <w:tr>
        <w:trPr>
          <w:tblHeader/>
        </w:trPr>
        <w:tc>
          <w:tcPr>
            <w:tcW w:type="dxa" w:w="27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الكيان</w:t>
            </w:r>
          </w:p>
        </w:tc>
        <w:tc>
          <w:tcPr>
            <w:tcW w:type="dxa" w:w="409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النموذج المعتمد</w:t>
            </w:r>
          </w:p>
        </w:tc>
        <w:tc>
          <w:tcPr>
            <w:tcW w:type="dxa" w:w="3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الدور</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المورد التشغيلي</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res.partner  (دور المورد التشغيلي)</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مورد الشراء المعياري — لا حصص</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الشراء التشغيلي</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purchase.requisition</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تحويل الاحتياج التشغيلي إلى طلب</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الاعتماد المالي</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account.budget / analytic  (D04)</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بوابة الموازنة والسيولة قبل الالتزام</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الشراء</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purchase.order</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إصدار الالتزام بعد الاعتماد المالي</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عهدة الاستلام المؤقت</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equipation.receipt.custody</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من المورد إلى الوجهة قبل المخزن</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أمر الترحيل</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stock.picking / transfer  (S06)</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تحريك المواد للمشروع/الورشة/المعدة</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بطاقة الصنف / القطعة الحرجة</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product.product / template</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تعريف الصنف وحدوده وحرجيّته</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قاعدة إعادة الطلب</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stock.warehouse.orderpoint</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الأدنى ونقطة إعادة الطلب</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المخزون</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stock.quant / move / picking</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الأرصدة والحركات بالجرد المستمر</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سلسلة عهدة الصرف</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equipation.custody.transfer / line</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العهدة من الصرف إلى الاستهلاك</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ربط خطة الصيانة</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maintenance.request / plan  (S08)</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مصدر احتياجٍ وقائي/تصحيحي</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تحميل التكلفة</w:t>
            </w:r>
          </w:p>
        </w:tc>
        <w:tc>
          <w:tcPr>
            <w:tcW w:type="dxa" w:w="4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stock.valuation.layer / analytic</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توجيه التكلفة إلى مصدرها</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دورة الحياة الكاملة    ·    6  </w:t>
      </w:r>
    </w:p>
    <w:p>
      <w:pPr>
        <w:bidi/>
        <w:spacing w:after="120" w:before="40" w:line="264"/>
        <w:jc w:val="right"/>
      </w:pPr>
      <w:r>
        <w:rPr>
          <w:rFonts w:ascii="Arial" w:cs="Arial" w:eastAsia="Arial" w:hAnsi="Arial"/>
          <w:b w:val="false"/>
          <w:bCs w:val="false"/>
          <w:i w:val="false"/>
          <w:iCs w:val="false"/>
          <w:color w:val="222222"/>
          <w:sz w:val="20"/>
          <w:szCs w:val="20"/>
          <w:rtl/>
        </w:rPr>
        <w:t xml:space="preserve">صُحّحت دورة الحياة لتعكس سلسلة التوريد الفعلية كما تتمّ ميدانياً داخل مشاريع المعدات والتعدين: فأمر الشراء لا يصدر قبل الاعتماد المالي، والتسليم لا يعني الوصول إلى المخزن، بل تمرّ المادة باستلامٍ أولي وعهدة استلامٍ مؤقت وترحيلٍ عند الحاجة قبل الاستلام النهائي.</w:t>
      </w:r>
    </w:p>
    <w:p>
      <w:pPr>
        <w:spacing w:after="5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احتياج تشغيلي</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طلب شراء  ←  اعتماد المشتريات</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اعتماد مالي  (موازنة · سيولة · صلاحيات · خطة · أسعار)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أمر شراء</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استلام أولي  ←  عهدة استلامٍ مؤقت</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ترحيل  (عند الحاجة — S06)</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استلام نهائي  ←  مخزون أو استخدامٌ مباشر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صرف  ←  استهلاك</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مطابقة مالية وإقفال</w:t>
            </w:r>
          </w:p>
        </w:tc>
      </w:tr>
    </w:tbl>
    <w:p>
      <w:pPr>
        <w:spacing w:after="5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المساران المدعومان بحسب وجهة المادة</w:t>
      </w:r>
    </w:p>
    <w:p>
      <w:pPr>
        <w:bidi/>
        <w:spacing w:after="120" w:before="40" w:line="264"/>
        <w:jc w:val="right"/>
      </w:pPr>
      <w:r>
        <w:rPr>
          <w:rFonts w:ascii="Arial" w:cs="Arial" w:eastAsia="Arial" w:hAnsi="Arial"/>
          <w:b w:val="false"/>
          <w:bCs w:val="false"/>
          <w:i w:val="false"/>
          <w:iCs w:val="false"/>
          <w:color w:val="222222"/>
          <w:sz w:val="20"/>
          <w:szCs w:val="20"/>
          <w:rtl/>
        </w:rPr>
        <w:t xml:space="preserve">لا تدخل كل المواد المخزن؛ لذلك يدعم النظام مسارين صريحين:</w:t>
      </w:r>
    </w:p>
    <w:p>
      <w:pPr>
        <w:spacing w:after="2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rPr>
          <w:tblHeader/>
        </w:trPr>
        <w:tc>
          <w:tcPr>
            <w:tcW w:type="dxa" w:w="492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المسار الأول · عبر المخزن</w:t>
            </w:r>
          </w:p>
        </w:tc>
        <w:tc>
          <w:tcPr>
            <w:tcW w:type="dxa" w:w="492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المسار الثاني · استلامٌ مباشر</w:t>
            </w:r>
          </w:p>
        </w:tc>
      </w:tr>
      <w:tr>
        <w:tc>
          <w:tcPr>
            <w:tcW w:type="dxa" w:w="492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bCs/>
                <w:i w:val="false"/>
                <w:iCs w:val="false"/>
                <w:color w:val="1F4E79"/>
                <w:sz w:val="20"/>
                <w:szCs w:val="20"/>
                <w:rtl/>
              </w:rPr>
              <w:t xml:space="preserve">مورد ← استلام ← مخزن ← صرف ← استهلاك</w:t>
            </w:r>
          </w:p>
        </w:tc>
        <w:tc>
          <w:tcPr>
            <w:tcW w:type="dxa" w:w="492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bCs/>
                <w:i w:val="false"/>
                <w:iCs w:val="false"/>
                <w:color w:val="1F4E79"/>
                <w:sz w:val="20"/>
                <w:szCs w:val="20"/>
                <w:rtl/>
              </w:rPr>
              <w:t xml:space="preserve">مورد ← استلام ← ترحيل ← معدة/مشروع ← استهلاك مباشر</w:t>
            </w:r>
          </w:p>
        </w:tc>
      </w:tr>
    </w:tbl>
    <w:p>
      <w:pPr>
        <w:spacing w:after="5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انتقالات الحالة الرئيسية</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40"/>
        <w:gridCol w:w="2050"/>
        <w:gridCol w:w="3050"/>
        <w:gridCol w:w="2000"/>
      </w:tblGrid>
      <w:tr>
        <w:trPr>
          <w:tblHeader/>
        </w:trPr>
        <w:tc>
          <w:tcPr>
            <w:tcW w:type="dxa" w:w="2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الانتقال</w:t>
            </w:r>
          </w:p>
        </w:tc>
        <w:tc>
          <w:tcPr>
            <w:tcW w:type="dxa" w:w="20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المحفِّز</w:t>
            </w:r>
          </w:p>
        </w:tc>
        <w:tc>
          <w:tcPr>
            <w:tcW w:type="dxa" w:w="30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الشرط</w:t>
            </w:r>
          </w:p>
        </w:tc>
        <w:tc>
          <w:tcPr>
            <w:tcW w:type="dxa" w:w="2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المخوَّل</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احتياج ← طلب شراء</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نشوء الاحتياج</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احتياجٌ موثّقٌ بمصدرٍ ومرجع</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النظام / الطالب</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 اعتماد المشتريات</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اكتمال الطلب</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المورد والأصناف والتصنيف مكتملة</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مدير المشتريات</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اعتماد المشتريات ← اعتماد مالي</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الإحالة للمالية</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اجتياز مراجعة الموازنة والسيولة والصلاحيات</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الإدارة المالية</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اعتماد مالي ← أمر شراء</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إصدار الالتزام</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اعتمادٌ ماليٌّ صريح</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المشتريات</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شراء ← استلام أولي</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تسليم المورد</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استلام المواد (قد يكون خارج المخزن)</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المستلِم / الناقل</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استلام أولي ← عهدة استلام</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تسجيل العهدة</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استلامٌ خارج الوجهة النهائية</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المستلِم</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عهدة استلام ← ترحيل</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الحاجة للنقل</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وجهةٌ غير المخزن أو نقلٌ مطلوب</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النقل والترحيل (S06)</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ترحيل ← استلام نهائي</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الوصول للوجهة</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تأكيد الوصول (مخزن/مشروع/معدة)</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جهة الوجهة</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استلام نهائي ← مخزون/مباشر</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الإدخال أو الاستخدام</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حسب المسار المعتمد</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أمين المخزن / الموقع</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مخزون ← صرف</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الصرف</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صرفٍ بمصدرٍ صحيح</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أمين المخزن</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صرف ← استهلاك</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تأكيد الاستهلاك</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عهدة صرفٍ مرتبطةٌ بأمر/معدة</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الصيانة / التشغيل</w:t>
            </w:r>
          </w:p>
        </w:tc>
      </w:tr>
      <w:tr>
        <w:tc>
          <w:tcPr>
            <w:tcW w:type="dxa" w:w="2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أيّ حالة ← إقفال</w:t>
            </w:r>
          </w:p>
        </w:tc>
        <w:tc>
          <w:tcPr>
            <w:tcW w:type="dxa" w:w="2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المطابقة والإقفال</w:t>
            </w:r>
          </w:p>
        </w:tc>
        <w:tc>
          <w:tcPr>
            <w:tcW w:type="dxa" w:w="30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مطابقة الفاتورة</w:t>
            </w:r>
          </w:p>
        </w:tc>
        <w:tc>
          <w:tcPr>
            <w:tcW w:type="dxa" w:w="2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المالية</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لا يصدر أمر الشراء (الالتزام على الشركة) قبل الاعتماد المالي. وكل استلامٍ أولي خارج المخزن يُنشئ عهدة استلامٍ مؤقت باسم المستلِم حتى الوجهة، فلا تختفي المواد بين المورد والمخزن. والمواد التي لا تدخل المخزن تُرحَّل بأمر ترحيلٍ مرتبط (S06).</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ربط المشتريات بخطط الصيانة    ·    7  </w:t>
      </w:r>
    </w:p>
    <w:p>
      <w:pPr>
        <w:bidi/>
        <w:spacing w:after="120" w:before="40" w:line="264"/>
        <w:jc w:val="right"/>
      </w:pPr>
      <w:r>
        <w:rPr>
          <w:rFonts w:ascii="Arial" w:cs="Arial" w:eastAsia="Arial" w:hAnsi="Arial"/>
          <w:b w:val="false"/>
          <w:bCs w:val="false"/>
          <w:i w:val="false"/>
          <w:iCs w:val="false"/>
          <w:color w:val="222222"/>
          <w:sz w:val="20"/>
          <w:szCs w:val="20"/>
          <w:rtl/>
        </w:rPr>
        <w:t xml:space="preserve">لتفادي الطلب اليدوي المنفصل، تنشأ احتياجات الشراء من مصادر تشغيلية حقيقية، فتصبح المشتريات نتيجةً للاحتياج لا سبباً منفصلاً. وتُعتمد أربعة مصادر:</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5040"/>
        <w:gridCol w:w="230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مصدر الاحتياج</w:t>
            </w:r>
          </w:p>
        </w:tc>
        <w:tc>
          <w:tcPr>
            <w:tcW w:type="dxa" w:w="50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الوصف</w:t>
            </w:r>
          </w:p>
        </w:tc>
        <w:tc>
          <w:tcPr>
            <w:tcW w:type="dxa" w:w="23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المخرَج</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خطة الصيانة الوقائية</w:t>
            </w:r>
          </w:p>
        </w:tc>
        <w:tc>
          <w:tcPr>
            <w:tcW w:type="dxa" w:w="5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برامج 250 / 500 / 1000 / 2000 ساعة تولّد احتياج أطقمٍ وفلاترٍ وزيوتٍ قبل موعد الخدمة</w:t>
            </w:r>
          </w:p>
        </w:tc>
        <w:tc>
          <w:tcPr>
            <w:tcW w:type="dxa" w:w="2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شراءٍ وقائي مخطّط</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أمر الصيانة</w:t>
            </w:r>
          </w:p>
        </w:tc>
        <w:tc>
          <w:tcPr>
            <w:tcW w:type="dxa" w:w="5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عطلٌ (تصحيحي) أو إصلاحٌ جذري (رأسمالي) يتطلّب قطعاً غير متوفّرة</w:t>
            </w:r>
          </w:p>
        </w:tc>
        <w:tc>
          <w:tcPr>
            <w:tcW w:type="dxa" w:w="2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شراءٍ مرتبطٌ بالأمر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نقص المخزون</w:t>
            </w:r>
          </w:p>
        </w:tc>
        <w:tc>
          <w:tcPr>
            <w:tcW w:type="dxa" w:w="5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هبوط رصيد صنفٍ مخزّن دون الحد الأدنى المعتمد</w:t>
            </w:r>
          </w:p>
        </w:tc>
        <w:tc>
          <w:tcPr>
            <w:tcW w:type="dxa" w:w="2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تجديدٍ للمخزون</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إعادة الطلب التلقائي</w:t>
            </w:r>
          </w:p>
        </w:tc>
        <w:tc>
          <w:tcPr>
            <w:tcW w:type="dxa" w:w="5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بلوغ نقطة إعادة الطلب لقطعةٍ حرجة وفق حدودها</w:t>
            </w:r>
          </w:p>
        </w:tc>
        <w:tc>
          <w:tcPr>
            <w:tcW w:type="dxa" w:w="2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اقتراح/طلبٌ آلي</w:t>
            </w:r>
          </w:p>
        </w:tc>
      </w:tr>
    </w:tbl>
    <w:p>
      <w:pPr>
        <w:spacing w:after="6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مصدر احتياجٍ تشغيلي  (خطة وقائية / أمر صيانة / نقص مخزون / إعادة طلب)</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طلب الشراء التشغيلي — يحمل المصدر والمرجع والتصنيف</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يُكمِل مسار الاعتماد ← أمر الشراء ← الاستلام ← الصرف</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تصبح المشتريات نتيجةً للاحتياج التشغيلي الفعلي لا طلباً يدوياً منفصلاً؛ ويحمل كل طلبٍ مصدره ومرجعه (خطة/أمر صيانة/نقطة طلب) للربط مع الصيانة (</w:t>
            </w:r>
            <w:r>
              <w:rPr>
                <w:rFonts w:ascii="Arial" w:cs="Arial" w:eastAsia="Arial" w:hAnsi="Arial"/>
                <w:b w:val="false"/>
                <w:bCs w:val="false"/>
                <w:color w:val="1F4E79"/>
                <w:sz w:val="19"/>
                <w:szCs w:val="19"/>
              </w:rPr>
              <w:t xml:space="preserve">S08</w:t>
            </w:r>
            <w:r>
              <w:rPr>
                <w:rFonts w:ascii="Arial" w:cs="Arial" w:eastAsia="Arial" w:hAnsi="Arial"/>
                <w:b w:val="false"/>
                <w:bCs w:val="false"/>
                <w:i w:val="false"/>
                <w:iCs w:val="false"/>
                <w:color w:val="1F4E79"/>
                <w:sz w:val="20"/>
                <w:szCs w:val="20"/>
                <w:rtl/>
              </w:rPr>
              <w:t xml:space="preserve">).</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إدارة القطع الحرجة    ·    8  </w:t>
      </w:r>
    </w:p>
    <w:p>
      <w:pPr>
        <w:bidi/>
        <w:spacing w:after="120" w:before="40" w:line="264"/>
        <w:jc w:val="right"/>
      </w:pPr>
      <w:r>
        <w:rPr>
          <w:rFonts w:ascii="Arial" w:cs="Arial" w:eastAsia="Arial" w:hAnsi="Arial"/>
          <w:b w:val="false"/>
          <w:bCs w:val="false"/>
          <w:i w:val="false"/>
          <w:iCs w:val="false"/>
          <w:color w:val="222222"/>
          <w:sz w:val="20"/>
          <w:szCs w:val="20"/>
          <w:rtl/>
        </w:rPr>
        <w:t xml:space="preserve">في قطاع التعدين، نقصُ قطعةٍ حرجةٍ واحدة قد يوقف معدةً ويوقف الإنتاج. لذلك تُمنح القطع الحرجة معاييرَ تخطيطٍ صريحة تحكم توافرها قبل نفادها:</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50"/>
        <w:gridCol w:w="3090"/>
        <w:gridCol w:w="4000"/>
      </w:tblGrid>
      <w:tr>
        <w:trPr>
          <w:tblHeader/>
        </w:trPr>
        <w:tc>
          <w:tcPr>
            <w:tcW w:type="dxa" w:w="27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المعيار</w:t>
            </w:r>
          </w:p>
        </w:tc>
        <w:tc>
          <w:tcPr>
            <w:tcW w:type="dxa" w:w="309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النموذج / الحقل</w:t>
            </w:r>
          </w:p>
        </w:tc>
        <w:tc>
          <w:tcPr>
            <w:tcW w:type="dxa" w:w="4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الغرض</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علامة القطعة الحرجة</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is_critical  (على الصنف)</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تمييز القطع التي يوقف نقصها المعدة</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الأدنى — Min</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product_min_qty</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لا يُسمح بالهبوط دونه</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الأقصى — Max</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product_max_qty</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سقف التخزين لتفادي التكدّس وتجميد المال</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نقطة إعادة الطلب — ROP</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orderpoint</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الرصيد الذي يُطلق عنده طلب التجديد</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مدة التوريد — Lead Time</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seller.delay</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الزمن من الطلب حتى الاستلام</w:t>
            </w:r>
          </w:p>
        </w:tc>
      </w:tr>
      <w:tr>
        <w:tc>
          <w:tcPr>
            <w:tcW w:type="dxa" w:w="27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مخزون الأمان — Safety</w:t>
            </w:r>
          </w:p>
        </w:tc>
        <w:tc>
          <w:tcPr>
            <w:tcW w:type="dxa" w:w="30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safety_stock</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احتياطيٌّ يغطّي تذبذب الطلب والتوريد</w:t>
            </w:r>
          </w:p>
        </w:tc>
      </w:tr>
    </w:tbl>
    <w:p>
      <w:pPr>
        <w:spacing w:after="5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bCs/>
                <w:i w:val="false"/>
                <w:iCs w:val="false"/>
                <w:color w:val="1F4E79"/>
                <w:sz w:val="20"/>
                <w:szCs w:val="20"/>
                <w:rtl/>
              </w:rPr>
              <w:t xml:space="preserve">معادلة استرشادية:  </w:t>
            </w:r>
            <w:r>
              <w:rPr>
                <w:rFonts w:ascii="Arial" w:cs="Arial" w:eastAsia="Arial" w:hAnsi="Arial"/>
                <w:b w:val="false"/>
                <w:bCs w:val="false"/>
                <w:i w:val="false"/>
                <w:iCs w:val="false"/>
                <w:color w:val="1F4E79"/>
                <w:sz w:val="20"/>
                <w:szCs w:val="20"/>
                <w:rtl/>
              </w:rPr>
              <w:t xml:space="preserve">نقطة إعادة الطلب ≈ (متوسط الاستهلاك اليومي × مدة التوريد) + مخزون الأمان.</w:t>
            </w:r>
          </w:p>
        </w:tc>
      </w:tr>
    </w:tbl>
    <w:p>
      <w:pPr>
        <w:spacing w:after="3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قواعد القطع الحرجة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تُراجَع حدود القطع الحرجة دورياً وفق الاستهلاك الفعلي ومدة التوريد، لا مرةً واحدة.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يُعتبر نقص قطعةٍ حرجة مُعالَجاً دون طلب تجديدٍ مفتوح.</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يُنبَّه مدير الصيانة والمشتريات عند هبوط أي قطعةٍ حرجة دون نقطة إعادة الطلب.</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تُربط القطعة الحرجة بالمعدة/العائلة التي تخدمها لتقدير الأثر عند النقص.</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الهدف منع توقّف المعدة بسبب نقص قطعةٍ حرجة — لا مجرّد معرفة الرصيد. فالقيمة هنا في الجاهزية، لا في الجرد.</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المخزون التشغيلي    ·    9  </w:t>
      </w:r>
    </w:p>
    <w:p>
      <w:pPr>
        <w:bidi/>
        <w:spacing w:after="120" w:before="40" w:line="264"/>
        <w:jc w:val="right"/>
      </w:pPr>
      <w:r>
        <w:rPr>
          <w:rFonts w:ascii="Arial" w:cs="Arial" w:eastAsia="Arial" w:hAnsi="Arial"/>
          <w:b w:val="false"/>
          <w:bCs w:val="false"/>
          <w:i w:val="false"/>
          <w:iCs w:val="false"/>
          <w:color w:val="222222"/>
          <w:sz w:val="20"/>
          <w:szCs w:val="20"/>
          <w:rtl/>
        </w:rPr>
        <w:t xml:space="preserve">لا يُكتفى بالرصيد الإجمالي للصنف؛ فالرصيد وحده لا يكشف ما هو متاحٌ فعلاً للصرف. لذلك يُعرَض المخزون بحالاتٍ تشغيلية تُظهر الوضع الحقيقي للقطعة عبر مخازن الشركة (المخزن · مباشر للآلية · الورشة):</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240"/>
        <w:gridCol w:w="4000"/>
      </w:tblGrid>
      <w:tr>
        <w:trPr>
          <w:tblHeader/>
        </w:trPr>
        <w:tc>
          <w:tcPr>
            <w:tcW w:type="dxa" w:w="26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الحالة التشغيلية</w:t>
            </w:r>
          </w:p>
        </w:tc>
        <w:tc>
          <w:tcPr>
            <w:tcW w:type="dxa" w:w="32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النموذج / المصدر</w:t>
            </w:r>
          </w:p>
        </w:tc>
        <w:tc>
          <w:tcPr>
            <w:tcW w:type="dxa" w:w="4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المعنى التشغيلي</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المتاح</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stock.quant.available_quantity</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القابل للصرف فوراً = الرصيد ناقص المحجوز</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المحجوز</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reserved_quantity</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مخصَّصٌ لأمر صرفٍ أو أمر صيانةٍ قائم ولم يُصرف بعد</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قيد الشراء</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purchase.order  →  incoming</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كمياتٌ على أوامر شراءٍ مؤكَّدة لم تَرِد بعد</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قيد الشحن</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stock.move  (موقع عبور)</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وردت من المورد وفي الطريق إلى المخزن</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قيد الاستلام</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stock.picking  (إدخال)</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وصلت ويجري فحصها وإدخالها للمخزن</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مصروف للمشاريع</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stock.move + project_id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خرج لمشروعٍ (الروسية / فاروس / الجودي / دال للتعدين …)</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مصروف للمعدات</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stock.move + equipment_id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خرج لمعدةٍ/آليةٍ بعينها</w:t>
            </w:r>
          </w:p>
        </w:tc>
      </w:tr>
      <w:tr>
        <w:tc>
          <w:tcPr>
            <w:tcW w:type="dxa" w:w="26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مصروف لأوامر الصيانة</w:t>
            </w:r>
          </w:p>
        </w:tc>
        <w:tc>
          <w:tcPr>
            <w:tcW w:type="dxa" w:w="32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stock.move + maintenance_order</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خرج لأمر صيانةٍ وقائي/تصحيحي/رأسمالي</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bCs/>
                <w:i w:val="false"/>
                <w:iCs w:val="false"/>
                <w:color w:val="1F4E79"/>
                <w:sz w:val="20"/>
                <w:szCs w:val="20"/>
                <w:rtl/>
              </w:rPr>
              <w:t xml:space="preserve">القاعدة المحورية:  </w:t>
            </w:r>
            <w:r>
              <w:rPr>
                <w:rFonts w:ascii="Arial" w:cs="Arial" w:eastAsia="Arial" w:hAnsi="Arial"/>
                <w:b w:val="false"/>
                <w:bCs w:val="false"/>
                <w:i w:val="false"/>
                <w:iCs w:val="false"/>
                <w:color w:val="1F4E79"/>
                <w:sz w:val="20"/>
                <w:szCs w:val="20"/>
                <w:rtl/>
              </w:rPr>
              <w:t xml:space="preserve">المتاح = الرصيد المادي − المحجوز. وتمنح هذه الحالات الإدارةَ الوضع الحقيقي للمخزون لا مجرّد رقم رصيد، فتعرف ما يمكن الاعتماد عليه اليوم وما هو في الطريق.</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سلسلة العهدة    ·    10  </w:t>
      </w:r>
    </w:p>
    <w:p>
      <w:pPr>
        <w:bidi/>
        <w:spacing w:after="120" w:before="40" w:line="264"/>
        <w:jc w:val="right"/>
      </w:pPr>
      <w:r>
        <w:rPr>
          <w:rFonts w:ascii="Arial" w:cs="Arial" w:eastAsia="Arial" w:hAnsi="Arial"/>
          <w:b w:val="false"/>
          <w:bCs w:val="false"/>
          <w:i w:val="false"/>
          <w:iCs w:val="false"/>
          <w:color w:val="222222"/>
          <w:sz w:val="20"/>
          <w:szCs w:val="20"/>
          <w:rtl/>
        </w:rPr>
        <w:t xml:space="preserve">تُطوَّر العهدة من تسجيلٍ مبسّط إلى سلسلةٍ كاملةٍ تتتبّع القطعة من لحظة صرفها حتى استهلاكها النهائي، فلا تختفي أي قطعةٍ بين المخزن والمعدة. وتُسجَّل لكل عهدةٍ الأبعاد التالية:</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700"/>
        <w:gridCol w:w="3140"/>
        <w:gridCol w:w="4000"/>
      </w:tblGrid>
      <w:tr>
        <w:trPr>
          <w:tblHeader/>
        </w:trPr>
        <w:tc>
          <w:tcPr>
            <w:tcW w:type="dxa" w:w="27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البُعد المتتبَّع</w:t>
            </w:r>
          </w:p>
        </w:tc>
        <w:tc>
          <w:tcPr>
            <w:tcW w:type="dxa" w:w="31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4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المعنى</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من استلم</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holder_id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الفني/السائق/المشرف المستلِم للعهدة</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متى استلم</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transfer_date</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 ووقت الصرف</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لأي مشروع</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project_id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المشروع المستفيد من الصرف</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لأي معدة</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equipment_id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المعدة/الآلية المستفيدة</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لأي أمر صيانة</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maintenance_order_id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الصيانة المرتبط بالصرف</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الكمية المصروفة</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qty_issued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ما خرج فعلاً من المخزن</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الكمية المرتجعة</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qty_returned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ما أُعيد للمخزن غير مستهلَك</w:t>
            </w:r>
          </w:p>
        </w:tc>
      </w:tr>
      <w:tr>
        <w:tc>
          <w:tcPr>
            <w:tcW w:type="dxa" w:w="27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الكمية المستهلكة</w:t>
            </w:r>
          </w:p>
        </w:tc>
        <w:tc>
          <w:tcPr>
            <w:tcW w:type="dxa" w:w="31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qty_consumed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ما استُهلك فعلاً = المصروفة − المرتجعة</w:t>
            </w:r>
          </w:p>
        </w:tc>
      </w:tr>
    </w:tbl>
    <w:p>
      <w:pPr>
        <w:spacing w:after="5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صرفٌ من المخزن  →  عهدةٌ على المستلِم (معدة / مشروع / أمر صيانة)</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تأكيد الاستهلاك  أو  إرجاع غير المستهلَك</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إقفال العهدة  →  الكمية المستهلكة = المصروفة − المرتجعة</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بهذه السلسلة يمكن تتبّع أي قطعةٍ أو مادةٍ منذ دخولها المخزن وحتى استهلاكها النهائي، ومعرفة الكمية المصروفة والمرتجعة والمستهلكة لكل معدةٍ ومشروعٍ وأمر صيانة — بلا فاقدٍ مجهول.</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ربط التكلفة بمصدر الاستهلاك    ·    11  </w:t>
      </w:r>
    </w:p>
    <w:p>
      <w:pPr>
        <w:bidi/>
        <w:spacing w:after="120" w:before="40" w:line="264"/>
        <w:jc w:val="right"/>
      </w:pPr>
      <w:r>
        <w:rPr>
          <w:rFonts w:ascii="Arial" w:cs="Arial" w:eastAsia="Arial" w:hAnsi="Arial"/>
          <w:b w:val="false"/>
          <w:bCs w:val="false"/>
          <w:i w:val="false"/>
          <w:iCs w:val="false"/>
          <w:color w:val="222222"/>
          <w:sz w:val="20"/>
          <w:szCs w:val="20"/>
          <w:rtl/>
        </w:rPr>
        <w:t xml:space="preserve">هذه نقطةٌ جوهرية: لا قيمة لمعرفة الإنفاق دون معرفة مصدره. لذلك يكون كل صرفٍ قابلاً للتحميل على ستة أبعاد، فتُبنى تكلفةٌ دقيقةٌ من الواقع لا من التقدير:</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440"/>
        <w:gridCol w:w="4000"/>
      </w:tblGrid>
      <w:tr>
        <w:trPr>
          <w:tblHeader/>
        </w:trPr>
        <w:tc>
          <w:tcPr>
            <w:tcW w:type="dxa" w:w="24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بُعد التحميل</w:t>
            </w:r>
          </w:p>
        </w:tc>
        <w:tc>
          <w:tcPr>
            <w:tcW w:type="dxa" w:w="34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النموذج / الحقل</w:t>
            </w:r>
          </w:p>
        </w:tc>
        <w:tc>
          <w:tcPr>
            <w:tcW w:type="dxa" w:w="4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يُمكِّن من تحليل</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معدة</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equipment_id  →  analytic</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المعدة عبر عمرها التشغيلي</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مشروع</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project_id  →  analytic</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الإمداد لكل مشروع</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صيانة</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maintenance_order_id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أمر الصيانة الواحد</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نوع الصيانة</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maintenance_type</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الوقائية / التصحيحية / الرأسمالية</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عقد</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contract_id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تكلفة/ربحية العقد وفق نموذجه (مع حدود الوقود)</w:t>
            </w:r>
          </w:p>
        </w:tc>
      </w:tr>
      <w:tr>
        <w:tc>
          <w:tcPr>
            <w:tcW w:type="dxa" w:w="24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مورد</w:t>
            </w:r>
          </w:p>
        </w:tc>
        <w:tc>
          <w:tcPr>
            <w:tcW w:type="dxa" w:w="34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partner_id</w:t>
            </w:r>
          </w:p>
        </w:tc>
        <w:tc>
          <w:tcPr>
            <w:tcW w:type="dxa" w:w="4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المورد والتزامه (أعلى الموردين إنفاقاً)</w:t>
            </w:r>
          </w:p>
        </w:tc>
      </w:tr>
    </w:tbl>
    <w:p>
      <w:pPr>
        <w:spacing w:after="5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صرفٌ بأبعادٍ مكتملة  (معدة · مشروع · أمر صيانة · نوع · عقد · مورد)</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قيدٌ تحليلي يحمل التكلفة إلى مصدرها</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تقارير التكلفة والجاهزية</w:t>
            </w:r>
          </w:p>
        </w:tc>
      </w:tr>
    </w:tbl>
    <w:p>
      <w:pPr>
        <w:spacing w:after="4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ما يُمكِّنه ربط التكلفة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تكلفة المعدة — إجمالي ما أُنفق على قطعها وموادها وصيانتها.</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تكلفة المشروع — كلفة الإمداد التشغيلي المحمَّلة على كل مشروع.</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تكلفة الصيانة — موزَّعةً على الوقائية والتصحيحية والرأسمالية.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تكلفة الجاهزية — كلفة إبقاء المعدة جاهزةً للإنتاج.</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بدقةٍ عالية: لأن البُعد يُلتقط لحظة الصرف لا بالتقدير اللاحق، تصبح كل تكلفةٍ منسوبةً إلى مصدرها الحقيقي، فتُغذّي تحليل تكلفة المعدة والمشروع والصيانة والجاهزية مباشرةً.</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المحرّكات المرتبطة    ·    12  </w:t>
      </w:r>
    </w:p>
    <w:p>
      <w:pPr>
        <w:bidi/>
        <w:spacing w:after="120" w:before="40" w:line="264"/>
        <w:jc w:val="right"/>
      </w:pPr>
      <w:r>
        <w:rPr>
          <w:rFonts w:ascii="Arial" w:cs="Arial" w:eastAsia="Arial" w:hAnsi="Arial"/>
          <w:b w:val="false"/>
          <w:bCs w:val="false"/>
          <w:i w:val="false"/>
          <w:iCs w:val="false"/>
          <w:color w:val="222222"/>
          <w:sz w:val="20"/>
          <w:szCs w:val="20"/>
          <w:rtl/>
        </w:rPr>
        <w:t xml:space="preserve">تقوم الإدارة على محرّكاتٍ تشغيليةٍ تضمن أن كل حركةٍ تنشأ من احتياجٍ حقيقي وتُحمَّل على مصدرها الصحيح:</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4040"/>
        <w:gridCol w:w="3000"/>
      </w:tblGrid>
      <w:tr>
        <w:trPr>
          <w:tblHeader/>
        </w:trPr>
        <w:tc>
          <w:tcPr>
            <w:tcW w:type="dxa" w:w="28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المحرّك</w:t>
            </w:r>
          </w:p>
        </w:tc>
        <w:tc>
          <w:tcPr>
            <w:tcW w:type="dxa" w:w="40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الوظيفة</w:t>
            </w:r>
          </w:p>
        </w:tc>
        <w:tc>
          <w:tcPr>
            <w:tcW w:type="dxa" w:w="3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المُخرَج</w:t>
            </w:r>
          </w:p>
        </w:tc>
      </w:tr>
      <w:tr>
        <w:tc>
          <w:tcPr>
            <w:tcW w:type="dxa" w:w="2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محرّك الحدث</w:t>
            </w:r>
            <w:r>
              <w:rPr>
                <w:rFonts w:ascii="Arial" w:cs="Arial" w:eastAsia="Arial" w:hAnsi="Arial"/>
                <w:b w:val="false"/>
                <w:bCs w:val="false"/>
                <w:color w:val="2E75B6"/>
                <w:sz w:val="18"/>
                <w:szCs w:val="18"/>
              </w:rPr>
              <w:t xml:space="preserve">  · Event</w:t>
            </w:r>
          </w:p>
        </w:tc>
        <w:tc>
          <w:tcPr>
            <w:tcW w:type="dxa" w:w="4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يحوّل الأحداث التشغيلية (خطة وقائية / أمر صيانة / نقص مخزون) إلى احتياج شراء</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طلب شراءٍ بمصدرٍ ومرجع</w:t>
            </w:r>
          </w:p>
        </w:tc>
      </w:tr>
      <w:tr>
        <w:tc>
          <w:tcPr>
            <w:tcW w:type="dxa" w:w="2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محرّك إعادة الطلب</w:t>
            </w:r>
            <w:r>
              <w:rPr>
                <w:rFonts w:ascii="Arial" w:cs="Arial" w:eastAsia="Arial" w:hAnsi="Arial"/>
                <w:b w:val="false"/>
                <w:bCs w:val="false"/>
                <w:color w:val="2E75B6"/>
                <w:sz w:val="18"/>
                <w:szCs w:val="18"/>
              </w:rPr>
              <w:t xml:space="preserve">  · Reordering</w:t>
            </w:r>
          </w:p>
        </w:tc>
        <w:tc>
          <w:tcPr>
            <w:tcW w:type="dxa" w:w="4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يراقب أرصدة القطع الحرجة مقابل نقطة إعادة الطلب وحدودها</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اقتراح/طلب تجديدٍ آلي</w:t>
            </w:r>
          </w:p>
        </w:tc>
      </w:tr>
      <w:tr>
        <w:tc>
          <w:tcPr>
            <w:tcW w:type="dxa" w:w="2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محرّك واقع العهدة</w:t>
            </w:r>
            <w:r>
              <w:rPr>
                <w:rFonts w:ascii="Arial" w:cs="Arial" w:eastAsia="Arial" w:hAnsi="Arial"/>
                <w:b w:val="false"/>
                <w:bCs w:val="false"/>
                <w:color w:val="2E75B6"/>
                <w:sz w:val="18"/>
                <w:szCs w:val="18"/>
              </w:rPr>
              <w:t xml:space="preserve">  · Custody</w:t>
            </w:r>
          </w:p>
        </w:tc>
        <w:tc>
          <w:tcPr>
            <w:tcW w:type="dxa" w:w="4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يثبّت من استلم ولأي معدة، ويوازن المستهلَك مقابل المرتجَع</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عهدةٌ دقيقةٌ قابلة للتتبّع</w:t>
            </w:r>
          </w:p>
        </w:tc>
      </w:tr>
      <w:tr>
        <w:tc>
          <w:tcPr>
            <w:tcW w:type="dxa" w:w="2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محرّك التكلفة</w:t>
            </w:r>
            <w:r>
              <w:rPr>
                <w:rFonts w:ascii="Arial" w:cs="Arial" w:eastAsia="Arial" w:hAnsi="Arial"/>
                <w:b w:val="false"/>
                <w:bCs w:val="false"/>
                <w:color w:val="2E75B6"/>
                <w:sz w:val="18"/>
                <w:szCs w:val="18"/>
              </w:rPr>
              <w:t xml:space="preserve">  · Costing</w:t>
            </w:r>
          </w:p>
        </w:tc>
        <w:tc>
          <w:tcPr>
            <w:tcW w:type="dxa" w:w="40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يوجّه كل صرفٍ إلى أبعاده (معدة/مشروع/أمر/نوع/عقد/مورد)</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قيودٌ تحليلية وتقارير تكلفة</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هذه المحرّكات تجعل النظام يتصرّف كإدارة إمدادٍ تشغيلية: الحدث يولّد الاحتياج، والاحتياج يولّد الطلب، والصرف يثبّت العهدة والتكلفة — تلقائياً ومن مصدرٍ واحد.</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التكامل مع الإدارات الأخرى    ·    13  </w:t>
      </w:r>
    </w:p>
    <w:p>
      <w:pPr>
        <w:bidi/>
        <w:spacing w:after="120" w:before="40" w:line="264"/>
        <w:jc w:val="right"/>
      </w:pPr>
      <w:r>
        <w:rPr>
          <w:rFonts w:ascii="Arial" w:cs="Arial" w:eastAsia="Arial" w:hAnsi="Arial"/>
          <w:b w:val="false"/>
          <w:bCs w:val="false"/>
          <w:i w:val="false"/>
          <w:iCs w:val="false"/>
          <w:color w:val="222222"/>
          <w:sz w:val="20"/>
          <w:szCs w:val="20"/>
          <w:rtl/>
        </w:rPr>
        <w:t xml:space="preserve">لا تعمل إدارة الإمداد التشغيلي معزولة؛ فرحلة المادة تمرّ عبر المالية (للاعتماد) والنقل والترحيل (للتحريك) والمخزون (للاستلام النهائي)، وتنشأ من الصيانة والتشغيل. وفيما يلي حدود التكامل ومراجعه كما تتمّ على أرض الواقع:</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350"/>
        <w:gridCol w:w="4490"/>
        <w:gridCol w:w="3000"/>
      </w:tblGrid>
      <w:tr>
        <w:trPr>
          <w:tblHeader/>
        </w:trPr>
        <w:tc>
          <w:tcPr>
            <w:tcW w:type="dxa" w:w="235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الإدارة</w:t>
            </w:r>
          </w:p>
        </w:tc>
        <w:tc>
          <w:tcPr>
            <w:tcW w:type="dxa" w:w="449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طبيعة التكامل</w:t>
            </w:r>
          </w:p>
        </w:tc>
        <w:tc>
          <w:tcPr>
            <w:tcW w:type="dxa" w:w="30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مصدر الحقيقة / المرجع</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المالية</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اعتماد الموازنة والسيولة وحدود الصلاحيات قبل إصدار أمر الشراء، ثم مطابقة الفواتير والترحيل التحليلي</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account.budget / account.move</w:t>
            </w:r>
            <w:r>
              <w:rPr>
                <w:rFonts w:ascii="Arial" w:cs="Arial" w:eastAsia="Arial" w:hAnsi="Arial"/>
                <w:b w:val="false"/>
                <w:bCs w:val="false"/>
                <w:i w:val="false"/>
                <w:iCs w:val="false"/>
                <w:color w:val="222222"/>
                <w:sz w:val="18"/>
                <w:szCs w:val="18"/>
                <w:rtl/>
              </w:rPr>
              <w:t xml:space="preserve">  ·  </w:t>
            </w:r>
            <w:r>
              <w:rPr>
                <w:rFonts w:ascii="Arial" w:cs="Arial" w:eastAsia="Arial" w:hAnsi="Arial"/>
                <w:b w:val="false"/>
                <w:bCs w:val="false"/>
                <w:color w:val="222222"/>
                <w:sz w:val="19"/>
                <w:szCs w:val="19"/>
              </w:rPr>
              <w:t xml:space="preserve">D04</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النقل والترحيل</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إنشاء/ربط أمر ترحيلٍ لتحريك المواد من الاستلام الأولي إلى المشروع/الورشة/المعدة</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stock.picking</w:t>
            </w:r>
            <w:r>
              <w:rPr>
                <w:rFonts w:ascii="Arial" w:cs="Arial" w:eastAsia="Arial" w:hAnsi="Arial"/>
                <w:b w:val="false"/>
                <w:bCs w:val="false"/>
                <w:i w:val="false"/>
                <w:iCs w:val="false"/>
                <w:color w:val="222222"/>
                <w:sz w:val="18"/>
                <w:szCs w:val="18"/>
                <w:rtl/>
              </w:rPr>
              <w:t xml:space="preserve">  ·  </w:t>
            </w:r>
            <w:r>
              <w:rPr>
                <w:rFonts w:ascii="Arial" w:cs="Arial" w:eastAsia="Arial" w:hAnsi="Arial"/>
                <w:b w:val="false"/>
                <w:bCs w:val="false"/>
                <w:color w:val="222222"/>
                <w:sz w:val="19"/>
                <w:szCs w:val="19"/>
              </w:rPr>
              <w:t xml:space="preserve">S06</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المخزون</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الاستلام النهائي وإدخال المواد التي تدخل المخزن فعلاً (دون تفاصيل الجرد والمواقع)</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stock.picking / quant</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الصيانة</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أوامر الصيانة وخططها الوقائية مصدرُ الاحتياج؛ والصرف يُحمَّل على أمر الصيانة ونوعه</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maintenance.request</w:t>
            </w:r>
            <w:r>
              <w:rPr>
                <w:rFonts w:ascii="Arial" w:cs="Arial" w:eastAsia="Arial" w:hAnsi="Arial"/>
                <w:b w:val="false"/>
                <w:bCs w:val="false"/>
                <w:i w:val="false"/>
                <w:iCs w:val="false"/>
                <w:color w:val="222222"/>
                <w:sz w:val="18"/>
                <w:szCs w:val="18"/>
                <w:rtl/>
              </w:rPr>
              <w:t xml:space="preserve">  ·  </w:t>
            </w:r>
            <w:r>
              <w:rPr>
                <w:rFonts w:ascii="Arial" w:cs="Arial" w:eastAsia="Arial" w:hAnsi="Arial"/>
                <w:b w:val="false"/>
                <w:bCs w:val="false"/>
                <w:color w:val="222222"/>
                <w:sz w:val="19"/>
                <w:szCs w:val="19"/>
              </w:rPr>
              <w:t xml:space="preserve">S08</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التشغيل</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جاهزية المعدات ومستهدفات الإنتاج تحدّد أولوية الإمداد</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S07</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الأسطول / المعدات</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تعريف المعدات والآليات التي تُصرف لها القطع وتُحمَّل عليها التكلفة</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maintenance.equipment / fleet.vehicle</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موردو الآليات</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مختلفون عن موردي الإمداد التشغيلي — لا ينطبق هنا هرم الحصص</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S02</w:t>
            </w:r>
          </w:p>
        </w:tc>
      </w:tr>
      <w:tr>
        <w:tc>
          <w:tcPr>
            <w:tcW w:type="dxa" w:w="235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الموردون التشغيليون</w:t>
            </w:r>
          </w:p>
        </w:tc>
        <w:tc>
          <w:tcPr>
            <w:tcW w:type="dxa" w:w="449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موردو القطع والزيوت والفلاتر وخدمات الإصلاح</w:t>
            </w:r>
          </w:p>
        </w:tc>
        <w:tc>
          <w:tcPr>
            <w:tcW w:type="dxa" w:w="30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res.partner</w:t>
            </w:r>
            <w:r>
              <w:rPr>
                <w:rFonts w:ascii="Arial" w:cs="Arial" w:eastAsia="Arial" w:hAnsi="Arial"/>
                <w:b w:val="false"/>
                <w:bCs w:val="false"/>
                <w:i w:val="false"/>
                <w:iCs w:val="false"/>
                <w:color w:val="222222"/>
                <w:sz w:val="18"/>
                <w:szCs w:val="18"/>
                <w:rtl/>
              </w:rPr>
              <w:t xml:space="preserve">  (مورد تشغيلي)</w:t>
            </w:r>
          </w:p>
        </w:tc>
      </w:tr>
    </w:tbl>
    <w:p>
      <w:pPr>
        <w:spacing w:after="4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نطاق المراجعة المالية قبل الالتزام</w:t>
      </w:r>
    </w:p>
    <w:p>
      <w:pPr>
        <w:bidi/>
        <w:spacing w:after="120" w:before="40" w:line="264"/>
        <w:jc w:val="right"/>
      </w:pPr>
      <w:r>
        <w:rPr>
          <w:rFonts w:ascii="Arial" w:cs="Arial" w:eastAsia="Arial" w:hAnsi="Arial"/>
          <w:b w:val="false"/>
          <w:bCs w:val="false"/>
          <w:i w:val="false"/>
          <w:iCs w:val="false"/>
          <w:color w:val="222222"/>
          <w:sz w:val="20"/>
          <w:szCs w:val="20"/>
          <w:rtl/>
        </w:rPr>
        <w:t xml:space="preserve">قبل تحويل الطلب المعتمد إلى أمر شراء، تُجري الإدارة المالية المراجعة التالية كحدٍّ أدنى:</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توفّر الموازنة المعتمدة للبند.</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توفّر السيولة لتغطية الالتزام.</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التزام حدود الصلاحيات المالية.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التوافق مع الخطة المعتمدة.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مراجعة الأسعار عند الحاجة.</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مصدر حقيقةٍ واحد: المعدة والمورد والصنف يُعرَّف كلٌّ منها مرةً واحدة وتشير إليه كل الإدارات. والمالية بوابةٌ سابقةٌ للالتزام لا مجرّد مطابقةٍ لاحقة، والترحيل يتم عبر النقل والترحيل (</w:t>
            </w:r>
            <w:r>
              <w:rPr>
                <w:rFonts w:ascii="Arial" w:cs="Arial" w:eastAsia="Arial" w:hAnsi="Arial"/>
                <w:b w:val="false"/>
                <w:bCs w:val="false"/>
                <w:color w:val="1F4E79"/>
                <w:sz w:val="19"/>
                <w:szCs w:val="19"/>
              </w:rPr>
              <w:t xml:space="preserve">S06</w:t>
            </w:r>
            <w:r>
              <w:rPr>
                <w:rFonts w:ascii="Arial" w:cs="Arial" w:eastAsia="Arial" w:hAnsi="Arial"/>
                <w:b w:val="false"/>
                <w:bCs w:val="false"/>
                <w:i w:val="false"/>
                <w:iCs w:val="false"/>
                <w:color w:val="1F4E79"/>
                <w:sz w:val="20"/>
                <w:szCs w:val="20"/>
                <w:rtl/>
              </w:rPr>
              <w:t xml:space="preserve">)، وموردو الإمداد التشغيلي ليسوا موردي الآليات (</w:t>
            </w:r>
            <w:r>
              <w:rPr>
                <w:rFonts w:ascii="Arial" w:cs="Arial" w:eastAsia="Arial" w:hAnsi="Arial"/>
                <w:b w:val="false"/>
                <w:bCs w:val="false"/>
                <w:color w:val="1F4E79"/>
                <w:sz w:val="19"/>
                <w:szCs w:val="19"/>
              </w:rPr>
              <w:t xml:space="preserve">S02</w:t>
            </w:r>
            <w:r>
              <w:rPr>
                <w:rFonts w:ascii="Arial" w:cs="Arial" w:eastAsia="Arial" w:hAnsi="Arial"/>
                <w:b w:val="false"/>
                <w:bCs w:val="false"/>
                <w:i w:val="false"/>
                <w:iCs w:val="false"/>
                <w:color w:val="1F4E79"/>
                <w:sz w:val="20"/>
                <w:szCs w:val="20"/>
                <w:rtl/>
              </w:rPr>
              <w:t xml:space="preserve">).</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القواعد الحاكمة    ·    14  </w:t>
      </w:r>
    </w:p>
    <w:p>
      <w:pPr>
        <w:bidi/>
        <w:spacing w:after="120" w:before="40" w:line="264"/>
        <w:jc w:val="right"/>
      </w:pPr>
      <w:r>
        <w:rPr>
          <w:rFonts w:ascii="Arial" w:cs="Arial" w:eastAsia="Arial" w:hAnsi="Arial"/>
          <w:b w:val="false"/>
          <w:bCs w:val="false"/>
          <w:i w:val="false"/>
          <w:iCs w:val="false"/>
          <w:color w:val="222222"/>
          <w:sz w:val="20"/>
          <w:szCs w:val="20"/>
          <w:rtl/>
        </w:rPr>
        <w:t xml:space="preserve">تحكم العملَ مجموعةُ قواعدٍ ثابتة تضمن أن المشتريات إمدادٌ تشغيليٌّ يعكس رحلة التوريد الفعلية: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يصدر أمر شراء (التزامٌ على الشركة) قبل </w:t>
      </w:r>
      <w:r>
        <w:rPr>
          <w:rFonts w:ascii="Arial" w:cs="Arial" w:eastAsia="Arial" w:hAnsi="Arial"/>
          <w:b/>
          <w:bCs/>
          <w:i w:val="false"/>
          <w:iCs w:val="false"/>
          <w:color w:val="1F4E79"/>
          <w:sz w:val="20"/>
          <w:szCs w:val="20"/>
          <w:rtl/>
        </w:rPr>
        <w:t xml:space="preserve">الاعتماد المالي</w:t>
      </w:r>
      <w:r>
        <w:rPr>
          <w:rFonts w:ascii="Arial" w:cs="Arial" w:eastAsia="Arial" w:hAnsi="Arial"/>
          <w:b w:val="false"/>
          <w:bCs w:val="false"/>
          <w:i w:val="false"/>
          <w:iCs w:val="false"/>
          <w:color w:val="222222"/>
          <w:sz w:val="20"/>
          <w:szCs w:val="20"/>
          <w:rtl/>
        </w:rPr>
        <w:t xml:space="preserve"> (موازنة / سيولة / صلاحيات / خطة / أسعار).</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يُفصل الاستلام الأولي عن الاستلام النهائي؛ وكل استلامٍ أولي خارج المخزن يُنشئ عهدة استلامٍ مؤقت باسم المستلِم حتى الوجهة.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المواد التي لا تدخل المخزن تُرحَّل بأمر ترحيلٍ مرتبط (</w:t>
      </w:r>
      <w:r>
        <w:rPr>
          <w:rFonts w:ascii="Arial" w:cs="Arial" w:eastAsia="Arial" w:hAnsi="Arial"/>
          <w:b w:val="false"/>
          <w:bCs w:val="false"/>
          <w:color w:val="222222"/>
          <w:sz w:val="19"/>
          <w:szCs w:val="19"/>
        </w:rPr>
        <w:t xml:space="preserve">S06</w:t>
      </w:r>
      <w:r>
        <w:rPr>
          <w:rFonts w:ascii="Arial" w:cs="Arial" w:eastAsia="Arial" w:hAnsi="Arial"/>
          <w:b w:val="false"/>
          <w:bCs w:val="false"/>
          <w:i w:val="false"/>
          <w:iCs w:val="false"/>
          <w:color w:val="222222"/>
          <w:sz w:val="20"/>
          <w:szCs w:val="20"/>
          <w:rtl/>
        </w:rPr>
        <w:t xml:space="preserve">) إلى المشروع/الورشة/المعدة.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يدعم النظام مسارين صريحين: المسار عبر المخزن، والاستلام المباشر للمعدة/المشروع.</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موردو الإمداد التشغيلي ليسوا موردي الآليات؛ لا يوجد هرم حصصٍ في هذه الإدارة (راجع </w:t>
      </w:r>
      <w:r>
        <w:rPr>
          <w:rFonts w:ascii="Arial" w:cs="Arial" w:eastAsia="Arial" w:hAnsi="Arial"/>
          <w:b w:val="false"/>
          <w:bCs w:val="false"/>
          <w:color w:val="222222"/>
          <w:sz w:val="19"/>
          <w:szCs w:val="19"/>
        </w:rPr>
        <w:t xml:space="preserve">S02</w:t>
      </w:r>
      <w:r>
        <w:rPr>
          <w:rFonts w:ascii="Arial" w:cs="Arial" w:eastAsia="Arial" w:hAnsi="Arial"/>
          <w:b w:val="false"/>
          <w:bCs w:val="false"/>
          <w:i w:val="false"/>
          <w:iCs w:val="false"/>
          <w:color w:val="222222"/>
          <w:sz w:val="20"/>
          <w:szCs w:val="20"/>
          <w:rtl/>
        </w:rPr>
        <w:t xml:space="preserve">).</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المخزون يُدار بالجرد المستمر؛ كل حركةٍ تُحدّث الرصيد والتكلفة فور حدوثها.</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كل صرفٍ يُنشئ عهدة صرفٍ تُتابَع حتى الاستهلاك أو الإرجاع — لا صرفَ بلا عهدة.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التصنيف التشغيلي (وقائية / تصحيحية / رأسمالية / استهلاكية) إلزاميٌّ على الطلب والأمر والصرف.</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تُترك قطعةٌ حرجة دون نقطة إعادة طلبٍ وحدودٍ معتمدة.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الوقود يُعالَج وفق نموذج العقد، ولا يُفترض أنه دائماً على الشركة.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كل تكلفةٍ تُحمَّل على مصدرها (معدة / مشروع / أمر صيانة / نوع / عقد / مورد) لحظة الصرف.</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تفاصيل الجرد والمواقع التخزينية والتحويلات والجرد الدوري تبقى في وثيقة المخزون؛ وهذه الوثيقة تُظهر رحلة المادة لا آليات التخزين.</w:t>
      </w:r>
    </w:p>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مواصفات الشاشات    ·    15  </w:t>
      </w:r>
    </w:p>
    <w:p>
      <w:pPr>
        <w:bidi/>
        <w:spacing w:after="120" w:before="40" w:line="264"/>
        <w:jc w:val="right"/>
      </w:pPr>
      <w:r>
        <w:rPr>
          <w:rFonts w:ascii="Arial" w:cs="Arial" w:eastAsia="Arial" w:hAnsi="Arial"/>
          <w:b w:val="false"/>
          <w:bCs w:val="false"/>
          <w:i w:val="false"/>
          <w:iCs w:val="false"/>
          <w:color w:val="222222"/>
          <w:sz w:val="20"/>
          <w:szCs w:val="20"/>
          <w:rtl/>
        </w:rPr>
        <w:t xml:space="preserve">تلتزم الشاشات فلسفةَ عدم إنشاء شاشةٍ جديدة إلا عند الحاجة الحقيقية؛ فالأغلب توسيعٌ لشاشاتٍ قائمة، وما هو جديدٌ يخدم بوابة الاعتماد المالي وعهدة الاستلام المؤقت والترحيل. ويُوصَّف كلٌّ منها بالنموذج والهدف وقاموس الحقول وآلة الحالة والقواعد.</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15.1  ·  </w:t>
      </w:r>
      <w:r>
        <w:rPr>
          <w:rFonts w:ascii="Arial" w:cs="Arial" w:eastAsia="Arial" w:hAnsi="Arial"/>
          <w:b/>
          <w:bCs/>
          <w:i w:val="false"/>
          <w:iCs w:val="false"/>
          <w:color w:val="1F4E79"/>
          <w:sz w:val="26"/>
          <w:szCs w:val="26"/>
          <w:rtl/>
        </w:rPr>
        <w:t xml:space="preserve">طلب الشراء التشغيلي</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Operational Purchase Requisition</w:t>
      </w:r>
    </w:p>
    <w:p>
      <w:pPr>
        <w:bidi/>
        <w:spacing w:after="70" w:before="30"/>
        <w:jc w:val="right"/>
      </w:pPr>
      <w:r>
        <w:rPr>
          <w:rFonts w:ascii="Arial" w:cs="Arial" w:eastAsia="Arial" w:hAnsi="Arial"/>
          <w:b/>
          <w:bCs/>
          <w:color w:val="2E75B6"/>
          <w:sz w:val="21"/>
          <w:szCs w:val="21"/>
        </w:rPr>
        <w:t xml:space="preserve">purchase.requisition</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تحويل الاحتياج التشغيلي إلى طلبٍ موثَّقٍ يحمل مصدره وتصنيفه، ويمرّ باعتماد المشتريات ثم الاعتماد المالي قبل أن يصبح أمر شراء.</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الطلب</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النظام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مصدر الاحتياج</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خطة وقائية / أمر صيانة / نقص مخزون / إعادة طلب</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التصنيف التشغيلي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وقائية / تصحيحية / رأسمالية / استهلاكية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الإدارة الطالبة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العمليات / الصيانة / المشاريع / المستودعات</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 / المشروع</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maintenance.equipment / project</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الأصناف المطلوبة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بند الموازنة / الخطة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account.budget / plan</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حالة الاعتماد المالي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بانتظار / معتمد مالياً / مرفوض</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الأولوية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عادي / عاجل / حرج</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مسودة ← مُقدَّم ← اعتماد المشتريات ← مراجعة مالية ← معتمد مالياً ← محوَّل لأمر شراء ← مغلق / مرفوض</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يُعتمد الطلب دون مصدر احتياجٍ وتصنيفٍ تشغيلي.</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يتحوّل إلى أمر شراء إلا بعد الاعتماد المالي (موازنة / سيولة / صلاحيات / خطة / أسعار).</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الطلب الناشئ من أمر صيانةٍ يرث المعدة ونوع الصيانة تلقائياً.</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15.2  ·  </w:t>
      </w:r>
      <w:r>
        <w:rPr>
          <w:rFonts w:ascii="Arial" w:cs="Arial" w:eastAsia="Arial" w:hAnsi="Arial"/>
          <w:b/>
          <w:bCs/>
          <w:i w:val="false"/>
          <w:iCs w:val="false"/>
          <w:color w:val="1F4E79"/>
          <w:sz w:val="26"/>
          <w:szCs w:val="26"/>
          <w:rtl/>
        </w:rPr>
        <w:t xml:space="preserve">أمر الشراء</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Purchase Order</w:t>
      </w:r>
    </w:p>
    <w:p>
      <w:pPr>
        <w:bidi/>
        <w:spacing w:after="70" w:before="30"/>
        <w:jc w:val="right"/>
      </w:pPr>
      <w:r>
        <w:rPr>
          <w:rFonts w:ascii="Arial" w:cs="Arial" w:eastAsia="Arial" w:hAnsi="Arial"/>
          <w:b/>
          <w:bCs/>
          <w:color w:val="2E75B6"/>
          <w:sz w:val="21"/>
          <w:szCs w:val="21"/>
        </w:rPr>
        <w:t xml:space="preserve">purchase.order</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إصدار الالتزام بالشراء بعد الاعتماد المالي، مع تحديد الوجهة الأولية ونوع الاستلام المتوقع — توسعةً للشاشة القائمة لا استبدالاً لها.</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الأمر</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النظام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المورد التشغيلي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res.partner</w:t>
            </w:r>
            <w:r>
              <w:rPr>
                <w:rFonts w:ascii="Arial" w:cs="Arial" w:eastAsia="Arial" w:hAnsi="Arial"/>
                <w:b w:val="false"/>
                <w:bCs w:val="false"/>
                <w:i w:val="false"/>
                <w:iCs w:val="false"/>
                <w:color w:val="222222"/>
                <w:sz w:val="18"/>
                <w:szCs w:val="18"/>
                <w:rtl/>
              </w:rPr>
              <w:t xml:space="preserve">  (مورد تشغيلي)</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مرجع الاعتماد المالي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اعتمادٌ ماليٌّ صادر (شرط الإصدار)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مرجع طلب الشراء</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purchase.requisition</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التصنيف التشغيلي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وقائية / تصحيحية / رأسمالية / استهلاكية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 الأصناف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 + السعر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العملة وسعر الصرف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SDG / USD</w:t>
            </w:r>
            <w:r>
              <w:rPr>
                <w:rFonts w:ascii="Arial" w:cs="Arial" w:eastAsia="Arial" w:hAnsi="Arial"/>
                <w:b w:val="false"/>
                <w:bCs w:val="false"/>
                <w:i w:val="false"/>
                <w:iCs w:val="false"/>
                <w:color w:val="222222"/>
                <w:sz w:val="18"/>
                <w:szCs w:val="18"/>
                <w:rtl/>
              </w:rPr>
              <w:t xml:space="preserve">  + سعر الصرف</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وقت الدفع</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فوراً / مؤجل / آجل 30 / 60 / 90 يوم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نوع الاستلام المتوقع</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مخزن / مباشر للمعدة / مشروع / ورشة</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مسودة ← (مسبوقٌ باعتمادٍ مالي) ← أمر مؤكَّد ← استلام أولي ← استلام نهائي ← مطابَق / مغلق</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يصدر الأمر دون مرجع اعتمادٍ مالي صادر.</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الاستلام الأولي قد يكون خارج المخزن ويُنشئ عهدة استلامٍ مؤقت.</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نوع الاستلام المتوقع يحدّد المسار: عبر المخزن أو استلامٌ مباشر.</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15.3  ·  </w:t>
      </w:r>
      <w:r>
        <w:rPr>
          <w:rFonts w:ascii="Arial" w:cs="Arial" w:eastAsia="Arial" w:hAnsi="Arial"/>
          <w:b/>
          <w:bCs/>
          <w:i w:val="false"/>
          <w:iCs w:val="false"/>
          <w:color w:val="1F4E79"/>
          <w:sz w:val="26"/>
          <w:szCs w:val="26"/>
          <w:rtl/>
        </w:rPr>
        <w:t xml:space="preserve">عهدة الاستلام المؤقت</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Temporary Receipt Custody</w:t>
      </w:r>
    </w:p>
    <w:p>
      <w:pPr>
        <w:bidi/>
        <w:spacing w:after="70" w:before="30"/>
        <w:jc w:val="right"/>
      </w:pPr>
      <w:r>
        <w:rPr>
          <w:rFonts w:ascii="Arial" w:cs="Arial" w:eastAsia="Arial" w:hAnsi="Arial"/>
          <w:b/>
          <w:bCs/>
          <w:color w:val="2E75B6"/>
          <w:sz w:val="21"/>
          <w:szCs w:val="21"/>
        </w:rPr>
        <w:t xml:space="preserve">equipation.receipt.custody</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تتبّع المواد من لحظة استلامها من المورد — وغالباً خارج المخزن، كاستلامها في عطبرة أو لدى المورد — وحتى وصولها إلى وجهتها النهائية، فلا تختفي بين المورد والمخزن. شاشةٌ جديدة لكيانٍ صريح.</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العهدة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النظام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المستلِم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موظف الاستلام / المندوب / مسؤول الموقع / الناقل</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 الاستلام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receipt_date</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المورد</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res.partner</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المرجع الشرائي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purchase.order</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الكميات المستلمة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موقع الاستلام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نص / 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عطبرة / موقع المورد / الموقع …</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الوجهة النهائية المتوقعة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مخزن / ورشة / مشروع / معدة</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مستلَمة (عهدة) ← قيد الترحيل ← مسلَّمة للوجهة (استلام نهائي)</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كل استلامٍ أولي خارج الوجهة النهائية يُنشئ عهدة استلامٍ مؤقت باسم المستلِم.</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تُقفل العهدة إلا بالاستلام النهائي في الوجهة.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تختلف عهدة الاستلام المؤقت (من المورد إلى الوجهة) عن عهدة الصرف (من المخزن إلى الاستهلاك — راجع </w:t>
      </w:r>
      <w:r>
        <w:rPr>
          <w:rFonts w:ascii="Arial" w:cs="Arial" w:eastAsia="Arial" w:hAnsi="Arial"/>
          <w:b w:val="false"/>
          <w:bCs w:val="false"/>
          <w:color w:val="222222"/>
          <w:sz w:val="19"/>
          <w:szCs w:val="19"/>
        </w:rPr>
        <w:t xml:space="preserve">§10</w:t>
      </w:r>
      <w:r>
        <w:rPr>
          <w:rFonts w:ascii="Arial" w:cs="Arial" w:eastAsia="Arial" w:hAnsi="Arial"/>
          <w:b w:val="false"/>
          <w:bCs w:val="false"/>
          <w:i w:val="false"/>
          <w:iCs w:val="false"/>
          <w:color w:val="222222"/>
          <w:sz w:val="20"/>
          <w:szCs w:val="20"/>
          <w:rtl/>
        </w:rPr>
        <w:t xml:space="preserve">).</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15.4  ·  </w:t>
      </w:r>
      <w:r>
        <w:rPr>
          <w:rFonts w:ascii="Arial" w:cs="Arial" w:eastAsia="Arial" w:hAnsi="Arial"/>
          <w:b/>
          <w:bCs/>
          <w:i w:val="false"/>
          <w:iCs w:val="false"/>
          <w:color w:val="1F4E79"/>
          <w:sz w:val="26"/>
          <w:szCs w:val="26"/>
          <w:rtl/>
        </w:rPr>
        <w:t xml:space="preserve">أمر الترحيل</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Transfer Order</w:t>
      </w:r>
    </w:p>
    <w:p>
      <w:pPr>
        <w:bidi/>
        <w:spacing w:after="70" w:before="30"/>
        <w:jc w:val="right"/>
      </w:pPr>
      <w:r>
        <w:rPr>
          <w:rFonts w:ascii="Arial" w:cs="Arial" w:eastAsia="Arial" w:hAnsi="Arial"/>
          <w:b/>
          <w:bCs/>
          <w:color w:val="2E75B6"/>
          <w:sz w:val="21"/>
          <w:szCs w:val="21"/>
        </w:rPr>
        <w:t xml:space="preserve">stock.picking / transfer  (S06)</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تحريك المواد من الاستلام الأولي أو عهدة الاستلام إلى وجهتها (مخزن / ورشة / مشروع / معدة) بأمر ترحيلٍ مرتبط، يُصدَر من داخل دورة الشراء عند الحاجة عبر إدارة النقل والترحيل.</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أمر الترحيل</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S06</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مرجع العهدة / الشحنة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receipt.custody / purchase.order</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من (المصدر)</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موقع الاستلام / العهدة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إلى (الوجهة)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مخزن / ورشة / مشروع / معدة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الأصناف والكميات</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الناقل</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ناقلٌ معتمد</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حالة الترحيل</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مُصدَر / قيد النقل / مُستلَم</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مُصدَر ← قيد النقل ← مستلَمٌ في الوجهة</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يُصدر أمر الترحيل من داخل دورة الشراء عند الحاجة عبر إدارة النقل والترحيل (</w:t>
      </w:r>
      <w:r>
        <w:rPr>
          <w:rFonts w:ascii="Arial" w:cs="Arial" w:eastAsia="Arial" w:hAnsi="Arial"/>
          <w:b w:val="false"/>
          <w:bCs w:val="false"/>
          <w:color w:val="222222"/>
          <w:sz w:val="19"/>
          <w:szCs w:val="19"/>
        </w:rPr>
        <w:t xml:space="preserve">S06</w:t>
      </w:r>
      <w:r>
        <w:rPr>
          <w:rFonts w:ascii="Arial" w:cs="Arial" w:eastAsia="Arial" w:hAnsi="Arial"/>
          <w:b w:val="false"/>
          <w:bCs w:val="false"/>
          <w:i w:val="false"/>
          <w:iCs w:val="false"/>
          <w:color w:val="222222"/>
          <w:sz w:val="20"/>
          <w:szCs w:val="20"/>
          <w:rtl/>
        </w:rPr>
        <w:t xml:space="preserve">).</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المواد التي لا تدخل المخزن تُرحَّل مباشرةً إلى المشروع/الورشة/المعدة.</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15.5  ·  </w:t>
      </w:r>
      <w:r>
        <w:rPr>
          <w:rFonts w:ascii="Arial" w:cs="Arial" w:eastAsia="Arial" w:hAnsi="Arial"/>
          <w:b/>
          <w:bCs/>
          <w:i w:val="false"/>
          <w:iCs w:val="false"/>
          <w:color w:val="1F4E79"/>
          <w:sz w:val="26"/>
          <w:szCs w:val="26"/>
          <w:rtl/>
        </w:rPr>
        <w:t xml:space="preserve">بطاقة الصنف / القطعة الحرجة</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Item / Critical Spare</w:t>
      </w:r>
    </w:p>
    <w:p>
      <w:pPr>
        <w:bidi/>
        <w:spacing w:after="70" w:before="30"/>
        <w:jc w:val="right"/>
      </w:pPr>
      <w:r>
        <w:rPr>
          <w:rFonts w:ascii="Arial" w:cs="Arial" w:eastAsia="Arial" w:hAnsi="Arial"/>
          <w:b/>
          <w:bCs/>
          <w:color w:val="2E75B6"/>
          <w:sz w:val="21"/>
          <w:szCs w:val="21"/>
        </w:rPr>
        <w:t xml:space="preserve">product.product / product.template</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تعريف الصنف وطبيعته وفئته وحرجيّته وحدوده، فهي أساس التصنيف والمخزون وإعادة الطلب وتحميل التكلفة.</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اسم الصنف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نص</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الفئة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فلاتر / زيوت وشحوم / إسبيرات / بطاريات / أسنان جردل / سيور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طبيعة المادة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قابل للتخزين / غير قابل للتخزين / صيانة ومصنعيات</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وحدة القياس</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قطعة / لتر / كجم …</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قطعة حرجة؟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منطقي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is_critical</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الأدنى / الأقصى</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min / max</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مدة التوريد</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عدد الأيام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 / العائلة المخدومة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equipment / category</w:t>
            </w:r>
          </w:p>
        </w:tc>
      </w:tr>
    </w:tbl>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القطعة الحرجة تتطلّب حدوداً ونقطة إعادة طلبٍ قبل اعتمادها حرجة.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طبيعة المادة تحدّد ما إن كان الصنف يُخزَّن أم يُصرف مباشرةً.</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15.6  ·  </w:t>
      </w:r>
      <w:r>
        <w:rPr>
          <w:rFonts w:ascii="Arial" w:cs="Arial" w:eastAsia="Arial" w:hAnsi="Arial"/>
          <w:b/>
          <w:bCs/>
          <w:i w:val="false"/>
          <w:iCs w:val="false"/>
          <w:color w:val="1F4E79"/>
          <w:sz w:val="26"/>
          <w:szCs w:val="26"/>
          <w:rtl/>
        </w:rPr>
        <w:t xml:space="preserve">قواعد إعادة الطلب</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Reordering Rules</w:t>
      </w:r>
    </w:p>
    <w:p>
      <w:pPr>
        <w:bidi/>
        <w:spacing w:after="70" w:before="30"/>
        <w:jc w:val="right"/>
      </w:pPr>
      <w:r>
        <w:rPr>
          <w:rFonts w:ascii="Arial" w:cs="Arial" w:eastAsia="Arial" w:hAnsi="Arial"/>
          <w:b/>
          <w:bCs/>
          <w:color w:val="2E75B6"/>
          <w:sz w:val="21"/>
          <w:szCs w:val="21"/>
        </w:rPr>
        <w:t xml:space="preserve">stock.warehouse.orderpoint</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ضبط الحدود ونقطة إعادة الطلب لكل صنفٍ ومخزن، حتى تتولّد طلبات التجديد تلقائياً قبل النفاد — خاصةً للقطع الحرجة.</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الصنف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المخزن</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المخزن / الورشة …</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الأدنى</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min_qty</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الحد الأقصى</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max_qty</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نقطة إعادة الطلب</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trigger</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مخزون الأمان</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safety_stock</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مدة التوريد</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عدد الأيام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التشغيل</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 / يدوي</w:t>
            </w:r>
          </w:p>
        </w:tc>
      </w:tr>
    </w:tbl>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بلوغ نقطة إعادة الطلب يطلق اقتراح/طلب تجديدٍ آلياً.</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تُراجَع الحدود دورياً وفق الاستهلاك الفعلي ومدة التوريد.</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15.7  ·  </w:t>
      </w:r>
      <w:r>
        <w:rPr>
          <w:rFonts w:ascii="Arial" w:cs="Arial" w:eastAsia="Arial" w:hAnsi="Arial"/>
          <w:b/>
          <w:bCs/>
          <w:i w:val="false"/>
          <w:iCs w:val="false"/>
          <w:color w:val="1F4E79"/>
          <w:sz w:val="26"/>
          <w:szCs w:val="26"/>
          <w:rtl/>
        </w:rPr>
        <w:t xml:space="preserve">المخزون التشغيلي</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Operational Stock</w:t>
      </w:r>
    </w:p>
    <w:p>
      <w:pPr>
        <w:bidi/>
        <w:spacing w:after="70" w:before="30"/>
        <w:jc w:val="right"/>
      </w:pPr>
      <w:r>
        <w:rPr>
          <w:rFonts w:ascii="Arial" w:cs="Arial" w:eastAsia="Arial" w:hAnsi="Arial"/>
          <w:b/>
          <w:bCs/>
          <w:color w:val="2E75B6"/>
          <w:sz w:val="21"/>
          <w:szCs w:val="21"/>
        </w:rPr>
        <w:t xml:space="preserve">stock.quant / stock.picking</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إظهار الوضع الحقيقي للمخزون بحالاتٍ تشغيلية لا مجرّد رصيد، عبر مخازن الشركة — توسعةً للشاشة القائمة دون الدخول في تفاصيل الجرد والمواقع (وثيقة المخزون).</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الصنف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المخزن / الموقع</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المخزن / مباشر للآلية / الورشة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المتاح</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الرصيد − المحجوز</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المحجوز</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reserved_quantity</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قيد الشراء / الشحن / الاستلام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من أوامر الشراء والحركات الواردة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الحالة التشغيلية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متاح / محجوز / قيد شراء / مصروف …</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آخر حركة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w:t>
            </w:r>
          </w:p>
        </w:tc>
      </w:tr>
    </w:tbl>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المتاح = الرصيد المادي − المحجوز؛ لا يُصرف من المحجوز لغيره.</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كل حالةٍ مشتقّةٌ من حركاتٍ حقيقية، لا إدخالٍ يدوي.</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15.8  ·  </w:t>
      </w:r>
      <w:r>
        <w:rPr>
          <w:rFonts w:ascii="Arial" w:cs="Arial" w:eastAsia="Arial" w:hAnsi="Arial"/>
          <w:b/>
          <w:bCs/>
          <w:i w:val="false"/>
          <w:iCs w:val="false"/>
          <w:color w:val="1F4E79"/>
          <w:sz w:val="26"/>
          <w:szCs w:val="26"/>
          <w:rtl/>
        </w:rPr>
        <w:t xml:space="preserve">صرف وتحميل التكلفة</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Issue &amp; Cost Allocation</w:t>
      </w:r>
    </w:p>
    <w:p>
      <w:pPr>
        <w:bidi/>
        <w:spacing w:after="70" w:before="30"/>
        <w:jc w:val="right"/>
      </w:pPr>
      <w:r>
        <w:rPr>
          <w:rFonts w:ascii="Arial" w:cs="Arial" w:eastAsia="Arial" w:hAnsi="Arial"/>
          <w:b/>
          <w:bCs/>
          <w:color w:val="2E75B6"/>
          <w:sz w:val="21"/>
          <w:szCs w:val="21"/>
        </w:rPr>
        <w:t xml:space="preserve">stock.move / stock.picking (صرف)</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صرف الصنف من المخزن مع التقاط أبعاد التكلفة لحظة الصرف (معدة/مشروع/أمر صيانة/نوع/عقد/مورد)، فينشأ القيد التحليلي تلقائياً.</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الصرف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النظام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الصنف والكمية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المستلِم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holder_id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equipment_id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المشروع</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project_id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الصيانة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maintenance_order_id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نوع الصيانة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وقائية / تصحيحية / رأسمالية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العقد</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contract_id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بُعد التكلفة التحليلي</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يُلتقط آلياً من الأبعاد أعلاه</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مسودة ← محجوز ← مصروف ← مُحمَّل التكلفة</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يُصرف صنفٌ دون مستلِمٍ وبُعد تحميلٍ واحدٍ على الأقل (معدة/مشروع/أمر).</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الصرف يُنشئ عهدة صرفٍ ويثبّت التكلفة على مصدرها في الوقت نفسه.</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15.9  ·  </w:t>
      </w:r>
      <w:r>
        <w:rPr>
          <w:rFonts w:ascii="Arial" w:cs="Arial" w:eastAsia="Arial" w:hAnsi="Arial"/>
          <w:b/>
          <w:bCs/>
          <w:i w:val="false"/>
          <w:iCs w:val="false"/>
          <w:color w:val="1F4E79"/>
          <w:sz w:val="26"/>
          <w:szCs w:val="26"/>
          <w:rtl/>
        </w:rPr>
        <w:t xml:space="preserve">سلسلة عهدة الصرف</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Issue Custody Chain</w:t>
      </w:r>
    </w:p>
    <w:p>
      <w:pPr>
        <w:bidi/>
        <w:spacing w:after="70" w:before="30"/>
        <w:jc w:val="right"/>
      </w:pPr>
      <w:r>
        <w:rPr>
          <w:rFonts w:ascii="Arial" w:cs="Arial" w:eastAsia="Arial" w:hAnsi="Arial"/>
          <w:b/>
          <w:bCs/>
          <w:color w:val="2E75B6"/>
          <w:sz w:val="21"/>
          <w:szCs w:val="21"/>
        </w:rPr>
        <w:t xml:space="preserve">equipation.custody.transfer / line</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متابعة القطعة بعد صرفها من المخزن حتى استهلاكها أو إرجاعها، بربطها بالمستلِم والمعدة والمشروع وأمر الصيانة — وهي عهدة الصرف، تمييزاً عن عهدة الاستلام المؤقت (15.3).</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 العهدة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تلقائي</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تسلسل النظام</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المستلِم</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holder_id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 الصرف</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تاريخ</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transfer_date</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 / المشروع / أمر الصيانة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وجهة العهدة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الكمية المصروفة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qty_issued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الكمية المرتجعة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رقم</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qty_returned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الكمية المستهلكة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المصروفة − المرتجعة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الحالة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مصروفة / إرجاع جزئي / مستهلكة / مُقفلة</w:t>
            </w:r>
          </w:p>
        </w:tc>
      </w:tr>
    </w:tbl>
    <w:p>
      <w:pPr>
        <w:bidi/>
        <w:spacing w:after="70" w:before="160"/>
        <w:jc w:val="right"/>
      </w:pPr>
      <w:r>
        <w:rPr>
          <w:rFonts w:ascii="Arial" w:cs="Arial" w:eastAsia="Arial" w:hAnsi="Arial"/>
          <w:b/>
          <w:bCs/>
          <w:i w:val="false"/>
          <w:iCs w:val="false"/>
          <w:color w:val="2E75B6"/>
          <w:sz w:val="22"/>
          <w:szCs w:val="22"/>
          <w:rtl/>
        </w:rPr>
        <w:t xml:space="preserve">آلة الحالة</w:t>
      </w:r>
    </w:p>
    <w:p>
      <w:pPr>
        <w:bidi/>
        <w:spacing w:after="120" w:before="80"/>
        <w:jc w:val="center"/>
      </w:pPr>
      <w:r>
        <w:rPr>
          <w:rFonts w:ascii="Arial" w:cs="Arial" w:eastAsia="Arial" w:hAnsi="Arial"/>
          <w:b/>
          <w:bCs/>
          <w:i w:val="false"/>
          <w:iCs w:val="false"/>
          <w:color w:val="1F4E79"/>
          <w:sz w:val="22"/>
          <w:szCs w:val="22"/>
          <w:rtl/>
        </w:rPr>
        <w:t xml:space="preserve">مصروفة ← (إرجاع جزئي) ← مستهلكة ← مُقفلة</w:t>
      </w:r>
    </w:p>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لا تُقفل عهدةٌ قبل تسوية المصروف بين مستهلَكٍ ومرتجَع.</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المستهلَك يُحمَّل على وجهة العهدة (معدة/مشروع/أمر)، والمرتجَع يعود للمخزون.</w:t>
      </w:r>
    </w:p>
    <w:p>
      <w:pPr>
        <w:pBdr>
          <w:bottom w:val="single" w:color="2E75B6" w:sz="6" w:space="3"/>
        </w:pBdr>
        <w:bidi/>
        <w:spacing w:after="80" w:before="300" w:line="288"/>
        <w:jc w:val="right"/>
      </w:pPr>
      <w:r>
        <w:rPr>
          <w:rFonts w:ascii="Arial" w:cs="Arial" w:eastAsia="Arial" w:hAnsi="Arial"/>
          <w:b/>
          <w:bCs/>
          <w:i w:val="false"/>
          <w:iCs w:val="false"/>
          <w:color w:val="1F4E79"/>
          <w:sz w:val="26"/>
          <w:szCs w:val="26"/>
          <w:rtl/>
        </w:rPr>
        <w:t xml:space="preserve">15.10  ·  </w:t>
      </w:r>
      <w:r>
        <w:rPr>
          <w:rFonts w:ascii="Arial" w:cs="Arial" w:eastAsia="Arial" w:hAnsi="Arial"/>
          <w:b/>
          <w:bCs/>
          <w:i w:val="false"/>
          <w:iCs w:val="false"/>
          <w:color w:val="1F4E79"/>
          <w:sz w:val="26"/>
          <w:szCs w:val="26"/>
          <w:rtl/>
        </w:rPr>
        <w:t xml:space="preserve">ربط خطة الصيانة</w:t>
      </w:r>
      <w:r>
        <w:rPr>
          <w:rFonts w:ascii="Arial" w:cs="Arial" w:eastAsia="Arial" w:hAnsi="Arial"/>
          <w:b/>
          <w:bCs/>
          <w:i w:val="false"/>
          <w:iCs w:val="false"/>
          <w:color w:val="1F4E79"/>
          <w:sz w:val="26"/>
          <w:szCs w:val="26"/>
          <w:rtl/>
        </w:rPr>
        <w:t xml:space="preserve">  ·  </w:t>
      </w:r>
      <w:r>
        <w:rPr>
          <w:rFonts w:ascii="Arial" w:cs="Arial" w:eastAsia="Arial" w:hAnsi="Arial"/>
          <w:b/>
          <w:bCs/>
          <w:color w:val="1F4E79"/>
          <w:sz w:val="26"/>
          <w:szCs w:val="26"/>
        </w:rPr>
        <w:t xml:space="preserve">Maintenance Plan Link</w:t>
      </w:r>
    </w:p>
    <w:p>
      <w:pPr>
        <w:bidi/>
        <w:spacing w:after="70" w:before="30"/>
        <w:jc w:val="right"/>
      </w:pPr>
      <w:r>
        <w:rPr>
          <w:rFonts w:ascii="Arial" w:cs="Arial" w:eastAsia="Arial" w:hAnsi="Arial"/>
          <w:b/>
          <w:bCs/>
          <w:color w:val="2E75B6"/>
          <w:sz w:val="21"/>
          <w:szCs w:val="21"/>
        </w:rPr>
        <w:t xml:space="preserve">maintenance.request / plan  (S08)</w:t>
      </w:r>
      <w:r>
        <w:rPr>
          <w:rFonts w:ascii="Arial" w:cs="Arial" w:eastAsia="Arial" w:hAnsi="Arial"/>
          <w:b/>
          <w:bCs/>
          <w:i w:val="false"/>
          <w:iCs w:val="false"/>
          <w:color w:val="333333"/>
          <w:sz w:val="21"/>
          <w:szCs w:val="21"/>
          <w:rtl/>
        </w:rPr>
        <w:t xml:space="preserve">النموذج: </w:t>
      </w:r>
    </w:p>
    <w:p>
      <w:pPr>
        <w:bidi/>
        <w:spacing w:after="70" w:before="160"/>
        <w:jc w:val="right"/>
      </w:pPr>
      <w:r>
        <w:rPr>
          <w:rFonts w:ascii="Arial" w:cs="Arial" w:eastAsia="Arial" w:hAnsi="Arial"/>
          <w:b/>
          <w:bCs/>
          <w:i w:val="false"/>
          <w:iCs w:val="false"/>
          <w:color w:val="2E75B6"/>
          <w:sz w:val="22"/>
          <w:szCs w:val="22"/>
          <w:rtl/>
        </w:rPr>
        <w:t xml:space="preserve">الهدف</w:t>
      </w:r>
    </w:p>
    <w:p>
      <w:pPr>
        <w:bidi/>
        <w:spacing w:after="120" w:before="40" w:line="264"/>
        <w:jc w:val="right"/>
      </w:pPr>
      <w:r>
        <w:rPr>
          <w:rFonts w:ascii="Arial" w:cs="Arial" w:eastAsia="Arial" w:hAnsi="Arial"/>
          <w:b w:val="false"/>
          <w:bCs w:val="false"/>
          <w:i w:val="false"/>
          <w:iCs w:val="false"/>
          <w:color w:val="222222"/>
          <w:sz w:val="20"/>
          <w:szCs w:val="20"/>
          <w:rtl/>
        </w:rPr>
        <w:t xml:space="preserve">جعل احتياج القطع ينشأ من خطة الصيانة الوقائية وأوامرها مباشرةً، فيتولّد طلب الشراء عند نقص القطعة بدل الطلب اليدوي المنفصل.</w:t>
      </w:r>
    </w:p>
    <w:p>
      <w:pPr>
        <w:bidi/>
        <w:spacing w:after="70" w:before="160"/>
        <w:jc w:val="right"/>
      </w:pPr>
      <w:r>
        <w:rPr>
          <w:rFonts w:ascii="Arial" w:cs="Arial" w:eastAsia="Arial" w:hAnsi="Arial"/>
          <w:b/>
          <w:bCs/>
          <w:i w:val="false"/>
          <w:iCs w:val="false"/>
          <w:color w:val="2E75B6"/>
          <w:sz w:val="22"/>
          <w:szCs w:val="22"/>
          <w:rtl/>
        </w:rPr>
        <w:t xml:space="preserve">قاموس الحقول</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4740"/>
      </w:tblGrid>
      <w:tr>
        <w:trPr>
          <w:tblHeader/>
        </w:trPr>
        <w:tc>
          <w:tcPr>
            <w:tcW w:type="dxa" w:w="2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الحقل</w:t>
            </w:r>
          </w:p>
        </w:tc>
        <w:tc>
          <w:tcPr>
            <w:tcW w:type="dxa" w:w="15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النوع</w:t>
            </w:r>
          </w:p>
        </w:tc>
        <w:tc>
          <w:tcPr>
            <w:tcW w:type="dxa" w:w="11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إلزامي</w:t>
            </w:r>
          </w:p>
        </w:tc>
        <w:tc>
          <w:tcPr>
            <w:tcW w:type="dxa" w:w="47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القيم المسموحة / المصدر</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أمر الصيانة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maintenance.request</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نوع الصيانة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وقائية / تصحيحية / رأسمالية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علاقة</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equipment_id</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برنامج الساعات</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تحديد</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لا</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250 / 500 / 1000 / 2000 ساعة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القطع المطلوبة</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سطور</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نعم</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product</w:t>
            </w:r>
            <w:r>
              <w:rPr>
                <w:rFonts w:ascii="Arial" w:cs="Arial" w:eastAsia="Arial" w:hAnsi="Arial"/>
                <w:b w:val="false"/>
                <w:bCs w:val="false"/>
                <w:i w:val="false"/>
                <w:iCs w:val="false"/>
                <w:color w:val="222222"/>
                <w:sz w:val="18"/>
                <w:szCs w:val="18"/>
                <w:rtl/>
              </w:rPr>
              <w:t xml:space="preserve">  + الكمية</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حالة التوفّر</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محسوب</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متوفر / يتطلب شراء</w:t>
            </w:r>
          </w:p>
        </w:tc>
      </w:tr>
      <w:tr>
        <w:tc>
          <w:tcPr>
            <w:tcW w:type="dxa" w:w="2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توليد طلب الشراء</w:t>
            </w:r>
          </w:p>
        </w:tc>
        <w:tc>
          <w:tcPr>
            <w:tcW w:type="dxa" w:w="15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إجراء</w:t>
            </w:r>
          </w:p>
        </w:tc>
        <w:tc>
          <w:tcPr>
            <w:tcW w:type="dxa" w:w="11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center"/>
            </w:pPr>
            <w:r>
              <w:rPr>
                <w:rFonts w:ascii="Arial" w:cs="Arial" w:eastAsia="Arial" w:hAnsi="Arial"/>
                <w:b w:val="false"/>
                <w:bCs w:val="false"/>
                <w:i w:val="false"/>
                <w:iCs w:val="false"/>
                <w:color w:val="222222"/>
                <w:sz w:val="19"/>
                <w:szCs w:val="19"/>
                <w:rtl/>
              </w:rPr>
              <w:t xml:space="preserve">—</w:t>
            </w:r>
          </w:p>
        </w:tc>
        <w:tc>
          <w:tcPr>
            <w:tcW w:type="dxa" w:w="47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 purchase.requisition</w:t>
            </w:r>
          </w:p>
        </w:tc>
      </w:tr>
    </w:tbl>
    <w:p>
      <w:pPr>
        <w:bidi/>
        <w:spacing w:after="70" w:before="160"/>
        <w:jc w:val="right"/>
      </w:pPr>
      <w:r>
        <w:rPr>
          <w:rFonts w:ascii="Arial" w:cs="Arial" w:eastAsia="Arial" w:hAnsi="Arial"/>
          <w:b/>
          <w:bCs/>
          <w:i w:val="false"/>
          <w:iCs w:val="false"/>
          <w:color w:val="2E75B6"/>
          <w:sz w:val="22"/>
          <w:szCs w:val="22"/>
          <w:rtl/>
        </w:rPr>
        <w:t xml:space="preserve">القواعد الخاصة</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نقص القطعة على أمر الصيانة يولّد طلب شراءٍ يرث المعدة والنوع.</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برامج الساعات تولّد احتياج الأطقم والفلاتر والزيوت قبل موعد الخدمة.</w:t>
      </w:r>
    </w:p>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رحلة العمل والمؤشرات    ·    16  </w:t>
      </w:r>
    </w:p>
    <w:p>
      <w:pPr>
        <w:bidi/>
        <w:spacing w:after="120" w:before="40" w:line="264"/>
        <w:jc w:val="right"/>
      </w:pPr>
      <w:r>
        <w:rPr>
          <w:rFonts w:ascii="Arial" w:cs="Arial" w:eastAsia="Arial" w:hAnsi="Arial"/>
          <w:b w:val="false"/>
          <w:bCs w:val="false"/>
          <w:i w:val="false"/>
          <w:iCs w:val="false"/>
          <w:color w:val="222222"/>
          <w:sz w:val="20"/>
          <w:szCs w:val="20"/>
          <w:rtl/>
        </w:rPr>
        <w:t xml:space="preserve">تبدأ الرحلة من احتياجٍ تشغيلي حقيقي وتنتهي بتكلفةٍ محمَّلةٍ على مصدرها ومؤشراتٍ تقيس الجاهزية والكفاءة — لا من طلبٍ يدوي منفصل:</w:t>
      </w:r>
    </w:p>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احتياج تشغيلي  (خطة وقائية / أمر صيانة / نقص / إعادة طلب)</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طلب شراء  ←  اعتماد المشتريات  ←  اعتماد مالي</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أمر شراء</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استلام أولي  ←  عهدة استلامٍ مؤقت</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ترحيل عند الحاجة  (S06)  ←  استلام نهائي  ←  مخزون أو استخدامٌ مباشر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صرف + عهدة صرف + تحميل التكلفة على المصدر</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استهلاك  ←  تكلفة المعدة/المشروع/الصيانة/الجاهزية</w:t>
            </w:r>
          </w:p>
        </w:tc>
      </w:tr>
    </w:tbl>
    <w:p>
      <w:pPr>
        <w:bidi/>
        <w:spacing w:after="20" w:before="20"/>
        <w:jc w:val="center"/>
      </w:pPr>
      <w:r>
        <w:rPr>
          <w:rFonts w:ascii="Arial" w:cs="Arial" w:eastAsia="Arial" w:hAnsi="Arial"/>
          <w:color w:val="1F4E79"/>
          <w:sz w:val="20"/>
          <w:szCs w:val="20"/>
        </w:rPr>
        <w:t xml:space="preserve">▼</w:t>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6E0EC" w:sz="4"/>
              <w:left w:val="single" w:color="D6E0EC" w:sz="4"/>
              <w:bottom w:val="single" w:color="D6E0EC" w:sz="4"/>
              <w:right w:val="single" w:color="D6E0EC" w:sz="4"/>
            </w:tcBorders>
            <w:shd w:fill="EAF1F8" w:color="auto" w:val="clear"/>
            <w:tcMar>
              <w:top w:type="dxa" w:w="70"/>
              <w:left w:type="dxa" w:w="120"/>
              <w:bottom w:type="dxa" w:w="70"/>
              <w:right w:type="dxa" w:w="120"/>
            </w:tcMar>
            <w:vAlign w:val="center"/>
          </w:tcPr>
          <w:p>
            <w:pPr>
              <w:bidi/>
              <w:spacing w:after="0" w:before="0"/>
              <w:jc w:val="center"/>
            </w:pPr>
            <w:r>
              <w:rPr>
                <w:rFonts w:ascii="Arial" w:cs="Arial" w:eastAsia="Arial" w:hAnsi="Arial"/>
                <w:b/>
                <w:bCs/>
                <w:i w:val="false"/>
                <w:iCs w:val="false"/>
                <w:color w:val="1F4E79"/>
                <w:sz w:val="21"/>
                <w:szCs w:val="21"/>
                <w:rtl/>
              </w:rPr>
              <w:t xml:space="preserve">مطابقة مالية وإقفال  ←  مؤشرات الإمداد والصيانة</w:t>
            </w:r>
          </w:p>
        </w:tc>
      </w:tr>
    </w:tbl>
    <w:p>
      <w:pPr>
        <w:spacing w:after="5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مؤشرات إدارة الإمداد والصيانة</w:t>
      </w:r>
    </w:p>
    <w:p>
      <w:pPr>
        <w:bidi/>
        <w:spacing w:after="120" w:before="40" w:line="264"/>
        <w:jc w:val="right"/>
      </w:pPr>
      <w:r>
        <w:rPr>
          <w:rFonts w:ascii="Arial" w:cs="Arial" w:eastAsia="Arial" w:hAnsi="Arial"/>
          <w:b w:val="false"/>
          <w:bCs w:val="false"/>
          <w:i w:val="false"/>
          <w:iCs w:val="false"/>
          <w:color w:val="222222"/>
          <w:sz w:val="20"/>
          <w:szCs w:val="20"/>
          <w:rtl/>
        </w:rPr>
        <w:t xml:space="preserve">مبنيّةٌ على بيانات الشركة الفعلية ومجمَّعةٌ في أربع مجموعات:</w:t>
      </w:r>
    </w:p>
    <w:p>
      <w:pPr>
        <w:spacing w:after="2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340"/>
        <w:gridCol w:w="4300"/>
      </w:tblGrid>
      <w:tr>
        <w:trPr>
          <w:tblHeader/>
        </w:trPr>
        <w:tc>
          <w:tcPr>
            <w:tcW w:type="dxa" w:w="22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المجموعة</w:t>
            </w:r>
          </w:p>
        </w:tc>
        <w:tc>
          <w:tcPr>
            <w:tcW w:type="dxa" w:w="33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المؤشر</w:t>
            </w:r>
          </w:p>
        </w:tc>
        <w:tc>
          <w:tcPr>
            <w:tcW w:type="dxa" w:w="43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ما يقيسه</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المخزون</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قيمة المخزون</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إجمالي القيمة المالية للأصناف في المخازن</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المخزون</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معدل دوران المخزون</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سرعة استهلاك المخزون خلال الفترة</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المخزون</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القطع الحرجة منخفضة الرصيد</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القطع الحرجة تحت نقطة إعادة الطلب</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الإمداد والشراء</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أوامر الشراء المفتوحة</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الأوامر المؤكَّدة التي لم تُستلم بعد</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الإمداد والشراء</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مدة التوريد</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متوسط الزمن من الطلب حتى الاستلام</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الإمداد والشراء</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نسبة الالتزام بالتوريد</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نسبة التوريد في الموعد المتفق عليه</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الإمداد والشراء</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أعلى الموردين إنفاقاً</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الموردون الأكثر تكلفةً من بيانات الشراء</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التكلفة والصيانة</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الصيانة الوقائية</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إجمالي إنفاق التصنيف الوقائي</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التكلفة والصيانة</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الصيانة التصحيحية</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إجمالي إنفاق التصنيف التصحيحي</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التكلفة والصيانة</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تكلفة الصيانة الرأسمالية</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إنفاق المحركات والطرمبات والإصلاح الجذري</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التكلفة والصيانة</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الميزانية مقابل الفعلي</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الانحراف الشهري والسنوي ونسبته</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الاستهلاك</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أكثر الأصناف استهلاكاً</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الأصناف الأعلى صرفاً عبر المعدات</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الاستهلاك</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أكثر المعدات استهلاكاً للقطع</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المعدات الأعلى تحميلاً لتكلفة القطع</w:t>
            </w:r>
          </w:p>
        </w:tc>
      </w:tr>
      <w:tr>
        <w:tc>
          <w:tcPr>
            <w:tcW w:type="dxa" w:w="2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الاستهلاك</w:t>
            </w:r>
          </w:p>
        </w:tc>
        <w:tc>
          <w:tcPr>
            <w:tcW w:type="dxa" w:w="33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color w:val="222222"/>
                <w:sz w:val="19"/>
                <w:szCs w:val="19"/>
              </w:rPr>
              <w:t xml:space="preserve">إجمالي الإنفاق (SDG / USD)</w:t>
            </w:r>
          </w:p>
        </w:tc>
        <w:tc>
          <w:tcPr>
            <w:tcW w:type="dxa" w:w="43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إجمالي الشراء بالعملتين مع سعر الصرف</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val="false"/>
                <w:bCs w:val="false"/>
                <w:i w:val="false"/>
                <w:iCs w:val="false"/>
                <w:color w:val="1F4E79"/>
                <w:sz w:val="20"/>
                <w:szCs w:val="20"/>
                <w:rtl/>
              </w:rPr>
              <w:t xml:space="preserve">هذه المؤشرات تقيس الجاهزية والكفاءة لا مجرّد الإنفاق: فالقطعة الحرجة منخفضة الرصيد تنذر بتوقّفٍ محتمل، وتكلفة الصيانة بأنواعها تكشف أين يذهب المال، وأكثر المعدات استهلاكاً تُبرز ما يستنزف الموازنة.</w:t>
            </w:r>
          </w:p>
        </w:tc>
      </w:tr>
    </w:tbl>
    <w:p>
      <w:pPr>
        <w:pBdr>
          <w:top w:val="single" w:color="1F4E79" w:sz="2" w:space="4"/>
          <w:bottom w:val="single" w:color="1F4E79" w:sz="2" w:space="4"/>
        </w:pBdr>
        <w:shd w:fill="1F4E79" w:color="auto" w:val="clear"/>
        <w:bidi/>
        <w:spacing w:after="160" w:before="320" w:line="312"/>
        <w:jc w:val="right"/>
      </w:pPr>
      <w:r>
        <w:rPr>
          <w:rFonts w:ascii="Arial" w:cs="Arial" w:eastAsia="Arial" w:hAnsi="Arial"/>
          <w:b/>
          <w:bCs/>
          <w:i w:val="false"/>
          <w:iCs w:val="false"/>
          <w:color w:val="FFFFFF"/>
          <w:sz w:val="26"/>
          <w:szCs w:val="26"/>
          <w:rtl/>
        </w:rPr>
        <w:t xml:space="preserve">  تطابق التصنيف القديم بالجديد    ·    ملحق  </w:t>
      </w:r>
    </w:p>
    <w:p>
      <w:pPr>
        <w:bidi/>
        <w:spacing w:after="120" w:before="40" w:line="264"/>
        <w:jc w:val="right"/>
      </w:pPr>
      <w:r>
        <w:rPr>
          <w:rFonts w:ascii="Arial" w:cs="Arial" w:eastAsia="Arial" w:hAnsi="Arial"/>
          <w:b w:val="false"/>
          <w:bCs w:val="false"/>
          <w:i w:val="false"/>
          <w:iCs w:val="false"/>
          <w:color w:val="222222"/>
          <w:sz w:val="20"/>
          <w:szCs w:val="20"/>
          <w:rtl/>
        </w:rPr>
        <w:t xml:space="preserve">لتيسير الانتقال من ملف Excel إلى النظام، يربط الجدول أنواع المشتريات كما كانت تُسجَّل فعلاً بالتصنيف التشغيلي الجديد:</w:t>
      </w:r>
    </w:p>
    <w:p>
      <w:pPr>
        <w:spacing w:after="3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2840"/>
        <w:gridCol w:w="3800"/>
      </w:tblGrid>
      <w:tr>
        <w:trPr>
          <w:tblHeader/>
        </w:trPr>
        <w:tc>
          <w:tcPr>
            <w:tcW w:type="dxa" w:w="32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نوع المشتريات (كما في Excel)</w:t>
            </w:r>
          </w:p>
        </w:tc>
        <w:tc>
          <w:tcPr>
            <w:tcW w:type="dxa" w:w="284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التصنيف التشغيلي الجديد</w:t>
            </w:r>
          </w:p>
        </w:tc>
        <w:tc>
          <w:tcPr>
            <w:tcW w:type="dxa" w:w="3800"/>
            <w:tcBorders>
              <w:top w:val="single" w:color="D6E0EC" w:sz="4"/>
              <w:left w:val="single" w:color="D6E0EC" w:sz="4"/>
              <w:bottom w:val="single" w:color="D6E0EC" w:sz="4"/>
              <w:right w:val="single" w:color="D6E0EC" w:sz="4"/>
            </w:tcBorders>
            <w:shd w:fill="1F4E79" w:color="auto" w:val="clear"/>
            <w:tcMar>
              <w:top w:type="dxa" w:w="60"/>
              <w:left w:type="dxa" w:w="100"/>
              <w:bottom w:type="dxa" w:w="60"/>
              <w:right w:type="dxa" w:w="100"/>
            </w:tcMar>
            <w:vAlign w:val="center"/>
          </w:tcPr>
          <w:p>
            <w:pPr>
              <w:bidi/>
              <w:spacing w:after="0" w:before="0"/>
              <w:jc w:val="center"/>
            </w:pPr>
            <w:r>
              <w:rPr>
                <w:rFonts w:ascii="Arial" w:cs="Arial" w:eastAsia="Arial" w:hAnsi="Arial"/>
                <w:b/>
                <w:bCs/>
                <w:i w:val="false"/>
                <w:iCs w:val="false"/>
                <w:color w:val="FFFFFF"/>
                <w:sz w:val="20"/>
                <w:szCs w:val="20"/>
                <w:rtl/>
              </w:rPr>
              <w:t xml:space="preserve">ملاحظة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زيوت وشحوم</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وقائية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ضمن برامج الساعات الدورية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فلاتر</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وقائية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بدائل دورية مخطّطة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الأطقم الدورية (250/500/1000/2000)</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وقائية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مرتبطة بخطة الصيانة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إسبيرات / قطع الأعطال</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تصحيحية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إصلاح أعطالٍ طارئة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صيانة ومصنعيات</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تصحيحية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أو رأسمالية حسب حجم الإصلاح</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بطاريات</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تصحيحية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حسب سياق الاستبدال</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محركات / طرمبات / جيربوكسات</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رأسمالية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إصلاحٌ جذري وإحلال</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أسنان الجردل / أدوات التخريم / السيور</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استهلاكية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استهلاك تشغيلي يومي</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معدات سلامة</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1F4E79"/>
                <w:sz w:val="19"/>
                <w:szCs w:val="19"/>
                <w:rtl/>
              </w:rPr>
              <w:t xml:space="preserve">استهلاكية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مستلزمات تشغيلية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بنشر / غسيل</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2E75B6"/>
                <w:sz w:val="19"/>
                <w:szCs w:val="19"/>
                <w:rtl/>
              </w:rPr>
              <w:t xml:space="preserve">خدمات تشغيلية</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غير مخزّنة (خدمة)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C00000"/>
                <w:sz w:val="19"/>
                <w:szCs w:val="19"/>
                <w:rtl/>
              </w:rPr>
              <w:t xml:space="preserve">وقود / بنزين</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C00000"/>
                <w:sz w:val="19"/>
                <w:szCs w:val="19"/>
                <w:rtl/>
              </w:rPr>
              <w:t xml:space="preserve">خارج النطاق</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وفق نموذج العقد — لا يُفترض على الشركة</w:t>
            </w:r>
          </w:p>
        </w:tc>
      </w:tr>
      <w:tr>
        <w:tc>
          <w:tcPr>
            <w:tcW w:type="dxa" w:w="32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أدوات مكتبية / أثاث / اتصالات</w:t>
            </w:r>
          </w:p>
        </w:tc>
        <w:tc>
          <w:tcPr>
            <w:tcW w:type="dxa" w:w="284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bCs/>
                <w:i w:val="false"/>
                <w:iCs w:val="false"/>
                <w:color w:val="595959"/>
                <w:sz w:val="19"/>
                <w:szCs w:val="19"/>
                <w:rtl/>
              </w:rPr>
              <w:t xml:space="preserve">إداري — خارج النطاق</w:t>
            </w:r>
          </w:p>
        </w:tc>
        <w:tc>
          <w:tcPr>
            <w:tcW w:type="dxa" w:w="3800"/>
            <w:tcBorders>
              <w:top w:val="single" w:color="D6E0EC" w:sz="4"/>
              <w:left w:val="single" w:color="D6E0EC" w:sz="4"/>
              <w:bottom w:val="single" w:color="D6E0EC" w:sz="4"/>
              <w:right w:val="single" w:color="D6E0EC" w:sz="4"/>
            </w:tcBorders>
            <w:shd w:fill="F4F8FC" w:color="auto" w:val="clear"/>
            <w:tcMar>
              <w:top w:type="dxa" w:w="55"/>
              <w:left w:type="dxa" w:w="100"/>
              <w:bottom w:type="dxa" w:w="55"/>
              <w:right w:type="dxa" w:w="100"/>
            </w:tcMar>
            <w:vAlign w:val="center"/>
          </w:tcPr>
          <w:p>
            <w:pPr>
              <w:bidi/>
              <w:spacing w:after="0" w:before="0" w:line="250"/>
              <w:jc w:val="right"/>
            </w:pPr>
            <w:r>
              <w:rPr>
                <w:rFonts w:ascii="Arial" w:cs="Arial" w:eastAsia="Arial" w:hAnsi="Arial"/>
                <w:b w:val="false"/>
                <w:bCs w:val="false"/>
                <w:i w:val="false"/>
                <w:iCs w:val="false"/>
                <w:color w:val="222222"/>
                <w:sz w:val="19"/>
                <w:szCs w:val="19"/>
                <w:rtl/>
              </w:rPr>
              <w:t xml:space="preserve">ليست إمداداً تشغيلياً للمعدات</w:t>
            </w:r>
          </w:p>
        </w:tc>
      </w:tr>
    </w:tbl>
    <w:p>
      <w:pPr>
        <w:spacing w:after="40" w:before="0"/>
      </w:pPr>
      <w:r>
        <w:rPr>
          <w:rFonts w:ascii="Arial" w:cs="Arial" w:eastAsia="Arial" w:hAnsi="Arial"/>
        </w:rPr>
        <w:t xml:space="preserve"/>
      </w:r>
    </w:p>
    <w:tbl>
      <w:tblPr>
        <w:bidiVisual/>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left w:val="none"/>
              <w:bottom w:val="none"/>
              <w:right w:val="single" w:color="2E75B6" w:sz="24"/>
            </w:tcBorders>
            <w:shd w:fill="EAF1F8" w:color="auto" w:val="clear"/>
            <w:tcMar>
              <w:top w:type="dxa" w:w="90"/>
              <w:left w:type="dxa" w:w="160"/>
              <w:bottom w:type="dxa" w:w="90"/>
              <w:right w:type="dxa" w:w="160"/>
            </w:tcMar>
          </w:tcPr>
          <w:p>
            <w:pPr>
              <w:bidi/>
              <w:spacing w:after="0" w:before="0" w:line="264"/>
              <w:jc w:val="right"/>
            </w:pPr>
            <w:r>
              <w:rPr>
                <w:rFonts w:ascii="Arial" w:cs="Arial" w:eastAsia="Arial" w:hAnsi="Arial"/>
                <w:b/>
                <w:bCs/>
                <w:i w:val="false"/>
                <w:iCs w:val="false"/>
                <w:color w:val="1F4E79"/>
                <w:sz w:val="20"/>
                <w:szCs w:val="20"/>
                <w:rtl/>
              </w:rPr>
              <w:t xml:space="preserve">الوقود والبنزين </w:t>
            </w:r>
            <w:r>
              <w:rPr>
                <w:rFonts w:ascii="Arial" w:cs="Arial" w:eastAsia="Arial" w:hAnsi="Arial"/>
                <w:b w:val="false"/>
                <w:bCs w:val="false"/>
                <w:i w:val="false"/>
                <w:iCs w:val="false"/>
                <w:color w:val="1F4E79"/>
                <w:sz w:val="20"/>
                <w:szCs w:val="20"/>
                <w:rtl/>
              </w:rPr>
              <w:t xml:space="preserve">خارج نطاق مشتريات الشركة في العقود التي يتحملها العميل، ويُعالَجان وفق نموذج العقد؛ ويسمح النظام مستقبلاً بعقودٍ مختلفة دون افتراض أن الوقود دائماً على الشركة.</w:t>
            </w:r>
          </w:p>
        </w:tc>
      </w:tr>
    </w:tbl>
    <w:p>
      <w:pPr>
        <w:spacing w:after="80" w:before="0"/>
      </w:pPr>
      <w:r>
        <w:rPr>
          <w:rFonts w:ascii="Arial" w:cs="Arial" w:eastAsia="Arial" w:hAnsi="Arial"/>
        </w:rPr>
        <w:t xml:space="preserve"/>
      </w:r>
    </w:p>
    <w:p>
      <w:pPr>
        <w:bidi/>
        <w:spacing w:after="70" w:before="160"/>
        <w:jc w:val="right"/>
      </w:pPr>
      <w:r>
        <w:rPr>
          <w:rFonts w:ascii="Arial" w:cs="Arial" w:eastAsia="Arial" w:hAnsi="Arial"/>
          <w:b/>
          <w:bCs/>
          <w:i w:val="false"/>
          <w:iCs w:val="false"/>
          <w:color w:val="2E75B6"/>
          <w:sz w:val="22"/>
          <w:szCs w:val="22"/>
          <w:rtl/>
        </w:rPr>
        <w:t xml:space="preserve">ما يلي</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اعتماد قاموس الحقول والتصنيف التشغيلي في بيئة Odoo 19 Community.</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ربط الشاشات بأوامر الصيانة (</w:t>
      </w:r>
      <w:r>
        <w:rPr>
          <w:rFonts w:ascii="Arial" w:cs="Arial" w:eastAsia="Arial" w:hAnsi="Arial"/>
          <w:b w:val="false"/>
          <w:bCs w:val="false"/>
          <w:color w:val="222222"/>
          <w:sz w:val="19"/>
          <w:szCs w:val="19"/>
        </w:rPr>
        <w:t xml:space="preserve">S08</w:t>
      </w:r>
      <w:r>
        <w:rPr>
          <w:rFonts w:ascii="Arial" w:cs="Arial" w:eastAsia="Arial" w:hAnsi="Arial"/>
          <w:b w:val="false"/>
          <w:bCs w:val="false"/>
          <w:i w:val="false"/>
          <w:iCs w:val="false"/>
          <w:color w:val="222222"/>
          <w:sz w:val="20"/>
          <w:szCs w:val="20"/>
          <w:rtl/>
        </w:rPr>
        <w:t xml:space="preserve">) وتعريف المعدات في الأسطول.</w:t>
      </w:r>
    </w:p>
    <w:p>
      <w:pPr>
        <w:pStyle w:val="ListParagraph"/>
        <w:numPr>
          <w:ilvl w:val="0"/>
          <w:numId w:val="2"/>
        </w:numPr>
        <w:bidi/>
        <w:spacing w:after="60" w:before="20" w:line="260"/>
        <w:jc w:val="right"/>
      </w:pPr>
      <w:r>
        <w:rPr>
          <w:rFonts w:ascii="Arial" w:cs="Arial" w:eastAsia="Arial" w:hAnsi="Arial"/>
          <w:b w:val="false"/>
          <w:bCs w:val="false"/>
          <w:i w:val="false"/>
          <w:iCs w:val="false"/>
          <w:color w:val="222222"/>
          <w:sz w:val="20"/>
          <w:szCs w:val="20"/>
          <w:rtl/>
        </w:rPr>
        <w:t xml:space="preserve">ضبط حدود القطع الحرجة وقواعد إعادة الطلب من الاستهلاك الفعلي.</w:t>
      </w:r>
    </w:p>
    <w:p>
      <w:pPr>
        <w:spacing w:after="30" w:before="0"/>
      </w:pPr>
      <w:r>
        <w:rPr>
          <w:rFonts w:ascii="Arial" w:cs="Arial" w:eastAsia="Arial" w:hAnsi="Arial"/>
        </w:rPr>
        <w:t xml:space="preserve"/>
      </w:r>
    </w:p>
    <w:p>
      <w:pPr>
        <w:bidi/>
        <w:spacing w:after="120" w:before="40" w:line="264"/>
        <w:jc w:val="center"/>
      </w:pPr>
      <w:r>
        <w:rPr>
          <w:rFonts w:ascii="Arial" w:cs="Arial" w:eastAsia="Arial" w:hAnsi="Arial"/>
          <w:b w:val="false"/>
          <w:bCs w:val="false"/>
          <w:i w:val="false"/>
          <w:iCs w:val="false"/>
          <w:color w:val="595959"/>
          <w:sz w:val="20"/>
          <w:szCs w:val="20"/>
          <w:rtl/>
        </w:rPr>
        <w:t xml:space="preserve">تُقرأ هذه الوثيقة مع وثائق المعمارية (</w:t>
      </w:r>
      <w:r>
        <w:rPr>
          <w:rFonts w:ascii="Arial" w:cs="Arial" w:eastAsia="Arial" w:hAnsi="Arial"/>
          <w:b w:val="false"/>
          <w:bCs w:val="false"/>
          <w:color w:val="595959"/>
          <w:sz w:val="19"/>
          <w:szCs w:val="19"/>
        </w:rPr>
        <w:t xml:space="preserve">D00</w:t>
      </w:r>
      <w:r>
        <w:rPr>
          <w:rFonts w:ascii="Arial" w:cs="Arial" w:eastAsia="Arial" w:hAnsi="Arial"/>
          <w:b w:val="false"/>
          <w:bCs w:val="false"/>
          <w:i w:val="false"/>
          <w:iCs w:val="false"/>
          <w:color w:val="595959"/>
          <w:sz w:val="20"/>
          <w:szCs w:val="20"/>
          <w:rtl/>
        </w:rPr>
        <w:t xml:space="preserve">) والنماذج (</w:t>
      </w:r>
      <w:r>
        <w:rPr>
          <w:rFonts w:ascii="Arial" w:cs="Arial" w:eastAsia="Arial" w:hAnsi="Arial"/>
          <w:b w:val="false"/>
          <w:bCs w:val="false"/>
          <w:color w:val="595959"/>
          <w:sz w:val="19"/>
          <w:szCs w:val="19"/>
        </w:rPr>
        <w:t xml:space="preserve">D01</w:t>
      </w:r>
      <w:r>
        <w:rPr>
          <w:rFonts w:ascii="Arial" w:cs="Arial" w:eastAsia="Arial" w:hAnsi="Arial"/>
          <w:b w:val="false"/>
          <w:bCs w:val="false"/>
          <w:i w:val="false"/>
          <w:iCs w:val="false"/>
          <w:color w:val="595959"/>
          <w:sz w:val="20"/>
          <w:szCs w:val="20"/>
          <w:rtl/>
        </w:rPr>
        <w:t xml:space="preserve">) والصيانة (</w:t>
      </w:r>
      <w:r>
        <w:rPr>
          <w:rFonts w:ascii="Arial" w:cs="Arial" w:eastAsia="Arial" w:hAnsi="Arial"/>
          <w:b w:val="false"/>
          <w:bCs w:val="false"/>
          <w:color w:val="595959"/>
          <w:sz w:val="19"/>
          <w:szCs w:val="19"/>
        </w:rPr>
        <w:t xml:space="preserve">S08</w:t>
      </w:r>
      <w:r>
        <w:rPr>
          <w:rFonts w:ascii="Arial" w:cs="Arial" w:eastAsia="Arial" w:hAnsi="Arial"/>
          <w:b w:val="false"/>
          <w:bCs w:val="false"/>
          <w:i w:val="false"/>
          <w:iCs w:val="false"/>
          <w:color w:val="595959"/>
          <w:sz w:val="20"/>
          <w:szCs w:val="20"/>
          <w:rtl/>
        </w:rPr>
        <w:t xml:space="preserve">) والتشغيل (</w:t>
      </w:r>
      <w:r>
        <w:rPr>
          <w:rFonts w:ascii="Arial" w:cs="Arial" w:eastAsia="Arial" w:hAnsi="Arial"/>
          <w:b w:val="false"/>
          <w:bCs w:val="false"/>
          <w:color w:val="595959"/>
          <w:sz w:val="19"/>
          <w:szCs w:val="19"/>
        </w:rPr>
        <w:t xml:space="preserve">S07</w:t>
      </w:r>
      <w:r>
        <w:rPr>
          <w:rFonts w:ascii="Arial" w:cs="Arial" w:eastAsia="Arial" w:hAnsi="Arial"/>
          <w:b w:val="false"/>
          <w:bCs w:val="false"/>
          <w:i w:val="false"/>
          <w:iCs w:val="false"/>
          <w:color w:val="595959"/>
          <w:sz w:val="20"/>
          <w:szCs w:val="20"/>
          <w:rtl/>
        </w:rPr>
        <w:t xml:space="preserve">) والنقل والترحيل (</w:t>
      </w:r>
      <w:r>
        <w:rPr>
          <w:rFonts w:ascii="Arial" w:cs="Arial" w:eastAsia="Arial" w:hAnsi="Arial"/>
          <w:b w:val="false"/>
          <w:bCs w:val="false"/>
          <w:color w:val="595959"/>
          <w:sz w:val="19"/>
          <w:szCs w:val="19"/>
        </w:rPr>
        <w:t xml:space="preserve">S06</w:t>
      </w:r>
      <w:r>
        <w:rPr>
          <w:rFonts w:ascii="Arial" w:cs="Arial" w:eastAsia="Arial" w:hAnsi="Arial"/>
          <w:b w:val="false"/>
          <w:bCs w:val="false"/>
          <w:i w:val="false"/>
          <w:iCs w:val="false"/>
          <w:color w:val="595959"/>
          <w:sz w:val="20"/>
          <w:szCs w:val="20"/>
          <w:rtl/>
        </w:rPr>
        <w:t xml:space="preserve">) والمالية (</w:t>
      </w:r>
      <w:r>
        <w:rPr>
          <w:rFonts w:ascii="Arial" w:cs="Arial" w:eastAsia="Arial" w:hAnsi="Arial"/>
          <w:b w:val="false"/>
          <w:bCs w:val="false"/>
          <w:color w:val="595959"/>
          <w:sz w:val="19"/>
          <w:szCs w:val="19"/>
        </w:rPr>
        <w:t xml:space="preserve">D04</w:t>
      </w:r>
      <w:r>
        <w:rPr>
          <w:rFonts w:ascii="Arial" w:cs="Arial" w:eastAsia="Arial" w:hAnsi="Arial"/>
          <w:b w:val="false"/>
          <w:bCs w:val="false"/>
          <w:i w:val="false"/>
          <w:iCs w:val="false"/>
          <w:color w:val="595959"/>
          <w:sz w:val="20"/>
          <w:szCs w:val="20"/>
          <w:rtl/>
        </w:rPr>
        <w:t xml:space="preserve">)، باعتبار الإمداد التشغيلي جزءاً من منظومةٍ واحدة لجاهزية المعدات واستمرارية الإنتاج.</w:t>
      </w:r>
    </w:p>
    <w:p>
      <w:pPr>
        <w:spacing w:after="40" w:before="0"/>
      </w:pPr>
      <w:r>
        <w:rPr>
          <w:rFonts w:ascii="Arial" w:cs="Arial" w:eastAsia="Arial" w:hAnsi="Arial"/>
        </w:rPr>
        <w:t xml:space="preserve"/>
      </w:r>
    </w:p>
    <w:p>
      <w:pPr>
        <w:bidi/>
        <w:spacing w:after="120" w:before="80"/>
        <w:jc w:val="center"/>
      </w:pPr>
      <w:r>
        <w:rPr>
          <w:rFonts w:ascii="Arial" w:cs="Arial" w:eastAsia="Arial" w:hAnsi="Arial"/>
          <w:b/>
          <w:bCs/>
          <w:i w:val="false"/>
          <w:iCs w:val="false"/>
          <w:color w:val="1F4E79"/>
          <w:sz w:val="22"/>
          <w:szCs w:val="22"/>
          <w:rtl/>
        </w:rPr>
        <w:t xml:space="preserve">—  نهاية الوثيقة  —</w:t>
      </w:r>
    </w:p>
    <w:sectPr>
      <w:headerReference w:type="default" r:id="rId7"/>
      <w:footerReference w:type="default" r:id="rId8"/>
      <w:pgSz w:w="12240" w:h="15840" w:orient="portrait"/>
      <w:pgMar w:top="13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bidi/>
      <w:spacing w:after="0" w:before="60"/>
      <w:jc w:val="center"/>
    </w:pPr>
    <w:r>
      <w:rPr>
        <w:rFonts w:ascii="Arial" w:cs="Arial" w:eastAsia="Arial" w:hAnsi="Arial"/>
        <w:b w:val="false"/>
        <w:bCs w:val="false"/>
        <w:i w:val="false"/>
        <w:iCs w:val="false"/>
        <w:color w:val="595959"/>
        <w:sz w:val="16"/>
        <w:szCs w:val="16"/>
        <w:rtl/>
      </w:rPr>
      <w:t xml:space="preserve">مجموعة إكيوبيشن  ·  مُقيّد للاستخدام المؤسسي    —    صفحة </w:t>
    </w:r>
    <w:r>
      <w:rPr>
        <w:rFonts w:ascii="Arial" w:cs="Arial" w:eastAsia="Arial" w:hAnsi="Arial"/>
        <w:b/>
        <w:bCs/>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bidi/>
      <w:spacing w:after="60" w:before="0"/>
      <w:jc w:val="right"/>
    </w:pPr>
    <w:r>
      <w:rPr>
        <w:rFonts w:ascii="Arial" w:cs="Arial" w:eastAsia="Arial" w:hAnsi="Arial"/>
        <w:b/>
        <w:bCs/>
        <w:i w:val="false"/>
        <w:iCs w:val="false"/>
        <w:color w:val="1F4E79"/>
        <w:sz w:val="16"/>
        <w:szCs w:val="16"/>
        <w:rtl/>
      </w:rPr>
      <w:t xml:space="preserve">مواصفات المشتريات والمخزون والعهدة  ·  قطاع تشغيل المعدات</w:t>
    </w:r>
    <w:r>
      <w:rPr>
        <w:rFonts w:ascii="Arial" w:cs="Arial" w:eastAsia="Arial" w:hAnsi="Arial"/>
        <w:b w:val="false"/>
        <w:bCs w:val="false"/>
        <w:i w:val="false"/>
        <w:iCs w:val="false"/>
        <w:color w:val="222222"/>
        <w:sz w:val="16"/>
        <w:szCs w:val="16"/>
        <w:rtl/>
      </w:rPr>
      <w:t xml:space="preserve">        </w:t>
    </w:r>
    <w:r>
      <w:rPr>
        <w:rFonts w:ascii="Arial" w:cs="Arial" w:eastAsia="Arial" w:hAnsi="Arial"/>
        <w:b w:val="false"/>
        <w:bCs w:val="false"/>
        <w:color w:val="595959"/>
        <w:sz w:val="16"/>
        <w:szCs w:val="16"/>
      </w:rPr>
      <w:t xml:space="preserve">EQUIP-OPE-S09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40"/>
      </w:pPr>
      <w:rPr>
        <w:color w:val="2E75B6"/>
      </w:rPr>
    </w:lvl>
  </w:abstractNum>
  <w:abstractNum w:abstractNumId="3" w15:restartNumberingAfterBreak="0">
    <w:multiLevelType w:val="hybridMultilevel"/>
    <w:lvl w:ilvl="0" w15:tentative="1">
      <w:start w:val="1"/>
      <w:numFmt w:val="decimal"/>
      <w:lvlText w:val="%1."/>
      <w:lvlJc w:val="right"/>
      <w:pPr>
        <w:ind w:right="420" w:hanging="260"/>
      </w:pPr>
      <w:rPr>
        <w:b/>
        <w:bC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EQUIP-OPE-S09 — مواصفات المشتريات والمخزون والعهدة</dc:title>
  <dc:creator>EQUIPATION</dc:creator>
  <cp:lastModifiedBy>Un-named</cp:lastModifiedBy>
  <cp:revision>1</cp:revision>
  <dcterms:created xsi:type="dcterms:W3CDTF">2026-06-22T14:37:37.962Z</dcterms:created>
  <dcterms:modified xsi:type="dcterms:W3CDTF">2026-06-22T14:37:37.978Z</dcterms:modified>
</cp:coreProperties>
</file>

<file path=docProps/custom.xml><?xml version="1.0" encoding="utf-8"?>
<Properties xmlns="http://schemas.openxmlformats.org/officeDocument/2006/custom-properties" xmlns:vt="http://schemas.openxmlformats.org/officeDocument/2006/docPropsVTypes"/>
</file>