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0" w:before="520"/>
        <w:jc w:val="left"/>
      </w:pPr>
      <w:r>
        <w:rPr>
          <w:rFonts w:ascii="Segoe UI" w:cs="Segoe UI" w:eastAsia="Segoe UI" w:hAnsi="Segoe UI"/>
          <w:b/>
          <w:bCs/>
          <w:color w:val="1F3A5F"/>
          <w:sz w:val="40"/>
          <w:szCs w:val="40"/>
        </w:rPr>
        <w:t xml:space="preserve">EQUIPATION</w:t>
      </w:r>
    </w:p>
    <w:p>
      <w:pPr>
        <w:bidi/>
        <w:spacing w:after="70"/>
        <w:jc w:val="left"/>
      </w:pPr>
      <w:r>
        <w:rPr>
          <w:rFonts w:ascii="Segoe UI" w:cs="Segoe UI" w:eastAsia="Segoe UI" w:hAnsi="Segoe UI"/>
          <w:b/>
          <w:bCs/>
          <w:color w:val="2E5F8A"/>
          <w:sz w:val="17"/>
          <w:szCs w:val="17"/>
        </w:rPr>
        <w:t xml:space="preserve">EQUIPMENT OPERATIONS COMPANY</w:t>
      </w:r>
    </w:p>
    <w:p>
      <w:pPr>
        <w:bidi/>
        <w:spacing w:after="250"/>
        <w:jc w:val="right"/>
      </w:pPr>
      <w:r>
        <w:rPr>
          <w:rFonts w:ascii="Segoe UI" w:cs="Segoe UI" w:eastAsia="Segoe UI" w:hAnsi="Segoe UI"/>
          <w:b/>
          <w:bCs/>
          <w:color w:val="1F2328"/>
          <w:sz w:val="30"/>
          <w:szCs w:val="30"/>
          <w:rtl/>
        </w:rPr>
        <w:t xml:space="preserve">شركة تشغيل المعدات</w:t>
      </w:r>
    </w:p>
    <w:p>
      <w:pPr>
        <w:bidi/>
        <w:spacing w:after="60"/>
        <w:jc w:val="left"/>
      </w:pPr>
      <w:r>
        <w:rPr>
          <w:rFonts w:ascii="Segoe UI" w:cs="Segoe UI" w:eastAsia="Segoe UI" w:hAnsi="Segoe UI"/>
          <w:i/>
          <w:iCs/>
          <w:color w:val="6B7280"/>
          <w:sz w:val="19"/>
          <w:szCs w:val="19"/>
        </w:rPr>
        <w:t xml:space="preserve">INJAZ · UX/UI Reconstruction — Executable Specification</w:t>
      </w:r>
    </w:p>
    <w:p>
      <w:pPr>
        <w:bidi/>
        <w:spacing w:after="16"/>
      </w:pPr>
      <w:r>
        <w:rPr>
          <w:rFonts w:ascii="Segoe UI" w:cs="Segoe UI" w:eastAsia="Segoe UI" w:hAnsi="Segoe UI"/>
          <w:b/>
          <w:bCs/>
          <w:color w:val="1F2328"/>
          <w:sz w:val="32"/>
          <w:szCs w:val="32"/>
          <w:rtl/>
        </w:rPr>
        <w:t xml:space="preserve">إعادة بناء واجهة المستخدم وتجربته — المواصفة التنفيذية</w:t>
      </w:r>
    </w:p>
    <w:p>
      <w:pPr>
        <w:bidi/>
        <w:spacing w:after="110"/>
      </w:pPr>
      <w:r>
        <w:rPr>
          <w:rFonts w:ascii="Segoe UI" w:cs="Segoe UI" w:eastAsia="Segoe UI" w:hAnsi="Segoe UI"/>
          <w:color w:val="6B7280"/>
          <w:sz w:val="19"/>
          <w:szCs w:val="19"/>
          <w:rtl/>
        </w:rPr>
        <w:t xml:space="preserve">من واجهةٍ متفاوتةٍ إلى قشرةٍ موحَّدةٍ ونواةِ مكوناتٍ ومعاييرِ قبولٍ بصريةٍ تمنع الدمج</w:t>
      </w:r>
    </w:p>
    <w:p>
      <w:pPr>
        <w:bidi/>
        <w:spacing w:after="200"/>
      </w:pPr>
      <w:r>
        <w:rPr>
          <w:rFonts w:ascii="Segoe UI" w:cs="Segoe UI" w:eastAsia="Segoe UI" w:hAnsi="Segoe UI"/>
          <w:b/>
          <w:bCs/>
          <w:color w:val="9C2B24"/>
          <w:sz w:val="18"/>
          <w:szCs w:val="18"/>
          <w:rtl/>
        </w:rPr>
        <w:t xml:space="preserve">مُقيّد — للاستخدام المؤسسي — </w:t>
      </w:r>
      <w:r>
        <w:rPr>
          <w:rFonts w:ascii="Segoe UI" w:cs="Segoe UI" w:eastAsia="Segoe UI" w:hAnsi="Segoe UI"/>
          <w:b/>
          <w:bCs/>
          <w:color w:val="9C2B24"/>
          <w:sz w:val="18"/>
          <w:szCs w:val="18"/>
        </w:rPr>
        <w:t xml:space="preserve">Restricted / Internal Use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معرّف الوثيقة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UXR-01 — إعادة بناء واجهة المستخدم وتجربته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العنوان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INJAZ · UX/UI Reconstruction — Executable Specification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الحالة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وثيقةٌ نافذةٌ في حزمةِ منصة إنجاز — خطُّ الأساس 2026-08-06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الغرض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نقلُ طبقةِ الواجهةِ من تفاوتٍ مرصودٍ إلى قشرةٍ موحَّدةٍ ونواةِ مكوناتٍ ومعاييرِ قبولٍ تمنع الانحراف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المنهجُ الحاكم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إصلاحُ القشرةِ أولًا ثم المكوناتِ ثم الشاشاتِ التمثيليةِ ثم الدفعات — ولا إصلاحَ شاشةٍ بأنماطٍ موضعية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النطاق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ثمانيةُ مكوناتِ قشرةٍ · وعشرون مكوّنًا أساسيًّا · وثمانُ شاشاتٍ تمثيليةٍ · واثنا عشرَ عيبًا حيًّا · وستةَ عشرَ معيارَ قبولٍ بصري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الوثائقُ الحاكمةُ فوقها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INJAZ-CORE-01 الدستور · INJAZ-UX-01 الشاشاتُ والنظامُ التصميمي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حدُّ الوثيقة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مواصفةٌ تنفيذيةٌ لا تقريرُ قياس — والتبنّي يُقاس على النظام العاملِ بعدّاداتها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التصنيف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Restricted / Internal Use — مُقيّد للاستخدام المؤسسي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الأحكامُ الخام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121 حكمًا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المتطلباتُ الذرية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◆ 267 متطلبًا قابلًا للاختبارِ منفردًا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نمطُ الإخراج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Executive Review — عرضٌ تنفيذيٌّ للجانِ المراجعةِ والاستثمار · والمرجعُ الكاملُ في النسخةِ التقنية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١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ضبطُ الوثيقةِ والسريةُ وبيانُ المطابقة</w:t>
            </w:r>
          </w:p>
        </w:tc>
      </w:tr>
    </w:tbl>
    <w:p>
      <w:pPr>
        <w:spacing w:after="17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١-١  ضبطُ الوثيقة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700"/>
        <w:gridCol w:w="2200"/>
        <w:gridCol w:w="2300"/>
      </w:tblGrid>
      <w:tr>
        <w:trPr>
          <w:tblHeader/>
        </w:trP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البند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القيمة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البند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القيمة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معرّفُ الوثيقة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UXR-01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التصنيف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Restricted / Internal Use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المالكُ المُعِدّ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مكتب هندسة النظم المؤسسية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الجهةُ المعتمِدة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الرئيس التنفيذي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لغةُ الوثيقة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العربيةُ الفصحى — RTL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نظامُ الترقيم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تسلسليٌّ بالفصلِ والكتلة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نطاقُ السريان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منصةُ إنجاز — كلُّ الكيانات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دوريةُ المراجعة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عند كل تغييرٍ حاكمٍ أو سنويًّا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حالةُ النفاذ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نافذةٌ — ضمن خطِّ الأساس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مسارُ التغيير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Change Control الرسميُّ بستِّ خطوات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١-٢  بيانُ السريةِ والتوزيع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مُقيّد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هذه الوثيقةُ مُقيَّدةُ التداولِ ومملوكةٌ لمجموعة إكوبيشن — شركة تشغيل المعدات. لا يجوز نسخُها ولا اقتباسُ أجزاءٍ منها ولا تداولُها خارجَ الجهاتِ المصرَّحِ لها إلا بإذنٍ مكتوبٍ من مالكها. وكلُّ نسخةٍ تُسلَّم تُسجَّل بجهةِ الاستلامِ وتاريخِه.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200"/>
        <w:gridCol w:w="3800"/>
      </w:tblGrid>
      <w:tr>
        <w:trPr>
          <w:tblHeader/>
        </w:trP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جهةُ التوزيع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الغرض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حدُّ الاستعمال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الإدارةُ التنفيذيةُ والنواب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القرارُ والاعتماد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مكتبُ هندسة النظم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البناءُ والمراجعةُ المعمارية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الإدارةُ المالكةُ للنطاق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التحققُ الوظيفيُّ والاعتماد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فريقُ التطويرِ والاختبار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التنفيذُ وإثباتُ القبول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الحوكمةُ والالتزامُ والتدقيقُ الداخلي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فحصُ الالتزامِ والشواهد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جهةٌ خارجيةٌ مراجعةٌ أو تمويلية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التقييمُ والعنايةُ الواجبة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بإذنٍ مكتوبٍ من المالكِ وتسجيلِ النسخة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١-٣  بيانُ المطابقةِ والمعاييرِ المتَّبعة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أُعدَّت هذه الوثيقةُ وفقَ الممارساتِ المهنيةِ المعتمدةِ في توثيقِ متطلباتِ النظمِ المؤسسية، وتلتزم بالمعاييرِ الآتيةِ بوصفها معاييرَ مستهدَفةً مناسبةً لمنصةٍ تطلب مستوًى مؤسسيًّا وسياديًّا عاليًا:</w:t>
      </w:r>
    </w:p>
    <w:p>
      <w:pPr>
        <w:spacing w:after="1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400"/>
        <w:gridCol w:w="3600"/>
      </w:tblGrid>
      <w:tr>
        <w:trPr>
          <w:tblHeader/>
        </w:trP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المحور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المعيارُ المستهدَف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كيف يُثبَت الالتزام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هندسةُ المتطلبات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كلُّ متطلبٍ ذريٌّ قابلٌ للاختبارِ منفردًا وله شاهدُ قبولٍ مكتوب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سجلُّ المتطلباتِ في هذه الوثيقةِ — كلُّ صفٍّ بشاهده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التتبعُ الكامل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كلُّ متطلبٍ يُتتبَّع إلى مصدرِه وبابِه وحالةِ تنفيذه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التتبعِ في الفصلِ قبلَ الأخير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فصلُ الواجبات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مصفوفةٌ معرَّفةٌ سلفًا وقيدٌ بنيويٌّ يرفض الجمع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الحوكمةِ — فصلُ الواجبات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أثرُ التدقيق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سجلُّ تدقيقٍ لكل فعلٍ يكتب وسجلُّ اطّلاعٍ لكل حقلٍ حساس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الحوكمةِ — سجلاتُ التدقيقِ الأربعة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عدمُ الرجعية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المستندُ المعتمدُ لا يُعدَّل — والتصحيحُ حركةٌ جديدةٌ أو عاكسة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قاعدةُ عدمِ الرجعيةِ في مصفوفة الحوكمة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عزلُ البيانات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حقنٌ إجباريٌّ لمعرّف الكيانِ في طبقة الوصول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عمودُ الكيانِ في كل شاشةٍ — مصفوفةُ الحوكمة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الوصولُ الرقمي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WCAG 2.2 AA معيارٌ مستهدَفٌ — والالتزامُ يُقاس ولا يُدَّعى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بابُ الوصولِ الرقميِّ في سجل المتطلبات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العربيةُ والاتجاه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العربيةُ وRTL أصلُ التصميمِ لا معالجةً لاحقة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بابُ الشاشاتِ ومواصفةُ المكونات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حدُّ بيانِ المطابقة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تُذكر هذه المعاييرُ بوصفها مستهدَفةً ومناسبةً لطبيعةِ المنصة. وأيُّ ادعاءٍ بأن معيارًا بعينِه إلزامٌ تنظيميٌّ في جهةٍ أو ولايةٍ قضائيةٍ محددةٍ يحتاج تحققًا مستقلًّا من متطلباتِ تلك الجهةِ — ولا يُدرَج في هذه الوثيقةِ حقيقةً عامةً بلا مصدر.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٠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الفهرس</w:t>
            </w:r>
          </w:p>
        </w:tc>
      </w:tr>
    </w:tbl>
    <w:p>
      <w:pPr>
        <w:spacing w:after="17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◆ لتحديث الفهرس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حقلُ الفهرسِ في Word يُحدَّث بالضغط داخلَه ثم F9 — أو من قائمة «مراجع» ثم «تحديث الجدول». والفهرسُ النصيُّ أدناه احتياطيٌّ ثابتٌ لا يحتاج تحديثًا.</w:t>
            </w:r>
          </w:p>
        </w:tc>
      </w:tr>
    </w:tbl>
    <w:p>
      <w:pPr>
        <w:spacing w:after="140"/>
      </w:pPr>
    </w:p>
    <w:sdt>
      <w:sdtPr>
        <w:alias w:val="الفهرس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7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فهرسٌ نصيٌّ احتياطي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8500"/>
      </w:tblGrid>
      <w:tr>
        <w:trPr>
          <w:tblHeader/>
        </w:trP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#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الفصل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ضبطُ الوثيقةِ والسريةُ وبيانُ المطابقة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٢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الملخصُ التنفيذي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٣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كيف تُقرأ هذه الوثيقة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٤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المتطلباتُ الوظيفيةُ الذريةُ الكاملة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٥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التتبعِ ومعاييرُ القبول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٦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قاموسُ المصطلحاتِ والاختصارات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٧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سجلُّ الإعدادِ والمراجعةِ والاعتماد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٢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الملخصُ التنفيذي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ترصد هذه الوثيقةُ فجوةً حقيقيةً: البنيةُ الخلفيةُ للمنصةِ عند مستوًى مؤسسيٍّ عالٍ · وطبقةُ الواجهةِ دونه بكثير. والفجوةُ ليست ذوقًا بل غيابَ قشرةٍ موحِّدةٍ ونواةِ مكوناتٍ ومعاييرِ قبولٍ تمنع الانحراف.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وتعالجها بأربعِ مراحلَ مرتَّبةٍ بالاعتمادية — ولا تُقفز مرحلةٌ ولا تُرحَّل شاشةٌ قبل بناءِ مكوناتها.</w:t>
      </w:r>
    </w:p>
    <w:p>
      <w:pPr>
        <w:spacing w:after="14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٢-١  الأرقامُ الحاكمة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600"/>
        <w:gridCol w:w="4600"/>
      </w:tblGrid>
      <w:tr>
        <w:trPr>
          <w:tblHeader/>
        </w:trP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ما قِيس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العدد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الدلالة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مكوناتُ القشرة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٨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تُبنى أولًا قبل أي شاشة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المكوناتُ الأساسية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٢٠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نواةٌ تُبنى قبل أي ترحيل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الشاشاتُ التمثيلية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٨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نماذجُ حيةٌ تُعتمد قبل التعميم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العيوبُ الحيةُ المرصودة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١٢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بمعرّفٍ ومالكٍ ودليلِ إغلاقٍ لكلٍّ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معاييرُ القبولِ البصري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١٦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تُفحص آليًّا وتمنع الدمج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المتطلباتُ الذرية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٢٦٧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لكلٍّ شاهدُ قبولٍ مكتوب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٢-٢  الأحكامُ الخمسةُ التي لا تُخالَف في هذا النطاق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لا إصلاحَ شاشةٍ بأنماطٍ موضعية — القشرةُ أولًا ثم المكوناتُ ثم الشاشات.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لا لونٌ ولا حجمٌ ولا استدارةٌ ولا مكوّنٌ خارج النظام التصميمي.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لا رقمٌ بلا فترةٍ ووحدةٍ ومصدرٍ وتعمّق — والرقمُ وحدَه ليس قرارًا.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لا رسمٌ بلا بياناتٍ يعرض محاورَ افتراضية — بل حالةٌ فارغةٌ مفسَّرة.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بوابةُ القبولِ البصريِّ ليست بوابةَ التسليمِ الوظيفية — عشرون ضدَّ عشرين بمضمونين.</w:t>
      </w:r>
    </w:p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٣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كيف تُقرأ هذه الوثيقة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هذه الوثيقةُ تُقرأ مرةً واحدةً من أولها إلى آخرها قبل كتابةِ سطرٍ واحدٍ من الواجهة. فترتيبُها هو ترتيبُ التنفيذِ نفسِه: القشرةُ ثم المكوناتُ ثم الشاشاتُ التمثيليةُ ثم الدفعات.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◆ والحكمُ الأولُ فيها أن إصلاحَ الشاشاتِ واحدةً واحدةً بأنماطٍ موضعيةٍ يكرر الفوضى ولا يُنهيها. فالتفاوتُ المرصودُ ليس عيوبًا متفرقةً بل غيابَ طبقةٍ موحِّدة.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وهي مواصفةٌ تنفيذيةٌ لا تقريرَ قياس: تقول ما يجب أن يكون وكيف يُثبَت — والتبنّي الفعليُّ يُقاس على النظام العاملِ بالعدّاداتِ التي تحددها.</w:t>
      </w:r>
    </w:p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2500"/>
        <w:gridCol w:w="5200"/>
      </w:tblGrid>
      <w:tr>
        <w:trPr>
          <w:tblHeader/>
        </w:trP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القارئ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ما يحتاجه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مسارُ قراءته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فريقُ الواجهة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القشرةَ والمكوناتِ والشاشاتِ التمثيلية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الفصولُ ١–٣ بالترتيب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فريقُ التصميم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الرموزَ والشبكةَ ومعاييرَ القبولِ البصري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الفصلان ١ و٥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ضمانُ الجودة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العيوبَ الحيةَ ومعاييرَ القبولِ وبوابةَ المنع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الفصلان ٤ و٥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مكتبُ الهندسة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الترتيبَ والدفعاتِ والعدّادات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الفصلُ ٦</w:t>
            </w:r>
          </w:p>
        </w:tc>
      </w:tr>
    </w:tbl>
    <w:p>
      <w:pPr>
        <w:spacing w:after="16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قاعدةُ الاكتفاء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هذه الوثيقةُ مكتفيةٌ لتنفيذ إعادةِ البناء. وما يعلوها الدستورُ ووثيقةُ الشاشاتِ والنظامِ التصميميِّ — يُرجع إليهما للرموزِ والمكوناتِ ومحاورِ الحالةِ والمناظر.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قاعدةُ التفسير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عند تعارضِ نصٍّ هنا مع الدستورِ فالدستورُ نافذ. وعند تعارضه مع النظام التصميميِّ فالنظامُ نافذٌ في الرموزِ والمكوناتِ وهذه نافذةٌ في القشرةِ والترتيبِ ومعاييرِ القبول.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٤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المتطلباتُ الوظيفيةُ الذريةُ الكاملة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تحمل هذه الوثيقةُ 267 متطلبًا ذريًّا قابلًا للاختبارِ منفردًا — مستخرَجةً من 121 حكمًا خامًّا. ولكلٍّ معرّفٌ ثابتٌ ونصٌّ ومصدرٌ واختبارُ قبولٍ وحالةُ تنفيذ. وهي مرتَّبةٌ بأبوابها لا بترتيب استخراجها.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◆ نمطُ العرضِ التنفيذي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يُعرض هنا توزّعُ المتطلباتِ على الأبوابِ لا نصوصُها. والنصوصُ الكاملةُ بمعرّفاتها واختباراتِ قبولها في النسخةِ التقنيةِ الكاملةِ من هذه الوثيقةِ نفسِها — تُولَّد من المصدرِ ذاتِه بنمطِ Technical Full.</w:t>
            </w:r>
          </w:p>
        </w:tc>
      </w:tr>
    </w:tbl>
    <w:p>
      <w:pPr>
        <w:spacing w:after="150"/>
      </w:pPr>
    </w:p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  المقاييسُ والدَّينُ والإغلاق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69 متطلبًا ذريًّا</w:t>
      </w:r>
    </w:p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٤-٢  عمقُ ربطِ الأفعال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29 متطلبًا ذريًّا</w:t>
      </w:r>
    </w:p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٤-٣  قشرةُ التطبيق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33 متطلبًا ذريًّا</w:t>
      </w:r>
    </w:p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٤-٤  نواةُ المكونات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44 متطلبًا ذريًّا</w:t>
      </w:r>
    </w:p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٤-٥  الشاشاتُ التمثيلية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19 متطلبًا ذريًّا</w:t>
      </w:r>
    </w:p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٤-٦  العيوبُ الحيةُ المرصودة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35 متطلبًا ذريًّا</w:t>
      </w:r>
    </w:p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٤-٧  معاييرُ القبولِ البصري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30 متطلبًا ذريًّا</w:t>
      </w:r>
    </w:p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٤-٨  تبنّي الغلافِ الحاكم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8 متطلبًا ذريًّا</w:t>
      </w:r>
    </w:p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٥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مصفوفةُ التتبعِ ومعاييرُ القبول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كلُّ متطلبٍ يُتتبَّع إلى مصدرِه وبابِه وحالةِ تنفيذه. وهذه المصفوفةُ أساسُ فحصِ الالتزامِ ومراجعةِ التدقيق.</w:t>
      </w:r>
    </w:p>
    <w:p>
      <w:pPr>
        <w:spacing w:after="14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٥-١  توزّعُ المتطلباتِ على الأبواب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0"/>
        <w:gridCol w:w="1500"/>
        <w:gridCol w:w="3500"/>
      </w:tblGrid>
      <w:tr>
        <w:trPr>
          <w:tblHeader/>
        </w:trP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الباب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المتطلبات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المصدرُ الحاكم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المقاييسُ والدَّينُ والإغلاق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69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عمقُ ربطِ الأفعال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29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قشرةُ التطبيق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33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نواةُ المكونات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44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الشاشاتُ التمثيلية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19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العيوبُ الحيةُ المرصودة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35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معاييرُ القبولِ البصري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30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تبنّي الغلافِ الحاكم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8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الإجمالي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267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٥-٢  معاييرُ القبولِ الحاكمة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4200"/>
        <w:gridCol w:w="3900"/>
      </w:tblGrid>
      <w:tr>
        <w:trPr>
          <w:tblHeader/>
        </w:trP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المعيار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الشرط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الشاهدُ الذي يُفحص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AC-U1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القشرةُ موحَّدةٌ قبل أي شاشة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ثمانيةُ مكوناتِ قشرةٍ مبنيةٌ ومطبَّقة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AC-U2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نواةُ العشرين مبنيةٌ بحالاتها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كلُّ مكوّنٍ يُظهر حالاتِه في الكتالوج الحيّ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AC-U3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الشاشاتُ الثمانِ معتمدةٌ بصفرِ كسر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محضرُ اعتمادٍ لكل شاشة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AC-U4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العيوبُ الاثنا عشرَ مغلقةٌ بدليل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كلٌّ بدليلِ إغلاقِه المكتوب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AC-U5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معاييرُ القبولِ الستةَ عشرَ مفعَّلة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بوابةُ القبولِ البصريِّ في خطِّ التسليم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AC-U6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لونٍ أو حجمٍ خارج الرموز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مسحٌ آليٌّ يمنع الدمج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AC-U7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صفرُ جدولٍ يبلغ صفرَ أعمدة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محاولةُ إخفاءِ الكلِّ تُرفض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AC-U8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رقمٍ بلا فترةٍ ووحدةٍ ومصدر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فحصُ حقولِ كلِّ بطاقة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AC-U9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رسمٍ بلا بياناتٍ بمحاورَ افتراضية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فحصُ كلِّ رسمٍ بمجموعةٍ فارغة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AC-U10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مئةٌ بالمئةِ من المؤهَّلةِ تتبنى الغلاف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عدّادٌ حيٌّ يبلغ مقامَه المعلَن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٥-٣  المخاطرُ التنفيذية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3900"/>
        <w:gridCol w:w="1300"/>
        <w:gridCol w:w="3100"/>
      </w:tblGrid>
      <w:tr>
        <w:trPr>
          <w:tblHeader/>
        </w:trP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الرمز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الخطر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الاحتمال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المعالجة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RSK-U1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الإصلاحُ الموضعيُّ بدل القشرة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الترتيبُ إلزاميٌّ — والفحصُ يمنع نمطًا موضعيًّا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RSK-U2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ترحيلُ شاشاتٍ قبل بناءِ مكوناتها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شاشةٍ مرحَّلةٍ قبل مكوناتها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RSK-U3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تقديرُ الجهدِ بأقلَّ من حجمه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المرحلتان الأولى والثانيةُ لا تقلان عن أسابيعَ لا أيام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RSK-U4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الاكتفاءُ بإصلاحِ العيوبِ الاثني عشرَ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متوسط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تدقيقٌ بصريٌّ كاملٌ لا يقتصر عليها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RSK-U5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الخلطُ بين بوابتَي العشرين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متوسط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تسميةٌ صريحةٌ لكلٍّ ولا يُقرأ نجاحُ إحداهما للأخرى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RSK-U6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إعلانُ تبنٍّ بلا عدّادٍ حيّ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العدّادُ يُقرأ من النظامِ لا من تقرير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٥-٤  الافتراضاتُ والاعتماديات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الدستورُ والنظامُ التصميميُّ نافذان ومعتمدان.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الرموزُ بثلاثِ طبقاتٍ معرَّفةٌ بقيمٍ محدَّدةٍ لا نطاقات.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الغلافُ الحاكمُ مبنيٌّ ويبثُّ المحاورَ الخمسة.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نظامُ الشاشاتِ مصدرُ توليدِ التنقلِ ولا يُكتب رابطٌ يدويًّا.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العيوبُ الاثنا عشرَ مرصودةٌ من لقطاتِ النظامِ الحيِّ — والتدقيقُ الكاملُ ينتظر فريقَ الشركة.</w:t>
      </w:r>
    </w:p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٦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قاموسُ المصطلحاتِ والاختصارات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تُستعمل هذه المصطلحاتُ بمعانيها المثبَّتةِ هنا في هذه الوثيقةِ وفي الحزمةِ كلِّها. والعمودُ الثالثُ يمنع الخلطَ الشائع.</w:t>
      </w:r>
    </w:p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4700"/>
        <w:gridCol w:w="2800"/>
      </w:tblGrid>
      <w:tr>
        <w:trPr>
          <w:tblHeader/>
        </w:trP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المصطلح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تعريفُه المثبَّت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ما لا يُخلط به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مصدرُ الحقيقة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الموضعُ الوحيدُ الذي يُنشأ فيه البيانُ ويُعدَّل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أولَ موضعٍ يُعرض فيه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الكيان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شخصيةٌ اعتباريةٌ لها سجلٌّ وذمةٌ مستقلة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الإدارةَ — الإدارةُ داخل الكيان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الواقعةُ التشغيلية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حدثٌ وقع في الميدانِ وله شهودٌ ومستند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ليست الإدخالَ — الإدخالُ تسجيلٌ لها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سلسلةُ الاعتماد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حلقاتٌ تشهد كلٌّ بما لا تشهد به غيرُها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ليست موافقاتٍ متتالية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الحارس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قاعدةُ منعٍ تُنفَّذ في الخادمِ قبل الحفظ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التنبيهَ — التنبيهُ يُتجاوز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الأثرُ المالي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تغيّرٌ في الذممِ أو الأرصدةِ نتج عن واقعةٍ معتمدة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القيدَ — القيدُ تسجيلُ الأثر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العكس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حركةٌ مقابلةٌ تُبطل أثرَ سابقةٍ بمرجعها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الحذفَ — الحذفُ يمحو والعكسُ يُبقي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المتطلبُ الذري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متطلبٌ قابلٌ للاختبارِ منفردًا بشاهدٍ واحد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المبدأَ — المبدأُ يُقرأ والمتطلبُ يُختبر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المنظرُ المختصر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مجموعةُ أعمدةٍ مختارةٌ لمهمةٍ بعينها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فلترَ بيانات — الفلترُ يقلّل الصفوف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الأعمدةُ الحاكمة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سبعةُ أعمدةٍ تُحقن من طبقةٍ مشتركةٍ لتتبعِ المسؤولية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ليست حقولَ عرضٍ — بل أساسَ المساءلة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الحقلُ الحساس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حقلٌ لا يُعرض ولا يُصدَّر إلا بمنحٍ فردي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المخفيَّ — المخفيُّ عرضٌ والحساسُ حكم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نوعُ العقدِ التنظيمي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تصنيفُ الوحدةِ في الهيكل — سبعةُ أنواع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الاسمَ — فليس كلُّ ما في الهيكل إدارةً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٧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سجل الإعداد والمراجعة والاعتماد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لا يُدمج كودٌ يمسّ هذه الإدارةَ ولا تُنشأ شاشةٌ فيها قبل فحص الالتزامِ بهذه الوثيقة. والالتزامُ لا يُدَّعى بل يُشهَد له بشاهدٍ محدَّدٍ يُفحص.</w:t>
      </w:r>
    </w:p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100"/>
        <w:gridCol w:w="2300"/>
        <w:gridCol w:w="2300"/>
      </w:tblGrid>
      <w:tr>
        <w:trPr>
          <w:tblHeader/>
        </w:trP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الإجراء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الجهة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الاسمُ والصفة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التوقيعُ والتاريخ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إعداد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مكتب هندسة النظم المؤسسية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نائب الرئيس التنفيذي لشؤون العمليات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مدير الحوكمة والالتزام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مسؤول ضمان الجودة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قائد فريق التطوير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اعتماد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الرئيس التنفيذي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50" w:right="1320" w:bottom="1150" w:left="13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Segoe UI" w:cs="Segoe UI" w:eastAsia="Segoe UI" w:hAnsi="Segoe UI"/>
        <w:color w:val="6B7280"/>
        <w:sz w:val="15"/>
        <w:szCs w:val="15"/>
        <w:rtl/>
      </w:rPr>
      <w:t xml:space="preserve">إعادة بناء واجهة المستخدم وتجربته — المواصفة التنفيذية   ·   UXR-01   —   صفحة </w:t>
    </w:r>
    <w:r>
      <w:rPr>
        <w:rFonts w:ascii="Segoe UI" w:cs="Segoe UI" w:eastAsia="Segoe UI" w:hAnsi="Segoe UI"/>
        <w:b/>
        <w:bCs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6"/>
      </w:pBdr>
      <w:tabs>
        <w:tab w:val="left" w:pos="0"/>
        <w:tab w:val="right" w:pos="9600"/>
      </w:tabs>
      <w:bidi/>
      <w:spacing w:after="0"/>
    </w:pPr>
    <w:r>
      <w:rPr>
        <w:rFonts w:ascii="Segoe UI" w:cs="Segoe UI" w:eastAsia="Segoe UI" w:hAnsi="Segoe UI"/>
        <w:b/>
        <w:bCs/>
        <w:color w:val="2E5F8A"/>
        <w:sz w:val="15"/>
        <w:szCs w:val="15"/>
      </w:rPr>
      <w:t xml:space="preserve">UXR-01</w:t>
    </w:r>
    <w:r>
      <w:rPr>
        <w:rFonts w:ascii="Segoe UI" w:cs="Segoe UI" w:eastAsia="Segoe UI" w:hAnsi="Segoe UI"/>
        <w:color w:val="6B7280"/>
        <w:sz w:val="15"/>
        <w:szCs w:val="15"/>
        <w:rtl/>
      </w:rPr>
      <w:t xml:space="preserve">    إعادةُ بناءِ الواجهةِ والتجربة</w:t>
    </w:r>
    <w:r>
      <w:rPr>
        <w:rFonts w:ascii="Segoe UI" w:cs="Segoe UI" w:eastAsia="Segoe UI" w:hAnsi="Segoe UI"/>
        <w:color w:val="6B7280"/>
        <w:sz w:val="15"/>
        <w:szCs w:val="15"/>
        <w:rtl/>
      </w:rPr>
      <w:t xml:space="preserve">	مجموعة إكوبيشن · شركة تشغيل المعدات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>
      <w:pPr>
        <w:spacing w:line="30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2026-08-07T19:31:00.610Z</dcterms:created>
  <dcterms:modified xsi:type="dcterms:W3CDTF">2026-08-07T19:31:00.610Z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