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60" w:before="1100"/>
        <w:jc w:val="center"/>
      </w:pPr>
      <w:r>
        <w:rPr>
          <w:rFonts w:ascii="Segoe UI" w:cs="Segoe UI" w:eastAsia="Segoe UI" w:hAnsi="Segoe UI"/>
          <w:b/>
          <w:bCs/>
          <w:color w:val="C00000"/>
          <w:sz w:val="24"/>
          <w:szCs w:val="24"/>
          <w:rtl/>
        </w:rPr>
        <w:t xml:space="preserve">أمر تنفيذي</w:t>
      </w:r>
    </w:p>
    <w:p>
      <w:pPr>
        <w:bidi/>
        <w:spacing w:after="60"/>
        <w:jc w:val="center"/>
      </w:pPr>
      <w:r>
        <w:rPr>
          <w:rFonts w:ascii="Segoe UI" w:cs="Segoe UI" w:eastAsia="Segoe UI" w:hAnsi="Segoe UI"/>
          <w:b/>
          <w:bCs/>
          <w:color w:val="1F3864"/>
          <w:sz w:val="54"/>
          <w:szCs w:val="54"/>
        </w:rPr>
        <w:t xml:space="preserve">AMD-01</w:t>
      </w:r>
    </w:p>
    <w:p>
      <w:pPr>
        <w:bidi/>
        <w:spacing w:after="190"/>
        <w:jc w:val="center"/>
      </w:pPr>
      <w:r>
        <w:rPr>
          <w:rFonts w:ascii="Segoe UI" w:cs="Segoe UI" w:eastAsia="Segoe UI" w:hAnsi="Segoe UI"/>
          <w:b/>
          <w:bCs/>
          <w:color w:val="1F3864"/>
          <w:sz w:val="30"/>
          <w:szCs w:val="30"/>
          <w:rtl/>
        </w:rPr>
        <w:t xml:space="preserve">المراجعة العكسية الشاملة واستعادة التنفيذ</w:t>
      </w:r>
    </w:p>
    <w:p>
      <w:pPr>
        <w:bidi/>
        <w:spacing w:after="520"/>
        <w:jc w:val="center"/>
      </w:pPr>
      <w:r>
        <w:rPr>
          <w:rFonts w:ascii="Segoe UI" w:cs="Segoe UI" w:eastAsia="Segoe UI" w:hAnsi="Segoe UI"/>
          <w:color w:val="44546A"/>
          <w:sz w:val="22"/>
          <w:szCs w:val="22"/>
          <w:rtl/>
        </w:rPr>
        <w:t xml:space="preserve">على الحزمة المؤسسية كاملة · وعلى ما نُفِّذ منها · وعلى ما توقّف ولماذا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البند</w:t>
            </w:r>
          </w:p>
        </w:tc>
        <w:tc>
          <w:tcPr>
            <w:tcW w:type="dxa" w:w="58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القيمة</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نطاق الأمر</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الحزمة كاملة — الملفات الاثنا عشر · وقرارات المالك · والتعديلات اللاحقة · وما نُفِّذ فعلًا</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غايته</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مطابقة المنفَّذ بالمرجع إدارةً إدارة · وإزالة الحواجز غير الصحيحة · وتحديد نقطة استئناف لكل إدارة</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ما لا يُعاد</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ما ثبتت صحته بالدليل — لا يُعاد تنفيذه</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ما لا يُسأل عنه</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سبق حسمه — لا يُرفع ثانيةً</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علاقته بما سبق</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يعلو على كل أمر سابق عند التعارض · والنافذ من أوامر الإغلاق: RPR-02 v2.3 وRPR-03</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الحالة</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إلزامي · ولا يُعلَن إغلاق أي مرحلة قبل مراجعتها عكسيًّا</w:t>
            </w:r>
          </w:p>
        </w:tc>
      </w:tr>
    </w:tbl>
    <w:p>
      <w:r>
        <w:br w:type="page"/>
      </w:r>
    </w:p>
    <w:p>
      <w:pPr>
        <w:pStyle w:val="Heading1"/>
        <w:bidi/>
        <w:spacing w:after="130" w:before="300"/>
        <w:jc w:val="right"/>
      </w:pPr>
      <w:r>
        <w:rPr>
          <w:rFonts w:ascii="Segoe UI" w:cs="Segoe UI" w:eastAsia="Segoe UI" w:hAnsi="Segoe UI"/>
          <w:b/>
          <w:bCs/>
          <w:color w:val="1F3864"/>
          <w:sz w:val="29"/>
          <w:szCs w:val="29"/>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30" w:before="300"/>
        <w:jc w:val="right"/>
      </w:pPr>
      <w:r>
        <w:rPr>
          <w:rFonts w:ascii="Segoe UI" w:cs="Segoe UI" w:eastAsia="Segoe UI" w:hAnsi="Segoe UI"/>
          <w:b/>
          <w:bCs/>
          <w:color w:val="1F3864"/>
          <w:sz w:val="29"/>
          <w:szCs w:val="29"/>
          <w:rtl/>
        </w:rPr>
        <w:t xml:space="preserve">١ · الغرض</w:t>
      </w:r>
    </w:p>
    <w:p>
      <w:pPr>
        <w:bidi/>
        <w:spacing w:after="110" w:line="300"/>
        <w:jc w:val="both"/>
      </w:pPr>
      <w:r>
        <w:rPr>
          <w:rFonts w:ascii="Segoe UI" w:cs="Segoe UI" w:eastAsia="Segoe UI" w:hAnsi="Segoe UI"/>
          <w:b/>
          <w:bCs/>
          <w:sz w:val="21"/>
          <w:szCs w:val="21"/>
          <w:rtl/>
        </w:rPr>
        <w:t xml:space="preserve">لا يُقرأ هذا الأمر تعديلًا محدودًا على ملفين، ولا معالجةً لأسئلةٍ ظهرت في جلسة. </w:t>
      </w:r>
      <w:r>
        <w:rPr>
          <w:rFonts w:ascii="Segoe UI" w:cs="Segoe UI" w:eastAsia="Segoe UI" w:hAnsi="Segoe UI"/>
          <w:sz w:val="21"/>
          <w:szCs w:val="21"/>
          <w:rtl/>
        </w:rPr>
        <w:t xml:space="preserve">هو مراجعة عكسية شاملة لكل ما اعتُمد ونُفِّذ في برنامج إصلاح إنجاز.</w:t>
      </w:r>
    </w:p>
    <w:p>
      <w:pPr>
        <w:bidi/>
        <w:spacing w:after="110" w:line="300"/>
        <w:jc w:val="both"/>
      </w:pPr>
      <w:r>
        <w:rPr>
          <w:rFonts w:ascii="Segoe UI" w:cs="Segoe UI" w:eastAsia="Segoe UI" w:hAnsi="Segoe UI"/>
          <w:sz w:val="21"/>
          <w:szCs w:val="21"/>
          <w:rtl/>
        </w:rPr>
        <w:t xml:space="preserve">والمطلوب: الرجوع إلى الحزمة الحاكمة كاملةً وقرارات المالك والتعديلات اللاحقة، ثم مطابقة ما نُفِّذ فعلًا بها </w:t>
      </w:r>
      <w:r>
        <w:rPr>
          <w:rFonts w:ascii="Segoe UI" w:cs="Segoe UI" w:eastAsia="Segoe UI" w:hAnsi="Segoe UI"/>
          <w:b/>
          <w:bCs/>
          <w:sz w:val="21"/>
          <w:szCs w:val="21"/>
          <w:rtl/>
        </w:rPr>
        <w:t xml:space="preserve">إدارةً إدارة ومتطلبًا متطلبًا</w:t>
      </w:r>
      <w:r>
        <w:rPr>
          <w:rFonts w:ascii="Segoe UI" w:cs="Segoe UI" w:eastAsia="Segoe UI" w:hAnsi="Segoe UI"/>
          <w:sz w:val="21"/>
          <w:szCs w:val="21"/>
          <w:rtl/>
        </w:rPr>
        <w:t xml:space="preserve">، وتصحيح كل انحرافٍ أو تطبيقٍ قديم أو قرارٍ لم يُرحَّل أو تعارضٍ تسبَّب في توقّف التنفيذ.</w:t>
      </w:r>
    </w:p>
    <w:p>
      <w:pPr>
        <w:bidi/>
        <w:spacing w:after="110" w:line="300"/>
        <w:jc w:val="both"/>
      </w:pPr>
      <w:r>
        <w:rPr>
          <w:rFonts w:ascii="Segoe UI" w:cs="Segoe UI" w:eastAsia="Segoe UI" w:hAnsi="Segoe UI"/>
          <w:b/>
          <w:bCs/>
          <w:sz w:val="21"/>
          <w:szCs w:val="21"/>
          <w:rtl/>
        </w:rPr>
        <w:t xml:space="preserve">ولا يُعاد تنفيذ ما ثبتت صحته · ولا يُرفع سؤالٌ سبق حسمه · ولا تبقى إدارةٌ متوقفة بسبب قيمةٍ تشغيلية أو قرارٍ لا ينطبق على مرحلة البناء.</w:t>
      </w:r>
    </w:p>
    <w:p>
      <w:pPr>
        <w:bidi/>
        <w:spacing w:after="110" w:line="300"/>
        <w:jc w:val="both"/>
      </w:pPr>
      <w:r>
        <w:rPr>
          <w:rFonts w:ascii="Segoe UI" w:cs="Segoe UI" w:eastAsia="Segoe UI" w:hAnsi="Segoe UI"/>
          <w:sz w:val="21"/>
          <w:szCs w:val="21"/>
          <w:rtl/>
        </w:rPr>
        <w:t xml:space="preserve">وبعد المصالحة يُحدَّد لكل إدارة آخر متطلبٍ مغلقٍ بالدليل وأول متطلبٍ مفتوح، </w:t>
      </w:r>
      <w:r>
        <w:rPr>
          <w:rFonts w:ascii="Segoe UI" w:cs="Segoe UI" w:eastAsia="Segoe UI" w:hAnsi="Segoe UI"/>
          <w:b/>
          <w:bCs/>
          <w:sz w:val="21"/>
          <w:szCs w:val="21"/>
          <w:rtl/>
        </w:rPr>
        <w:t xml:space="preserve">ويُستأنف التنفيذ من تلك النقطة</w:t>
      </w:r>
      <w:r>
        <w:rPr>
          <w:rFonts w:ascii="Segoe UI" w:cs="Segoe UI" w:eastAsia="Segoe UI" w:hAnsi="Segoe UI"/>
          <w:sz w:val="21"/>
          <w:szCs w:val="21"/>
          <w:rtl/>
        </w:rPr>
        <w:t xml:space="preserve"> وفق ترتيب الموجات والبوابات الحاكمة.</w:t>
      </w:r>
    </w:p>
    <w:p>
      <w:pPr>
        <w:bidi/>
        <w:spacing w:after="110" w:line="300"/>
        <w:jc w:val="both"/>
      </w:pPr>
      <w:r>
        <w:rPr>
          <w:rFonts w:ascii="Segoe UI" w:cs="Segoe UI" w:eastAsia="Segoe UI" w:hAnsi="Segoe UI"/>
          <w:b/>
          <w:bCs/>
          <w:sz w:val="21"/>
          <w:szCs w:val="21"/>
          <w:rtl/>
        </w:rPr>
        <w:t xml:space="preserve">وسبب هذا الأمر مقيس لا مُقدَّر: </w:t>
      </w:r>
      <w:r>
        <w:rPr>
          <w:rFonts w:ascii="Segoe UI" w:cs="Segoe UI" w:eastAsia="Segoe UI" w:hAnsi="Segoe UI"/>
          <w:sz w:val="21"/>
          <w:szCs w:val="21"/>
          <w:rtl/>
        </w:rPr>
        <w:t xml:space="preserve">التنفيذ توقّف مرارًا لا لصعوبة العمل بل لتعارضٍ بين ملفٍ وآخر، أو قرارٍ حُسم ولم يُرحَّل إلى سجله، أو بوابةٍ طُبِّقت على ما لا تنطبق عليه، أو دورٍ عُومل معاملة إدارة. </w:t>
      </w:r>
      <w:r>
        <w:rPr>
          <w:rFonts w:ascii="Segoe UI" w:cs="Segoe UI" w:eastAsia="Segoe UI" w:hAnsi="Segoe UI"/>
          <w:b/>
          <w:bCs/>
          <w:sz w:val="21"/>
          <w:szCs w:val="21"/>
          <w:rtl/>
        </w:rPr>
        <w:t xml:space="preserve">ومعالجة السؤال الظاهر اليوم لا تمنع ظهور مثله غدًا — والعلاج مطابقةٌ شاملة مرة واحدة.</w:t>
      </w:r>
    </w:p>
    <w:p>
      <w:pPr>
        <w:pStyle w:val="Heading2"/>
        <w:bidi/>
        <w:spacing w:after="130" w:before="200"/>
        <w:jc w:val="right"/>
      </w:pPr>
      <w:r>
        <w:rPr>
          <w:rFonts w:ascii="Segoe UI" w:cs="Segoe UI" w:eastAsia="Segoe UI" w:hAnsi="Segoe UI"/>
          <w:b/>
          <w:bCs/>
          <w:color w:val="1F3864"/>
          <w:sz w:val="24"/>
          <w:szCs w:val="24"/>
          <w:rtl/>
        </w:rPr>
        <w:t xml:space="preserve">١·١ سلسلة إصدارات أمر الإغلاق — أيّها النافذ</w:t>
      </w:r>
    </w:p>
    <w:p>
      <w:pPr>
        <w:bidi/>
        <w:spacing w:after="110" w:line="300"/>
        <w:jc w:val="both"/>
      </w:pPr>
      <w:r>
        <w:rPr>
          <w:rFonts w:ascii="Segoe UI" w:cs="Segoe UI" w:eastAsia="Segoe UI" w:hAnsi="Segoe UI"/>
          <w:b/>
          <w:bCs/>
          <w:sz w:val="21"/>
          <w:szCs w:val="21"/>
          <w:rtl/>
        </w:rPr>
        <w:t xml:space="preserve">لأمر إغلاق المطابقة ثلاث نسخ متتابعة، </w:t>
      </w:r>
      <w:r>
        <w:rPr>
          <w:rFonts w:ascii="Segoe UI" w:cs="Segoe UI" w:eastAsia="Segoe UI" w:hAnsi="Segoe UI"/>
          <w:sz w:val="21"/>
          <w:szCs w:val="21"/>
          <w:rtl/>
        </w:rPr>
        <w:t xml:space="preserve">والنافذ آخرها وحده: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900"/>
      </w:tblGrid>
      <w:tr>
        <w:trPr>
          <w:tblHeader/>
        </w:trPr>
        <w:tc>
          <w:tcPr>
            <w:tcW w:type="dxa" w:w="1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الإصدار</w:t>
            </w:r>
          </w:p>
        </w:tc>
        <w:tc>
          <w:tcPr>
            <w:tcW w:type="dxa" w:w="3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ما فيه</w:t>
            </w:r>
          </w:p>
        </w:tc>
        <w:tc>
          <w:tcPr>
            <w:tcW w:type="dxa" w:w="29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حاله</w:t>
            </w:r>
          </w:p>
        </w:tc>
      </w:tr>
      <w:tr>
        <w:tc>
          <w:tcPr>
            <w:tcW w:type="dxa" w:w="17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v2.1</w:t>
            </w:r>
          </w:p>
        </w:tc>
        <w:tc>
          <w:tcPr>
            <w:tcW w:type="dxa" w:w="3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المقام على رموز النطاق · ومعيار الهجرات الشامل · وخمس عشرة إضافة</w:t>
            </w:r>
          </w:p>
        </w:tc>
        <w:tc>
          <w:tcPr>
            <w:tcW w:type="dxa" w:w="29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منسوخ</w:t>
            </w:r>
          </w:p>
        </w:tc>
      </w:tr>
      <w:tr>
        <w:tc>
          <w:tcPr>
            <w:tcW w:type="dxa" w:w="17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v2.2 FINAL</w:t>
            </w:r>
          </w:p>
        </w:tc>
        <w:tc>
          <w:tcPr>
            <w:tcW w:type="dxa" w:w="3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أربعة تعديلات: تسمية الرموز · وتبرير المنصّة · وانطباق جسر الدورة · وتدرّج التحقّق البشري</w:t>
            </w:r>
          </w:p>
        </w:tc>
        <w:tc>
          <w:tcPr>
            <w:tcW w:type="dxa" w:w="29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منسوخ — وتعديلاته الأربعة محفوظة في v2.3</w:t>
            </w:r>
          </w:p>
        </w:tc>
      </w:tr>
      <w:tr>
        <w:tc>
          <w:tcPr>
            <w:tcW w:type="dxa" w:w="17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v2.3</w:t>
            </w:r>
          </w:p>
        </w:tc>
        <w:tc>
          <w:tcPr>
            <w:tcW w:type="dxa" w:w="34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تعديلات v2.2 الأربعة · وحارس الحكمين المُخرجَين · ومعايير المنصّة الأربعة · وقاعدة مسارات المكتبات · وإعادة إصدار القسم الثالث</w:t>
            </w:r>
          </w:p>
        </w:tc>
        <w:tc>
          <w:tcPr>
            <w:tcW w:type="dxa" w:w="29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النافذ</w:t>
            </w:r>
          </w:p>
        </w:tc>
      </w:tr>
    </w:tbl>
    <w:p>
      <w:pPr>
        <w:bidi/>
        <w:spacing w:after="110" w:line="300"/>
        <w:jc w:val="both"/>
      </w:pPr>
      <w:r>
        <w:rPr>
          <w:rFonts w:ascii="Segoe UI" w:cs="Segoe UI" w:eastAsia="Segoe UI" w:hAnsi="Segoe UI"/>
          <w:b/>
          <w:bCs/>
          <w:sz w:val="21"/>
          <w:szCs w:val="21"/>
          <w:rtl/>
        </w:rPr>
        <w:t xml:space="preserve">فإن كان عندك v2.2 FINAL وحده فاطلب v2.3 قبل البدء — </w:t>
      </w:r>
      <w:r>
        <w:rPr>
          <w:rFonts w:ascii="Segoe UI" w:cs="Segoe UI" w:eastAsia="Segoe UI" w:hAnsi="Segoe UI"/>
          <w:sz w:val="21"/>
          <w:szCs w:val="21"/>
          <w:rtl/>
        </w:rPr>
        <w:t xml:space="preserve">ولا تعمل بنسختين تحمل كلٌّ منهما وصف «نهائي».</w:t>
      </w:r>
    </w:p>
    <w:p>
      <w:pPr>
        <w:pStyle w:val="Heading1"/>
        <w:bidi/>
        <w:spacing w:after="130" w:before="300"/>
        <w:jc w:val="right"/>
      </w:pPr>
      <w:r>
        <w:rPr>
          <w:rFonts w:ascii="Segoe UI" w:cs="Segoe UI" w:eastAsia="Segoe UI" w:hAnsi="Segoe UI"/>
          <w:b/>
          <w:bCs/>
          <w:color w:val="1F3864"/>
          <w:sz w:val="29"/>
          <w:szCs w:val="29"/>
          <w:rtl/>
        </w:rPr>
        <w:t xml:space="preserve">٢ · ترتيب سلطة النصوص</w:t>
      </w:r>
    </w:p>
    <w:p>
      <w:pPr>
        <w:bidi/>
        <w:spacing w:after="110" w:line="300"/>
        <w:jc w:val="both"/>
      </w:pPr>
      <w:r>
        <w:rPr>
          <w:rFonts w:ascii="Segoe UI" w:cs="Segoe UI" w:eastAsia="Segoe UI" w:hAnsi="Segoe UI"/>
          <w:sz w:val="21"/>
          <w:szCs w:val="21"/>
          <w:rtl/>
        </w:rPr>
        <w:t xml:space="preserve">عند تعارض نصّين، يُعمل بالأعلى في هذا الترتيب ولا اجتهاد:</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300"/>
      </w:tblGrid>
      <w:tr>
        <w:trPr>
          <w:tblHeader/>
        </w:trPr>
        <w:tc>
          <w:tcPr>
            <w:tcW w:type="dxa" w:w="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w:t>
            </w:r>
          </w:p>
        </w:tc>
        <w:tc>
          <w:tcPr>
            <w:tcW w:type="dxa" w:w="3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المصدر</w:t>
            </w:r>
          </w:p>
        </w:tc>
        <w:tc>
          <w:tcPr>
            <w:tcW w:type="dxa" w:w="43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مداه</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١</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هذا الأمر والتعديلات اللاحقة له</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يعلو على ما سبق عند التعارض</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٢</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سجل قرارات المالك — OWNER_DECISIONS_MASTER</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المصدر الحاكم لكل قرار</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٣</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الدستور — الملف ٠٣</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المبادئ والقواعد العامة</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٤</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الدليل المعماري الموحد — الملف ٠١</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الأسطح والحبّة والحقول والملكية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٥</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الإدارة في موجتها — الملفات ٠٤ إلى ٠٨</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المتطلبات وآلات الحالة وفصل الواجبات والأحداث</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٦</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القيادة — الملف ٠٢</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أسطح الرئيس والنواب ومصفوفة السلطة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٧</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تقارير المصالحة والمراجعة — ١٠ و١١ و١٢</w:t>
            </w:r>
          </w:p>
        </w:tc>
        <w:tc>
          <w:tcPr>
            <w:tcW w:type="dxa" w:w="4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أدلة الواقع لا مصدر التصميم</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٨</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دليل العرض بالأدوار وسجلات النظام</w:t>
            </w:r>
          </w:p>
        </w:tc>
        <w:tc>
          <w:tcPr>
            <w:tcW w:type="dxa" w:w="4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واقعٌ يُقاس عليه ولا يُقاس به</w:t>
            </w:r>
          </w:p>
        </w:tc>
      </w:tr>
    </w:tbl>
    <w:p>
      <w:pPr>
        <w:bidi/>
        <w:spacing w:after="110" w:line="300"/>
        <w:jc w:val="both"/>
      </w:pPr>
      <w:r>
        <w:rPr>
          <w:rFonts w:ascii="Segoe UI" w:cs="Segoe UI" w:eastAsia="Segoe UI" w:hAnsi="Segoe UI"/>
          <w:b/>
          <w:bCs/>
          <w:sz w:val="21"/>
          <w:szCs w:val="21"/>
          <w:rtl/>
        </w:rPr>
        <w:t xml:space="preserve">ولا يبقى قراران حاكمان لنقطة واحدة. </w:t>
      </w:r>
      <w:r>
        <w:rPr>
          <w:rFonts w:ascii="Segoe UI" w:cs="Segoe UI" w:eastAsia="Segoe UI" w:hAnsi="Segoe UI"/>
          <w:sz w:val="21"/>
          <w:szCs w:val="21"/>
          <w:rtl/>
        </w:rPr>
        <w:t xml:space="preserve">فإن وُجد، رُفع تعارضًا ولم يُختَر أحدهما بالاجتهاد.</w:t>
      </w:r>
    </w:p>
    <w:p>
      <w:pPr>
        <w:pStyle w:val="Heading2"/>
        <w:bidi/>
        <w:spacing w:after="130" w:before="200"/>
        <w:jc w:val="right"/>
      </w:pPr>
      <w:r>
        <w:rPr>
          <w:rFonts w:ascii="Segoe UI" w:cs="Segoe UI" w:eastAsia="Segoe UI" w:hAnsi="Segoe UI"/>
          <w:b/>
          <w:bCs/>
          <w:color w:val="1F3864"/>
          <w:sz w:val="24"/>
          <w:szCs w:val="24"/>
          <w:rtl/>
        </w:rPr>
        <w:t xml:space="preserve">٢·١ سلطتان لا سلطة واحدة</w:t>
      </w:r>
    </w:p>
    <w:p>
      <w:pPr>
        <w:bidi/>
        <w:spacing w:after="110" w:line="300"/>
        <w:jc w:val="both"/>
      </w:pPr>
      <w:r>
        <w:rPr>
          <w:rFonts w:ascii="Segoe UI" w:cs="Segoe UI" w:eastAsia="Segoe UI" w:hAnsi="Segoe UI"/>
          <w:b/>
          <w:bCs/>
          <w:sz w:val="21"/>
          <w:szCs w:val="21"/>
          <w:rtl/>
        </w:rPr>
        <w:t xml:space="preserve">الترتيب أعلاه ترتيبُ إجراءٍ لا ترتيبُ قرار. وهما مجالان لا يُخلطان:</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rPr>
          <w:tblHeader/>
        </w:trPr>
        <w:tc>
          <w:tcPr>
            <w:tcW w:type="dxa" w:w="26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المجال</w:t>
            </w:r>
          </w:p>
        </w:tc>
        <w:tc>
          <w:tcPr>
            <w:tcW w:type="dxa" w:w="5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المصدر الأعلى</w:t>
            </w:r>
          </w:p>
        </w:tc>
      </w:tr>
      <w:tr>
        <w:tc>
          <w:tcPr>
            <w:tcW w:type="dxa" w:w="2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قرارات الأعمال والملكية والسياسة</w:t>
            </w:r>
          </w:p>
        </w:tc>
        <w:tc>
          <w:tcPr>
            <w:tcW w:type="dxa" w:w="5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سجل قرارات المالك — ولا ينسخه أمرٌ تنفيذيّ إلا إذا حمل مرجع قرار مالكٍ صريحٍ يعلن النسخ</w:t>
            </w:r>
          </w:p>
        </w:tc>
      </w:tr>
      <w:tr>
        <w:tc>
          <w:tcPr>
            <w:tcW w:type="dxa" w:w="2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ترتيب التنفيذ والمراجعة وإدارة الحواجز</w:t>
            </w:r>
          </w:p>
        </w:tc>
        <w:tc>
          <w:tcPr>
            <w:tcW w:type="dxa" w:w="5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هذا الأمر والتعديلات اللاحقة له</w:t>
            </w:r>
          </w:p>
        </w:tc>
      </w:tr>
    </w:tbl>
    <w:p>
      <w:pPr>
        <w:bidi/>
        <w:spacing w:after="110" w:line="300"/>
        <w:jc w:val="both"/>
      </w:pPr>
      <w:r>
        <w:rPr>
          <w:rFonts w:ascii="Segoe UI" w:cs="Segoe UI" w:eastAsia="Segoe UI" w:hAnsi="Segoe UI"/>
          <w:b/>
          <w:bCs/>
          <w:sz w:val="21"/>
          <w:szCs w:val="21"/>
          <w:rtl/>
        </w:rPr>
        <w:t xml:space="preserve">والعلة: </w:t>
      </w:r>
      <w:r>
        <w:rPr>
          <w:rFonts w:ascii="Segoe UI" w:cs="Segoe UI" w:eastAsia="Segoe UI" w:hAnsi="Segoe UI"/>
          <w:sz w:val="21"/>
          <w:szCs w:val="21"/>
          <w:rtl/>
        </w:rPr>
        <w:t xml:space="preserve">أمرُ تشغيلٍ قد يخالف سهوًا قرارًا في الملكية أو السياسة، </w:t>
      </w:r>
      <w:r>
        <w:rPr>
          <w:rFonts w:ascii="Segoe UI" w:cs="Segoe UI" w:eastAsia="Segoe UI" w:hAnsi="Segoe UI"/>
          <w:b/>
          <w:bCs/>
          <w:sz w:val="21"/>
          <w:szCs w:val="21"/>
          <w:rtl/>
        </w:rPr>
        <w:t xml:space="preserve">فيتغيّر قرار أعمالٍ بلا أن يقرّره أحد</w:t>
      </w:r>
      <w:r>
        <w:rPr>
          <w:rFonts w:ascii="Segoe UI" w:cs="Segoe UI" w:eastAsia="Segoe UI" w:hAnsi="Segoe UI"/>
          <w:sz w:val="21"/>
          <w:szCs w:val="21"/>
          <w:rtl/>
        </w:rPr>
        <w:t xml:space="preserve">. فسلطة القرار تبقى للمالك، وسلطة الإجراء لهذا الأمر.</w:t>
      </w:r>
    </w:p>
    <w:p>
      <w:pPr>
        <w:pStyle w:val="Heading1"/>
        <w:bidi/>
        <w:spacing w:after="130" w:before="300"/>
        <w:jc w:val="right"/>
      </w:pPr>
      <w:r>
        <w:rPr>
          <w:rFonts w:ascii="Segoe UI" w:cs="Segoe UI" w:eastAsia="Segoe UI" w:hAnsi="Segoe UI"/>
          <w:b/>
          <w:bCs/>
          <w:color w:val="1F3864"/>
          <w:sz w:val="29"/>
          <w:szCs w:val="29"/>
          <w:rtl/>
        </w:rPr>
        <w:t xml:space="preserve">٣ · قواعد نافذة تنسخ ما قبلها</w:t>
      </w:r>
    </w:p>
    <w:p>
      <w:pPr>
        <w:bidi/>
        <w:spacing w:after="110" w:line="300"/>
        <w:jc w:val="both"/>
      </w:pPr>
      <w:r>
        <w:rPr>
          <w:rFonts w:ascii="Segoe UI" w:cs="Segoe UI" w:eastAsia="Segoe UI" w:hAnsi="Segoe UI"/>
          <w:sz w:val="21"/>
          <w:szCs w:val="21"/>
          <w:rtl/>
        </w:rPr>
        <w:t xml:space="preserve">يُعمل بالعمود الأيسر ويُلغى ما في الأيمن حيثما ورد في أي أمرٍ أو رسالةٍ سابقة: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ملغى — لا يُعمل به</w:t>
            </w:r>
          </w:p>
        </w:tc>
        <w:tc>
          <w:tcPr>
            <w:tcW w:type="dxa" w:w="4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نافذ — يُعمل به</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منع لمس أي ملف غير الملفين المعدَّلين</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يُحدَّث كل ملف يتأثر بقرارٍ حاكم أو يكشف القياس تعارضه — من مصدره ثم يُعاد توليده بسجل تغيير. ولا يُعدَّل ملف للتنسيق ولا بالاجتهاد</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استثناء من بوابة G0 لأعمال المصالحة</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بوابة G0 لا تنطبق أصلًا على مصالحة المعمارية والبيانات الوصفية — والمادة ١١٣ تحكم</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نزع «أمين المستودع» أو رفعه إلى مرتبة إدارة</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يبقى دورًا داخل إدارة المخازن ويُربط بنطاق مخزنه — والمادة ١١٤ تحكم</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مساواة أوراق دليل الأدوار بواحد وعشرين</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الدليلان مستقلان مقامًا: المعياري بواحد وعشرين رمزًا · والمعروض بالأدوار بعددها أيًّا كان</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عدّ القرارات المفتوحة فئةً واحدة مانعة</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تُصنَّف بستّ درجات حجب — والقسم الخامس يحكم</w:t>
            </w:r>
          </w:p>
        </w:tc>
      </w:tr>
      <w:tr>
        <w:tc>
          <w:tcPr>
            <w:tcW w:type="dxa" w:w="40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اعتماد رقمٍ بلا مقام</w:t>
            </w:r>
          </w:p>
        </w:tc>
        <w:tc>
          <w:tcPr>
            <w:tcW w:type="dxa" w:w="40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كل رقم يُكتب بمقامه وبمعرّف لقطته</w:t>
            </w:r>
          </w:p>
        </w:tc>
      </w:tr>
    </w:tbl>
    <w:p>
      <w:r>
        <w:br w:type="page"/>
      </w:r>
    </w:p>
    <w:p>
      <w:pPr>
        <w:pStyle w:val="Heading1"/>
        <w:bidi/>
        <w:spacing w:after="130" w:before="300"/>
        <w:jc w:val="right"/>
      </w:pPr>
      <w:r>
        <w:rPr>
          <w:rFonts w:ascii="Segoe UI" w:cs="Segoe UI" w:eastAsia="Segoe UI" w:hAnsi="Segoe UI"/>
          <w:b/>
          <w:bCs/>
          <w:color w:val="1F3864"/>
          <w:sz w:val="29"/>
          <w:szCs w:val="29"/>
          <w:rtl/>
        </w:rPr>
        <w:t xml:space="preserve">٤ · مراحل التنفيذ الثماني</w:t>
      </w:r>
    </w:p>
    <w:p>
      <w:pPr>
        <w:bidi/>
        <w:spacing w:after="110" w:line="300"/>
        <w:jc w:val="both"/>
      </w:pPr>
      <w:r>
        <w:rPr>
          <w:rFonts w:ascii="Segoe UI" w:cs="Segoe UI" w:eastAsia="Segoe UI" w:hAnsi="Segoe UI"/>
          <w:sz w:val="21"/>
          <w:szCs w:val="21"/>
          <w:rtl/>
        </w:rPr>
        <w:t xml:space="preserve">تُنفَّذ بالترتيب ولا يُقدَّم لاحقٌ على سابق. ولكل مرحلة مخرَجٌ محدَّد ومعيار قبول.</w:t>
      </w:r>
    </w:p>
    <w:p>
      <w:pPr>
        <w:pStyle w:val="Heading2"/>
        <w:bidi/>
        <w:spacing w:after="130" w:before="200"/>
        <w:jc w:val="right"/>
      </w:pPr>
      <w:r>
        <w:rPr>
          <w:rFonts w:ascii="Segoe UI" w:cs="Segoe UI" w:eastAsia="Segoe UI" w:hAnsi="Segoe UI"/>
          <w:b/>
          <w:bCs/>
          <w:color w:val="1F3864"/>
          <w:sz w:val="24"/>
          <w:szCs w:val="24"/>
          <w:rtl/>
        </w:rPr>
        <w:t xml:space="preserve">المرحلة ١ · توحيد المصادر الحاكمة</w:t>
      </w:r>
    </w:p>
    <w:p>
      <w:pPr>
        <w:bidi/>
        <w:spacing w:after="110" w:line="300"/>
        <w:jc w:val="both"/>
      </w:pPr>
      <w:r>
        <w:rPr>
          <w:rFonts w:ascii="Segoe UI" w:cs="Segoe UI" w:eastAsia="Segoe UI" w:hAnsi="Segoe UI"/>
          <w:sz w:val="21"/>
          <w:szCs w:val="21"/>
          <w:rtl/>
        </w:rPr>
        <w:t xml:space="preserve">اجمع الحزمة كاملةً وقرارات المالك والتعديلات اللاحقة في مرجعٍ واحد مرتَّب بسلطة النصوص كما في القسم الثاني.</w:t>
      </w:r>
    </w:p>
    <w:p>
      <w:pPr>
        <w:pStyle w:val="ListParagraph"/>
        <w:numPr>
          <w:ilvl w:val="0"/>
          <w:numId w:val="2"/>
        </w:numPr>
        <w:bidi/>
        <w:spacing w:after="85" w:line="300"/>
        <w:jc w:val="both"/>
      </w:pPr>
      <w:r>
        <w:rPr>
          <w:rFonts w:ascii="Segoe UI" w:cs="Segoe UI" w:eastAsia="Segoe UI" w:hAnsi="Segoe UI"/>
          <w:b/>
          <w:bCs/>
          <w:sz w:val="21"/>
          <w:szCs w:val="21"/>
          <w:rtl/>
        </w:rPr>
        <w:t xml:space="preserve">المخرَج: </w:t>
      </w:r>
      <w:r>
        <w:rPr>
          <w:rFonts w:ascii="Segoe UI" w:cs="Segoe UI" w:eastAsia="Segoe UI" w:hAnsi="Segoe UI"/>
          <w:sz w:val="21"/>
          <w:szCs w:val="21"/>
          <w:rtl/>
        </w:rPr>
        <w:t xml:space="preserve">فهرس مصادر حاكم بترتيب سلطتها · وقائمة النقاط التي لها أكثر من نصّ حاكم.</w:t>
      </w:r>
    </w:p>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صفر نقطةٍ لها قراران حاكمان بلا حسم.</w:t>
      </w:r>
    </w:p>
    <w:p>
      <w:pPr>
        <w:pStyle w:val="Heading2"/>
        <w:bidi/>
        <w:spacing w:after="130" w:before="200"/>
        <w:jc w:val="right"/>
      </w:pPr>
      <w:r>
        <w:rPr>
          <w:rFonts w:ascii="Segoe UI" w:cs="Segoe UI" w:eastAsia="Segoe UI" w:hAnsi="Segoe UI"/>
          <w:b/>
          <w:bCs/>
          <w:color w:val="1F3864"/>
          <w:sz w:val="24"/>
          <w:szCs w:val="24"/>
          <w:rtl/>
        </w:rPr>
        <w:t xml:space="preserve">المرحلة ٢ · المراجعة العكسية للقرارات</w:t>
      </w:r>
    </w:p>
    <w:p>
      <w:pPr>
        <w:bidi/>
        <w:spacing w:after="110" w:line="300"/>
        <w:jc w:val="both"/>
      </w:pPr>
      <w:r>
        <w:rPr>
          <w:rFonts w:ascii="Segoe UI" w:cs="Segoe UI" w:eastAsia="Segoe UI" w:hAnsi="Segoe UI"/>
          <w:sz w:val="21"/>
          <w:szCs w:val="21"/>
          <w:rtl/>
        </w:rPr>
        <w:t xml:space="preserve">أعد فحص كل قرارٍ حالته مفتوحة، واسأل: أما زال مفتوحًا فعلًا؟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rPr>
          <w:tblHeader/>
        </w:trPr>
        <w:tc>
          <w:tcPr>
            <w:tcW w:type="dxa" w:w="22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الحكم</w:t>
            </w:r>
          </w:p>
        </w:tc>
        <w:tc>
          <w:tcPr>
            <w:tcW w:type="dxa" w:w="58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متى</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مفتوح صحيح</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لم يُحسم في أي مصدر — يبقى مفتوحًا</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محسوم سلفًا</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حُسم في قرارٍ أو تعديلٍ لاحق ولم يُرحَّل إلى السجل — يُغلق بمرجعه</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منسوخ</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نسخه قرارٌ أحدث — يُوسم منسوخًا بمرجع ناسخه</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قيمة تُضبط</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الآلية محسومة والمفتوح قيمةٌ عددية أو زمنية — لا يمنع بناءً</w:t>
            </w:r>
          </w:p>
        </w:tc>
      </w:tr>
      <w:tr>
        <w:tc>
          <w:tcPr>
            <w:tcW w:type="dxa" w:w="2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درجة حجب خاطئة</w:t>
            </w:r>
          </w:p>
        </w:tc>
        <w:tc>
          <w:tcPr>
            <w:tcW w:type="dxa" w:w="58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مصنَّف مانعًا وهو ليس كذلك — يُعاد تصنيفه</w:t>
            </w:r>
          </w:p>
        </w:tc>
      </w:tr>
      <w:tr>
        <w:tc>
          <w:tcPr>
            <w:tcW w:type="dxa" w:w="2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تعارض</w:t>
            </w:r>
          </w:p>
        </w:tc>
        <w:tc>
          <w:tcPr>
            <w:tcW w:type="dxa" w:w="58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نصّان حاكمان متعارضان — يُرفع ولا يُختار أحدهما</w:t>
            </w:r>
          </w:p>
        </w:tc>
      </w:tr>
    </w:tbl>
    <w:p>
      <w:pPr>
        <w:pStyle w:val="ListParagraph"/>
        <w:numPr>
          <w:ilvl w:val="0"/>
          <w:numId w:val="2"/>
        </w:numPr>
        <w:bidi/>
        <w:spacing w:after="85" w:line="300"/>
        <w:jc w:val="both"/>
      </w:pPr>
      <w:r>
        <w:rPr>
          <w:rFonts w:ascii="Segoe UI" w:cs="Segoe UI" w:eastAsia="Segoe UI" w:hAnsi="Segoe UI"/>
          <w:b/>
          <w:bCs/>
          <w:sz w:val="21"/>
          <w:szCs w:val="21"/>
          <w:rtl/>
        </w:rPr>
        <w:t xml:space="preserve">المخرَج: </w:t>
      </w:r>
      <w:r>
        <w:rPr>
          <w:rFonts w:ascii="Segoe UI" w:cs="Segoe UI" w:eastAsia="Segoe UI" w:hAnsi="Segoe UI"/>
          <w:sz w:val="21"/>
          <w:szCs w:val="21"/>
          <w:rtl/>
        </w:rPr>
        <w:t xml:space="preserve">جدولٌ بكل قرارٍ مفتوح وحكمه ومرجع حكمه.</w:t>
      </w:r>
    </w:p>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صفر قرارٍ مفتوحٍ بلا حكمٍ من الستة.</w:t>
      </w:r>
    </w:p>
    <w:p>
      <w:pPr>
        <w:pStyle w:val="Heading2"/>
        <w:bidi/>
        <w:spacing w:after="130" w:before="200"/>
        <w:jc w:val="right"/>
      </w:pPr>
      <w:r>
        <w:rPr>
          <w:rFonts w:ascii="Segoe UI" w:cs="Segoe UI" w:eastAsia="Segoe UI" w:hAnsi="Segoe UI"/>
          <w:b/>
          <w:bCs/>
          <w:color w:val="1F3864"/>
          <w:sz w:val="24"/>
          <w:szCs w:val="24"/>
          <w:rtl/>
        </w:rPr>
        <w:t xml:space="preserve">المرحلة ٣ · المراجعة العكسية للمتطلبات</w:t>
      </w:r>
    </w:p>
    <w:p>
      <w:pPr>
        <w:bidi/>
        <w:spacing w:after="110" w:line="300"/>
        <w:jc w:val="both"/>
      </w:pPr>
      <w:r>
        <w:rPr>
          <w:rFonts w:ascii="Segoe UI" w:cs="Segoe UI" w:eastAsia="Segoe UI" w:hAnsi="Segoe UI"/>
          <w:sz w:val="21"/>
          <w:szCs w:val="21"/>
          <w:rtl/>
        </w:rPr>
        <w:t xml:space="preserve">لكل متطلبٍ في الملفات: ما حاله في النظام فعلًا؟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300"/>
        <w:gridCol w:w="5700"/>
      </w:tblGrid>
      <w:tr>
        <w:trPr>
          <w:tblHeader/>
        </w:trPr>
        <w:tc>
          <w:tcPr>
            <w:tcW w:type="dxa" w:w="23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الحكم</w:t>
            </w:r>
          </w:p>
        </w:tc>
        <w:tc>
          <w:tcPr>
            <w:tcW w:type="dxa" w:w="5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ما يلزم معه</w:t>
            </w:r>
          </w:p>
        </w:tc>
      </w:tr>
      <w:tr>
        <w:tc>
          <w:tcPr>
            <w:tcW w:type="dxa" w:w="2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مغلق بالدليل</w:t>
            </w:r>
          </w:p>
        </w:tc>
        <w:tc>
          <w:tcPr>
            <w:tcW w:type="dxa" w:w="5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استوفى عقد الإثبات المعتمد لنوعه وفق ٣·١ — ولا يُعاد</w:t>
            </w:r>
          </w:p>
        </w:tc>
      </w:tr>
      <w:tr>
        <w:tc>
          <w:tcPr>
            <w:tcW w:type="dxa" w:w="2300"/>
            <w:shd w:fill="FFF7E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منفَّذ ولم يُثبت</w:t>
            </w:r>
          </w:p>
        </w:tc>
        <w:tc>
          <w:tcPr>
            <w:tcW w:type="dxa" w:w="5700"/>
            <w:shd w:fill="FFF7E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الشيفرة موجودة والإثبات ناقص — يُسمّى الناقص منه بعينه ويدخل طابور الإثبات لا طابور البناء</w:t>
            </w:r>
          </w:p>
        </w:tc>
      </w:tr>
      <w:tr>
        <w:tc>
          <w:tcPr>
            <w:tcW w:type="dxa" w:w="2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منفَّذ جزئيًّا</w:t>
            </w:r>
          </w:p>
        </w:tc>
        <w:tc>
          <w:tcPr>
            <w:tcW w:type="dxa" w:w="5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بيان الناقص بعينه</w:t>
            </w:r>
          </w:p>
        </w:tc>
      </w:tr>
      <w:tr>
        <w:tc>
          <w:tcPr>
            <w:tcW w:type="dxa" w:w="2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منفَّذ خطأً</w:t>
            </w:r>
          </w:p>
        </w:tc>
        <w:tc>
          <w:tcPr>
            <w:tcW w:type="dxa" w:w="5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بيان الانحراف والتصحيح المطلوب</w:t>
            </w:r>
          </w:p>
        </w:tc>
      </w:tr>
      <w:tr>
        <w:tc>
          <w:tcPr>
            <w:tcW w:type="dxa" w:w="2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غير منفَّذ</w:t>
            </w:r>
          </w:p>
        </w:tc>
        <w:tc>
          <w:tcPr>
            <w:tcW w:type="dxa" w:w="5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يدخل طابور البناء بأولويته</w:t>
            </w:r>
          </w:p>
        </w:tc>
      </w:tr>
      <w:tr>
        <w:tc>
          <w:tcPr>
            <w:tcW w:type="dxa" w:w="2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لم يعد منطبقًا</w:t>
            </w:r>
          </w:p>
        </w:tc>
        <w:tc>
          <w:tcPr>
            <w:tcW w:type="dxa" w:w="5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بمرجع قرارٍ أو بديلٍ موثَّق — ويُعرض عدده منفصلًا</w:t>
            </w:r>
          </w:p>
        </w:tc>
      </w:tr>
    </w:tbl>
    <w:p>
      <w:pPr>
        <w:bidi/>
        <w:spacing w:after="110" w:line="300"/>
        <w:jc w:val="both"/>
      </w:pPr>
      <w:r>
        <w:rPr>
          <w:rFonts w:ascii="Segoe UI" w:cs="Segoe UI" w:eastAsia="Segoe UI" w:hAnsi="Segoe UI"/>
          <w:b/>
          <w:bCs/>
          <w:sz w:val="21"/>
          <w:szCs w:val="21"/>
          <w:rtl/>
        </w:rPr>
        <w:t xml:space="preserve">ولا يُخلط «منفَّذ» بـ«مغلق»: وجود الشيفرة ليس إغلاقًا. </w:t>
      </w:r>
      <w:r>
        <w:rPr>
          <w:rFonts w:ascii="Segoe UI" w:cs="Segoe UI" w:eastAsia="Segoe UI" w:hAnsi="Segoe UI"/>
          <w:sz w:val="21"/>
          <w:szCs w:val="21"/>
          <w:rtl/>
        </w:rPr>
        <w:t xml:space="preserve">ولكلِّ نوعٍ من المتطلبات عقدُ إثباتٍ خاصٌّ به — فلا يُطالَب متطلبٌ بنيويٌّ بأثرٍ تجاريٍّ ولا برحلةٍ بشرية، ولا يُقبل متطلبُ تكاملٍ بمجرد وجود شيفرته.</w:t>
      </w:r>
    </w:p>
    <w:p>
      <w:pPr>
        <w:pStyle w:val="Heading2"/>
        <w:bidi/>
        <w:spacing w:after="130" w:before="200"/>
        <w:jc w:val="right"/>
      </w:pPr>
      <w:r>
        <w:rPr>
          <w:rFonts w:ascii="Segoe UI" w:cs="Segoe UI" w:eastAsia="Segoe UI" w:hAnsi="Segoe UI"/>
          <w:b/>
          <w:bCs/>
          <w:color w:val="1F3864"/>
          <w:sz w:val="24"/>
          <w:szCs w:val="24"/>
          <w:rtl/>
        </w:rPr>
        <w:t xml:space="preserve">٣·١ عقد الإثبات بحسب نوع المتطلب</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900"/>
        <w:gridCol w:w="6100"/>
      </w:tblGrid>
      <w:tr>
        <w:trPr>
          <w:tblHeader/>
        </w:trPr>
        <w:tc>
          <w:tcPr>
            <w:tcW w:type="dxa" w:w="19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نوع المتطلب</w:t>
            </w:r>
          </w:p>
        </w:tc>
        <w:tc>
          <w:tcPr>
            <w:tcW w:type="dxa" w:w="61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ما يلزم لإغلاقه بالدليل</w:t>
            </w:r>
          </w:p>
        </w:tc>
      </w:tr>
      <w:tr>
        <w:tc>
          <w:tcPr>
            <w:tcW w:type="dxa" w:w="19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بنيويّ ووصفيّ</w:t>
            </w:r>
          </w:p>
        </w:tc>
        <w:tc>
          <w:tcPr>
            <w:tcW w:type="dxa" w:w="61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مصالحةٌ قاطعة بالمعرّف · ودليلٌ مقيس · واختبارُ انحدارٍ أو اختبارٌ سالبٌ إن انطبق. ولا يُطالَب بأثرٍ تجاريٍّ ولا برحلةٍ بشرية</w:t>
            </w:r>
          </w:p>
        </w:tc>
      </w:tr>
      <w:tr>
        <w:tc>
          <w:tcPr>
            <w:tcW w:type="dxa" w:w="19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معاملة</w:t>
            </w:r>
          </w:p>
        </w:tc>
        <w:tc>
          <w:tcPr>
            <w:tcW w:type="dxa" w:w="61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مسارٌ موجبٌ ناجح · ومسارٌ سالبٌ يفشل فعلًا · وآلة حالةٍ محكومة · وفصل واجبات · وسلطة اعتمادٍ صحيحة · وتحقّقٌ بشريٌّ على مستوى الشاشة إن انطبق</w:t>
            </w:r>
          </w:p>
        </w:tc>
      </w:tr>
      <w:tr>
        <w:tc>
          <w:tcPr>
            <w:tcW w:type="dxa" w:w="19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حدثٌ وتكامل</w:t>
            </w:r>
          </w:p>
        </w:tc>
        <w:tc>
          <w:tcPr>
            <w:tcW w:type="dxa" w:w="61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الحدث صادر · والمستهلك استلمه · والأثر المقصود وقع · ومنعُ التكرار مثبَت · والفشل يظهر ويُعاد أو يُعوَّض</w:t>
            </w:r>
          </w:p>
        </w:tc>
      </w:tr>
      <w:tr>
        <w:tc>
          <w:tcPr>
            <w:tcW w:type="dxa" w:w="19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إسقاطٌ وتقرير</w:t>
            </w:r>
          </w:p>
        </w:tc>
        <w:tc>
          <w:tcPr>
            <w:tcW w:type="dxa" w:w="61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نسبُ المصدر صحيح · وصلاحيةُ العرض محروسة · وإظهارُ الحقول الحساسة بسياستها · وتحقّقُ عرضٍ فعليّ</w:t>
            </w:r>
          </w:p>
        </w:tc>
      </w:tr>
      <w:tr>
        <w:tc>
          <w:tcPr>
            <w:tcW w:type="dxa" w:w="19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رحلةٌ عابرة</w:t>
            </w:r>
          </w:p>
        </w:tc>
        <w:tc>
          <w:tcPr>
            <w:tcW w:type="dxa" w:w="61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أدوارٌ بشريةٌ حقيقية · وتسليمٌ صحيح بين النطاقات · وأثرٌ نهائيٌّ مقصودٌ مقيس</w:t>
            </w:r>
          </w:p>
        </w:tc>
      </w:tr>
    </w:tbl>
    <w:p>
      <w:pPr>
        <w:bidi/>
        <w:spacing w:after="110" w:line="300"/>
        <w:jc w:val="both"/>
      </w:pPr>
      <w:r>
        <w:rPr>
          <w:rFonts w:ascii="Segoe UI" w:cs="Segoe UI" w:eastAsia="Segoe UI" w:hAnsi="Segoe UI"/>
          <w:b/>
          <w:bCs/>
          <w:sz w:val="21"/>
          <w:szCs w:val="21"/>
          <w:rtl/>
        </w:rPr>
        <w:t xml:space="preserve">ونوع المتطلب لا يُختار بالاجتهاد: </w:t>
      </w:r>
      <w:r>
        <w:rPr>
          <w:rFonts w:ascii="Segoe UI" w:cs="Segoe UI" w:eastAsia="Segoe UI" w:hAnsi="Segoe UI"/>
          <w:sz w:val="21"/>
          <w:szCs w:val="21"/>
          <w:rtl/>
        </w:rPr>
        <w:t xml:space="preserve">يُشتقّ من نوع السطح في الدليل المعماري — مرجعيّ أو معاملة أو مشتق أو حدث أو رحلة. </w:t>
      </w:r>
      <w:r>
        <w:rPr>
          <w:rFonts w:ascii="Segoe UI" w:cs="Segoe UI" w:eastAsia="Segoe UI" w:hAnsi="Segoe UI"/>
          <w:b/>
          <w:bCs/>
          <w:sz w:val="21"/>
          <w:szCs w:val="21"/>
          <w:rtl/>
        </w:rPr>
        <w:t xml:space="preserve">فمن يصنّف بنفسه يستطيع تخفيف عبء الإثبات بأن يجعل كل شيءٍ بنيويًّا.</w:t>
      </w:r>
    </w:p>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كل متطلبٍ له حكم ودليل · وصفر متطلبٍ موسومٍ منفَّذًا بلا حالة إغلاق · وما خرج من المقام يُعرض عدده منفصلًا فيُرى انكماشه.</w:t>
      </w:r>
    </w:p>
    <w:p>
      <w:pPr>
        <w:pStyle w:val="Heading2"/>
        <w:bidi/>
        <w:spacing w:after="130" w:before="200"/>
        <w:jc w:val="right"/>
      </w:pPr>
      <w:r>
        <w:rPr>
          <w:rFonts w:ascii="Segoe UI" w:cs="Segoe UI" w:eastAsia="Segoe UI" w:hAnsi="Segoe UI"/>
          <w:b/>
          <w:bCs/>
          <w:color w:val="1F3864"/>
          <w:sz w:val="24"/>
          <w:szCs w:val="24"/>
          <w:rtl/>
        </w:rPr>
        <w:t xml:space="preserve">المرحلة ٤ · إسقاط القرارات على كل ما يتأثر</w:t>
      </w:r>
    </w:p>
    <w:p>
      <w:pPr>
        <w:bidi/>
        <w:spacing w:after="110" w:line="300"/>
        <w:jc w:val="both"/>
      </w:pPr>
      <w:r>
        <w:rPr>
          <w:rFonts w:ascii="Segoe UI" w:cs="Segoe UI" w:eastAsia="Segoe UI" w:hAnsi="Segoe UI"/>
          <w:b/>
          <w:bCs/>
          <w:sz w:val="21"/>
          <w:szCs w:val="21"/>
          <w:rtl/>
        </w:rPr>
        <w:t xml:space="preserve">كل قرارٍ أو تعديلٍ يُحدَّد أثره كاملًا قبل إغلاقه: </w:t>
      </w:r>
      <w:r>
        <w:rPr>
          <w:rFonts w:ascii="Segoe UI" w:cs="Segoe UI" w:eastAsia="Segoe UI" w:hAnsi="Segoe UI"/>
          <w:sz w:val="21"/>
          <w:szCs w:val="21"/>
          <w:rtl/>
        </w:rPr>
        <w:t xml:space="preserve">الوثائق المتأثرة · والأسطح · والحقول · والبيانات · والصلاحيات · وآلات الحالة · والأحداث · والاختبارات · وأثر الترحيل.</w:t>
      </w:r>
    </w:p>
    <w:p>
      <w:pPr>
        <w:bidi/>
        <w:spacing w:after="110" w:line="300"/>
        <w:jc w:val="both"/>
      </w:pPr>
      <w:r>
        <w:rPr>
          <w:rFonts w:ascii="Segoe UI" w:cs="Segoe UI" w:eastAsia="Segoe UI" w:hAnsi="Segoe UI"/>
          <w:b/>
          <w:bCs/>
          <w:sz w:val="21"/>
          <w:szCs w:val="21"/>
          <w:rtl/>
        </w:rPr>
        <w:t xml:space="preserve">ولا يبقى قرارٌ صحيحًا في وثيقةٍ وخاطئًا في أخرى.</w:t>
      </w:r>
    </w:p>
    <w:p>
      <w:pPr>
        <w:pStyle w:val="ListParagraph"/>
        <w:numPr>
          <w:ilvl w:val="0"/>
          <w:numId w:val="2"/>
        </w:numPr>
        <w:bidi/>
        <w:spacing w:after="85" w:line="300"/>
        <w:jc w:val="both"/>
      </w:pPr>
      <w:r>
        <w:rPr>
          <w:rFonts w:ascii="Segoe UI" w:cs="Segoe UI" w:eastAsia="Segoe UI" w:hAnsi="Segoe UI"/>
          <w:b/>
          <w:bCs/>
          <w:sz w:val="21"/>
          <w:szCs w:val="21"/>
          <w:rtl/>
        </w:rPr>
        <w:t xml:space="preserve">المخرَج: </w:t>
      </w:r>
      <w:r>
        <w:rPr>
          <w:rFonts w:ascii="Segoe UI" w:cs="Segoe UI" w:eastAsia="Segoe UI" w:hAnsi="Segoe UI"/>
          <w:sz w:val="21"/>
          <w:szCs w:val="21"/>
          <w:rtl/>
        </w:rPr>
        <w:t xml:space="preserve">سجل أثرٍ لكل قرار بأعمدته التسعة.</w:t>
      </w:r>
    </w:p>
    <w:p>
      <w:pPr>
        <w:pStyle w:val="Heading2"/>
        <w:bidi/>
        <w:spacing w:after="130" w:before="200"/>
        <w:jc w:val="right"/>
      </w:pPr>
      <w:r>
        <w:rPr>
          <w:rFonts w:ascii="Segoe UI" w:cs="Segoe UI" w:eastAsia="Segoe UI" w:hAnsi="Segoe UI"/>
          <w:b/>
          <w:bCs/>
          <w:color w:val="1F3864"/>
          <w:sz w:val="24"/>
          <w:szCs w:val="24"/>
          <w:rtl/>
        </w:rPr>
        <w:t xml:space="preserve">المرحلة ٥ · إزالة الحواجز غير الصحيحة</w:t>
      </w:r>
    </w:p>
    <w:p>
      <w:pPr>
        <w:bidi/>
        <w:spacing w:after="110" w:line="300"/>
        <w:jc w:val="both"/>
      </w:pPr>
      <w:r>
        <w:rPr>
          <w:rFonts w:ascii="Segoe UI" w:cs="Segoe UI" w:eastAsia="Segoe UI" w:hAnsi="Segoe UI"/>
          <w:sz w:val="21"/>
          <w:szCs w:val="21"/>
          <w:rtl/>
        </w:rPr>
        <w:t xml:space="preserve">تُرفع فورًا الحواجز التي لا تنطبق:</w:t>
      </w:r>
    </w:p>
    <w:p>
      <w:pPr>
        <w:pStyle w:val="ListParagraph"/>
        <w:numPr>
          <w:ilvl w:val="0"/>
          <w:numId w:val="2"/>
        </w:numPr>
        <w:bidi/>
        <w:spacing w:after="85" w:line="300"/>
        <w:jc w:val="both"/>
      </w:pPr>
      <w:r>
        <w:rPr>
          <w:rFonts w:ascii="Segoe UI" w:cs="Segoe UI" w:eastAsia="Segoe UI" w:hAnsi="Segoe UI"/>
          <w:sz w:val="21"/>
          <w:szCs w:val="21"/>
          <w:rtl/>
        </w:rPr>
        <w:t xml:space="preserve">بوابة G0 على مصالحة المعمارية والبيانات الوصفية — لا تنطبق.</w:t>
      </w:r>
    </w:p>
    <w:p>
      <w:pPr>
        <w:pStyle w:val="ListParagraph"/>
        <w:numPr>
          <w:ilvl w:val="0"/>
          <w:numId w:val="2"/>
        </w:numPr>
        <w:bidi/>
        <w:spacing w:after="85" w:line="300"/>
        <w:jc w:val="both"/>
      </w:pPr>
      <w:r>
        <w:rPr>
          <w:rFonts w:ascii="Segoe UI" w:cs="Segoe UI" w:eastAsia="Segoe UI" w:hAnsi="Segoe UI"/>
          <w:sz w:val="21"/>
          <w:szCs w:val="21"/>
          <w:rtl/>
        </w:rPr>
        <w:t xml:space="preserve">قيمةٌ تشغيلية لم تُعتمد بعد — لا تمنع بناء محركها.</w:t>
      </w:r>
    </w:p>
    <w:p>
      <w:pPr>
        <w:pStyle w:val="ListParagraph"/>
        <w:numPr>
          <w:ilvl w:val="0"/>
          <w:numId w:val="2"/>
        </w:numPr>
        <w:bidi/>
        <w:spacing w:after="85" w:line="300"/>
        <w:jc w:val="both"/>
      </w:pPr>
      <w:r>
        <w:rPr>
          <w:rFonts w:ascii="Segoe UI" w:cs="Segoe UI" w:eastAsia="Segoe UI" w:hAnsi="Segoe UI"/>
          <w:sz w:val="21"/>
          <w:szCs w:val="21"/>
          <w:rtl/>
        </w:rPr>
        <w:t xml:space="preserve">قبولٌ بشريّ أو شاشةٌ ذهبية في مرحلةٍ ليست مرحلتها — لا تمنع البناء.</w:t>
      </w:r>
    </w:p>
    <w:p>
      <w:pPr>
        <w:pStyle w:val="ListParagraph"/>
        <w:numPr>
          <w:ilvl w:val="0"/>
          <w:numId w:val="2"/>
        </w:numPr>
        <w:bidi/>
        <w:spacing w:after="85" w:line="300"/>
        <w:jc w:val="both"/>
      </w:pPr>
      <w:r>
        <w:rPr>
          <w:rFonts w:ascii="Segoe UI" w:cs="Segoe UI" w:eastAsia="Segoe UI" w:hAnsi="Segoe UI"/>
          <w:sz w:val="21"/>
          <w:szCs w:val="21"/>
          <w:rtl/>
        </w:rPr>
        <w:t xml:space="preserve">قرارٌ حُسم ولم يُحدَّث سجله — يُحدَّث السجل ولا يُرفع سؤالًا.</w:t>
      </w:r>
    </w:p>
    <w:p>
      <w:pPr>
        <w:pStyle w:val="Heading2"/>
        <w:bidi/>
        <w:spacing w:after="130" w:before="200"/>
        <w:jc w:val="right"/>
      </w:pPr>
      <w:r>
        <w:rPr>
          <w:rFonts w:ascii="Segoe UI" w:cs="Segoe UI" w:eastAsia="Segoe UI" w:hAnsi="Segoe UI"/>
          <w:b/>
          <w:bCs/>
          <w:color w:val="1F3864"/>
          <w:sz w:val="24"/>
          <w:szCs w:val="24"/>
          <w:rtl/>
        </w:rPr>
        <w:t xml:space="preserve">المرحلة ٦ · سجل الاستئناف لكل إدارة</w:t>
      </w:r>
    </w:p>
    <w:p>
      <w:pPr>
        <w:bidi/>
        <w:spacing w:after="110" w:line="300"/>
        <w:jc w:val="both"/>
      </w:pPr>
      <w:r>
        <w:rPr>
          <w:rFonts w:ascii="Segoe UI" w:cs="Segoe UI" w:eastAsia="Segoe UI" w:hAnsi="Segoe UI"/>
          <w:b/>
          <w:bCs/>
          <w:sz w:val="21"/>
          <w:szCs w:val="21"/>
          <w:rtl/>
        </w:rPr>
        <w:t xml:space="preserve">هذا أهم مخرَج في الأمر — ويصدر مرتين لا مرة: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100"/>
        <w:gridCol w:w="5900"/>
      </w:tblGrid>
      <w:tr>
        <w:trPr>
          <w:tblHeader/>
        </w:trPr>
        <w:tc>
          <w:tcPr>
            <w:tcW w:type="dxa" w:w="21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السجل</w:t>
            </w:r>
          </w:p>
        </w:tc>
        <w:tc>
          <w:tcPr>
            <w:tcW w:type="dxa" w:w="59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متى يصدر وما حكمه</w:t>
            </w:r>
          </w:p>
        </w:tc>
      </w:tr>
      <w:tr>
        <w:tc>
          <w:tcPr>
            <w:tcW w:type="dxa" w:w="21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المؤقت — للرؤية</w:t>
            </w:r>
          </w:p>
        </w:tc>
        <w:tc>
          <w:tcPr>
            <w:tcW w:type="dxa" w:w="59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يصدر في أول الجلسة من المعلوم حاليًّا، لئلّا تُفقد نقطة التقدّم. ويُقرأ للرؤية التنفيذية ولا يُحتجّ به</w:t>
            </w:r>
          </w:p>
        </w:tc>
      </w:tr>
      <w:tr>
        <w:tc>
          <w:tcPr>
            <w:tcW w:type="dxa" w:w="21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المصادَق — الحاكم</w:t>
            </w:r>
          </w:p>
        </w:tc>
        <w:tc>
          <w:tcPr>
            <w:tcW w:type="dxa" w:w="59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يصدر بعد اكتمال المراحل من الأولى إلى الخامسة. وهو وحده مصدر الاستئناف</w:t>
            </w:r>
          </w:p>
        </w:tc>
      </w:tr>
    </w:tbl>
    <w:p>
      <w:pPr>
        <w:bidi/>
        <w:spacing w:after="110" w:line="300"/>
        <w:jc w:val="both"/>
      </w:pPr>
      <w:r>
        <w:rPr>
          <w:rFonts w:ascii="Segoe UI" w:cs="Segoe UI" w:eastAsia="Segoe UI" w:hAnsi="Segoe UI"/>
          <w:b/>
          <w:bCs/>
          <w:sz w:val="21"/>
          <w:szCs w:val="21"/>
          <w:rtl/>
        </w:rPr>
        <w:t xml:space="preserve">وكل عملٍ استُؤنف على السجل المؤقت يُوسَم بذلك، ويُعاد التحقّق منه عند صدور المصادَق. </w:t>
      </w:r>
      <w:r>
        <w:rPr>
          <w:rFonts w:ascii="Segoe UI" w:cs="Segoe UI" w:eastAsia="Segoe UI" w:hAnsi="Segoe UI"/>
          <w:sz w:val="21"/>
          <w:szCs w:val="21"/>
          <w:rtl/>
        </w:rPr>
        <w:t xml:space="preserve">فالمؤقت جسرٌ لا مقرّ — ولا يبقى مؤقتًا بعد اكتمال المراحل الخمس.</w:t>
      </w:r>
    </w:p>
    <w:p>
      <w:pPr>
        <w:bidi/>
        <w:spacing w:after="110" w:line="300"/>
        <w:jc w:val="both"/>
      </w:pPr>
      <w:r>
        <w:rPr>
          <w:rFonts w:ascii="Segoe UI" w:cs="Segoe UI" w:eastAsia="Segoe UI" w:hAnsi="Segoe UI"/>
          <w:sz w:val="21"/>
          <w:szCs w:val="21"/>
          <w:rtl/>
        </w:rPr>
        <w:t xml:space="preserve">وأعمدة السجلين واحدة: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العمود</w:t>
            </w:r>
          </w:p>
        </w:tc>
        <w:tc>
          <w:tcPr>
            <w:tcW w:type="dxa" w:w="56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مضمونه</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آخر متطلبٍ مغلق بالدليل</w:t>
            </w:r>
          </w:p>
        </w:tc>
        <w:tc>
          <w:tcPr>
            <w:tcW w:type="dxa" w:w="5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بمعرّفه ودليل إغلاقه</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أول متطلبٍ مفتوح</w:t>
            </w:r>
          </w:p>
        </w:tc>
        <w:tc>
          <w:tcPr>
            <w:tcW w:type="dxa" w:w="5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بمعرّفه</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الحاجز الحالي</w:t>
            </w:r>
          </w:p>
        </w:tc>
        <w:tc>
          <w:tcPr>
            <w:tcW w:type="dxa" w:w="5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إن وُجد — بمعرّفه</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هل الحاجز صحيح؟</w:t>
            </w:r>
          </w:p>
        </w:tc>
        <w:tc>
          <w:tcPr>
            <w:tcW w:type="dxa" w:w="5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نعم أو لا — وإن كان لا فيُرفع ويُستأنف</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نقطة الاستئناف</w:t>
            </w:r>
          </w:p>
        </w:tc>
        <w:tc>
          <w:tcPr>
            <w:tcW w:type="dxa" w:w="56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من أين يبدأ العمل بالضبط</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الإجراء التالي</w:t>
            </w:r>
          </w:p>
        </w:tc>
        <w:tc>
          <w:tcPr>
            <w:tcW w:type="dxa" w:w="56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فعلٌ واحد محدَّد لا خطة</w:t>
            </w:r>
          </w:p>
        </w:tc>
      </w:tr>
    </w:tbl>
    <w:p>
      <w:pPr>
        <w:pStyle w:val="ListParagraph"/>
        <w:numPr>
          <w:ilvl w:val="0"/>
          <w:numId w:val="2"/>
        </w:numPr>
        <w:bidi/>
        <w:spacing w:after="85" w:line="300"/>
        <w:jc w:val="both"/>
      </w:pPr>
      <w:r>
        <w:rPr>
          <w:rFonts w:ascii="Segoe UI" w:cs="Segoe UI" w:eastAsia="Segoe UI" w:hAnsi="Segoe UI"/>
          <w:b/>
          <w:bCs/>
          <w:sz w:val="21"/>
          <w:szCs w:val="21"/>
          <w:rtl/>
        </w:rPr>
        <w:t xml:space="preserve">القبول: </w:t>
      </w:r>
      <w:r>
        <w:rPr>
          <w:rFonts w:ascii="Segoe UI" w:cs="Segoe UI" w:eastAsia="Segoe UI" w:hAnsi="Segoe UI"/>
          <w:sz w:val="21"/>
          <w:szCs w:val="21"/>
          <w:rtl/>
        </w:rPr>
        <w:t xml:space="preserve">واحدٌ وعشرون سطرًا — ولا إدارةَ بلا نقطة استئناف.</w:t>
      </w:r>
    </w:p>
    <w:p>
      <w:pPr>
        <w:bidi/>
        <w:spacing w:after="110" w:line="300"/>
        <w:jc w:val="both"/>
      </w:pPr>
      <w:r>
        <w:rPr>
          <w:rFonts w:ascii="Segoe UI" w:cs="Segoe UI" w:eastAsia="Segoe UI" w:hAnsi="Segoe UI"/>
          <w:b/>
          <w:bCs/>
          <w:sz w:val="21"/>
          <w:szCs w:val="21"/>
          <w:rtl/>
        </w:rPr>
        <w:t xml:space="preserve">ويُلحق به سجلٌّ ثانٍ منفصل: سجل استئناف القدرات المنصّية المشتركة. </w:t>
      </w:r>
      <w:r>
        <w:rPr>
          <w:rFonts w:ascii="Segoe UI" w:cs="Segoe UI" w:eastAsia="Segoe UI" w:hAnsi="Segoe UI"/>
          <w:sz w:val="21"/>
          <w:szCs w:val="21"/>
          <w:rtl/>
        </w:rPr>
        <w:t xml:space="preserve">فمحرك الاعتماد وتوجيه الطلبات والبحث الموحد وسجل المنصّة وقدرات الأمان المشتركة لا تنتمي إلى إدارةٍ من الواحد والعشرين، ووقوعها خارج السجل يُضيّع عملها. </w:t>
      </w:r>
      <w:r>
        <w:rPr>
          <w:rFonts w:ascii="Segoe UI" w:cs="Segoe UI" w:eastAsia="Segoe UI" w:hAnsi="Segoe UI"/>
          <w:b/>
          <w:bCs/>
          <w:sz w:val="21"/>
          <w:szCs w:val="21"/>
          <w:rtl/>
        </w:rPr>
        <w:t xml:space="preserve">ولا تُعدّ PLATFORM إدارةً ثانيةً وعشرين</w:t>
      </w:r>
      <w:r>
        <w:rPr>
          <w:rFonts w:ascii="Segoe UI" w:cs="Segoe UI" w:eastAsia="Segoe UI" w:hAnsi="Segoe UI"/>
          <w:sz w:val="21"/>
          <w:szCs w:val="21"/>
          <w:rtl/>
        </w:rPr>
        <w:t xml:space="preserve"> — سجلٌّ مستقل بالأعمدة نفسها، ولكل قدرةٍ مالكٌ تقنيٌّ مسمًّى، والحوكمة تملك سجل المنصّة نفسه.</w:t>
      </w:r>
    </w:p>
    <w:p>
      <w:pPr>
        <w:bidi/>
        <w:spacing w:after="110" w:line="300"/>
        <w:jc w:val="both"/>
      </w:pPr>
      <w:r>
        <w:rPr>
          <w:rFonts w:ascii="Segoe UI" w:cs="Segoe UI" w:eastAsia="Segoe UI" w:hAnsi="Segoe UI"/>
          <w:b/>
          <w:bCs/>
          <w:sz w:val="21"/>
          <w:szCs w:val="21"/>
          <w:rtl/>
        </w:rPr>
        <w:t xml:space="preserve">وأول سطرٍ فيه: محرك الاعتماد — </w:t>
      </w:r>
      <w:r>
        <w:rPr>
          <w:rFonts w:ascii="Segoe UI" w:cs="Segoe UI" w:eastAsia="Segoe UI" w:hAnsi="Segoe UI"/>
          <w:sz w:val="21"/>
          <w:szCs w:val="21"/>
          <w:rtl/>
        </w:rPr>
        <w:t xml:space="preserve">فهو أكبر قدرةٍ تحتاج إغلاقًا. </w:t>
      </w:r>
      <w:r>
        <w:rPr>
          <w:rFonts w:ascii="Segoe UI" w:cs="Segoe UI" w:eastAsia="Segoe UI" w:hAnsi="Segoe UI"/>
          <w:b/>
          <w:bCs/>
          <w:sz w:val="21"/>
          <w:szCs w:val="21"/>
          <w:rtl/>
        </w:rPr>
        <w:t xml:space="preserve">ولا تحجبه القيم المؤجَّلة: بناء المحرك وصحة التوجيه وتحديد الدور المعتمِد تمضي بلا قيمةٍ واحدة، وينتقل الحاجز إلى مرحلتَي نافذة الظلّ والإنفاذ وحدهما حين تلزم الحدود العددية.</w:t>
      </w:r>
    </w:p>
    <w:p>
      <w:pPr>
        <w:pStyle w:val="Heading2"/>
        <w:bidi/>
        <w:spacing w:after="130" w:before="200"/>
        <w:jc w:val="right"/>
      </w:pPr>
      <w:r>
        <w:rPr>
          <w:rFonts w:ascii="Segoe UI" w:cs="Segoe UI" w:eastAsia="Segoe UI" w:hAnsi="Segoe UI"/>
          <w:b/>
          <w:bCs/>
          <w:color w:val="1F3864"/>
          <w:sz w:val="24"/>
          <w:szCs w:val="24"/>
          <w:rtl/>
        </w:rPr>
        <w:t xml:space="preserve">المرحلة ٧ · استئناف التنفيذ</w:t>
      </w:r>
    </w:p>
    <w:p>
      <w:pPr>
        <w:bidi/>
        <w:spacing w:after="110" w:line="300"/>
        <w:jc w:val="both"/>
      </w:pPr>
      <w:r>
        <w:rPr>
          <w:rFonts w:ascii="Segoe UI" w:cs="Segoe UI" w:eastAsia="Segoe UI" w:hAnsi="Segoe UI"/>
          <w:b/>
          <w:bCs/>
          <w:sz w:val="21"/>
          <w:szCs w:val="21"/>
          <w:rtl/>
        </w:rPr>
        <w:t xml:space="preserve">يُستأنف كل نطاقٍ من أول متطلبٍ مفتوحٍ متحقَّقٍ منه — </w:t>
      </w:r>
      <w:r>
        <w:rPr>
          <w:rFonts w:ascii="Segoe UI" w:cs="Segoe UI" w:eastAsia="Segoe UI" w:hAnsi="Segoe UI"/>
          <w:sz w:val="21"/>
          <w:szCs w:val="21"/>
          <w:rtl/>
        </w:rPr>
        <w:t xml:space="preserve">ولا يُعاد ما ثبتت صحته، ولا يُبدَأ من الصفر، ولا تُتجاوز بوابةٌ حقيقية.</w:t>
      </w:r>
    </w:p>
    <w:p>
      <w:pPr>
        <w:pStyle w:val="Heading2"/>
        <w:bidi/>
        <w:spacing w:after="130" w:before="200"/>
        <w:jc w:val="right"/>
      </w:pPr>
      <w:r>
        <w:rPr>
          <w:rFonts w:ascii="Segoe UI" w:cs="Segoe UI" w:eastAsia="Segoe UI" w:hAnsi="Segoe UI"/>
          <w:b/>
          <w:bCs/>
          <w:color w:val="1F3864"/>
          <w:sz w:val="24"/>
          <w:szCs w:val="24"/>
          <w:rtl/>
        </w:rPr>
        <w:t xml:space="preserve">٤·١ الحدّ الفاصل بين هذا الأمر وأمرَي الإغلاق</w:t>
      </w:r>
    </w:p>
    <w:p>
      <w:pPr>
        <w:bidi/>
        <w:spacing w:after="110" w:line="300"/>
        <w:jc w:val="both"/>
      </w:pPr>
      <w:r>
        <w:rPr>
          <w:rFonts w:ascii="Segoe UI" w:cs="Segoe UI" w:eastAsia="Segoe UI" w:hAnsi="Segoe UI"/>
          <w:sz w:val="21"/>
          <w:szCs w:val="21"/>
          <w:rtl/>
        </w:rPr>
        <w:t xml:space="preserve">RPR-02 يُثبت صحة ارتباط الشاشة بالمحركات الحاكمة — أنها تستدعي الحارس الصحيح، وأن انتقالها مربوطٌ بمحرك الحالة، وأن خطّاف الحدث موجود، وأن مرجع مصدرها صحيح، وأن اختبارها السالب المحليّ يعمل. </w:t>
      </w:r>
      <w:r>
        <w:rPr>
          <w:rFonts w:ascii="Segoe UI" w:cs="Segoe UI" w:eastAsia="Segoe UI" w:hAnsi="Segoe UI"/>
          <w:b/>
          <w:bCs/>
          <w:sz w:val="21"/>
          <w:szCs w:val="21"/>
          <w:rtl/>
        </w:rPr>
        <w:t xml:space="preserve">ولا يُعدّ ذلك إثباتًا لفعالية المحرك المؤسسي نفسه.</w:t>
      </w:r>
    </w:p>
    <w:p>
      <w:pPr>
        <w:bidi/>
        <w:spacing w:after="110" w:line="300"/>
        <w:jc w:val="both"/>
      </w:pPr>
      <w:r>
        <w:rPr>
          <w:rFonts w:ascii="Segoe UI" w:cs="Segoe UI" w:eastAsia="Segoe UI" w:hAnsi="Segoe UI"/>
          <w:sz w:val="21"/>
          <w:szCs w:val="21"/>
          <w:rtl/>
        </w:rPr>
        <w:t xml:space="preserve">وRPR-03 يُثبت فعالية المحرك والتكامل والإنفاذ عبر النظام كاملًا: </w:t>
      </w:r>
      <w:r>
        <w:rPr>
          <w:rFonts w:ascii="Segoe UI" w:cs="Segoe UI" w:eastAsia="Segoe UI" w:hAnsi="Segoe UI"/>
          <w:sz w:val="21"/>
          <w:szCs w:val="21"/>
          <w:rtl/>
        </w:rPr>
        <w:t xml:space="preserve">أن قرار الصلاحية موحَّدٌ ونافذ · وأن الرابط المباشر لا يلتفّ عليه · وأن الحدث يبلغ مستهلكه الصحيح فيُحدث أثره · وأن الفشل يُعاد أو يُعوَّض · وأن الرحلة البشرية العابرة تنجح.</w:t>
      </w:r>
    </w:p>
    <w:p>
      <w:pPr>
        <w:bidi/>
        <w:spacing w:after="110" w:line="300"/>
        <w:jc w:val="both"/>
      </w:pPr>
      <w:r>
        <w:rPr>
          <w:rFonts w:ascii="Segoe UI" w:cs="Segoe UI" w:eastAsia="Segoe UI" w:hAnsi="Segoe UI"/>
          <w:b/>
          <w:bCs/>
          <w:sz w:val="21"/>
          <w:szCs w:val="21"/>
          <w:rtl/>
        </w:rPr>
        <w:t xml:space="preserve">فلا تكرار بين الأمرين: </w:t>
      </w:r>
      <w:r>
        <w:rPr>
          <w:rFonts w:ascii="Segoe UI" w:cs="Segoe UI" w:eastAsia="Segoe UI" w:hAnsi="Segoe UI"/>
          <w:sz w:val="21"/>
          <w:szCs w:val="21"/>
          <w:rtl/>
        </w:rPr>
        <w:t xml:space="preserve">الأول مطابقةٌ محلية على مستوى الشاشة، والثاني فعاليةٌ مؤسسية على مستوى المحرك.</w:t>
      </w:r>
    </w:p>
    <w:p>
      <w:pPr>
        <w:pStyle w:val="Heading2"/>
        <w:bidi/>
        <w:spacing w:after="130" w:before="200"/>
        <w:jc w:val="right"/>
      </w:pPr>
      <w:r>
        <w:rPr>
          <w:rFonts w:ascii="Segoe UI" w:cs="Segoe UI" w:eastAsia="Segoe UI" w:hAnsi="Segoe UI"/>
          <w:b/>
          <w:bCs/>
          <w:color w:val="1F3864"/>
          <w:sz w:val="24"/>
          <w:szCs w:val="24"/>
          <w:rtl/>
        </w:rPr>
        <w:t xml:space="preserve">المرحلة ٨ · الإغلاق العكسي</w:t>
      </w:r>
    </w:p>
    <w:p>
      <w:pPr>
        <w:bidi/>
        <w:spacing w:after="110" w:line="300"/>
        <w:jc w:val="both"/>
      </w:pPr>
      <w:r>
        <w:rPr>
          <w:rFonts w:ascii="Segoe UI" w:cs="Segoe UI" w:eastAsia="Segoe UI" w:hAnsi="Segoe UI"/>
          <w:b/>
          <w:bCs/>
          <w:sz w:val="21"/>
          <w:szCs w:val="21"/>
          <w:rtl/>
        </w:rPr>
        <w:t xml:space="preserve">بعد كل دفعة: ارجع إلى ملفاتها وتحقّق أن كل ما طُلب نُفِّذ كما طُلب — ثم أعلن الإغلاق. </w:t>
      </w:r>
      <w:r>
        <w:rPr>
          <w:rFonts w:ascii="Segoe UI" w:cs="Segoe UI" w:eastAsia="Segoe UI" w:hAnsi="Segoe UI"/>
          <w:sz w:val="21"/>
          <w:szCs w:val="21"/>
          <w:rtl/>
        </w:rPr>
        <w:t xml:space="preserve">ولا تُعلَن مرحلةٌ مغلقة قبل مراجعتها عكسيًّا.</w:t>
      </w:r>
    </w:p>
    <w:p>
      <w:r>
        <w:br w:type="page"/>
      </w:r>
    </w:p>
    <w:p>
      <w:pPr>
        <w:pStyle w:val="Heading1"/>
        <w:bidi/>
        <w:spacing w:after="130" w:before="300"/>
        <w:jc w:val="right"/>
      </w:pPr>
      <w:r>
        <w:rPr>
          <w:rFonts w:ascii="Segoe UI" w:cs="Segoe UI" w:eastAsia="Segoe UI" w:hAnsi="Segoe UI"/>
          <w:b/>
          <w:bCs/>
          <w:color w:val="1F3864"/>
          <w:sz w:val="29"/>
          <w:szCs w:val="29"/>
          <w:rtl/>
        </w:rPr>
        <w:t xml:space="preserve">٥ · درجات الحجب الست</w:t>
      </w:r>
    </w:p>
    <w:p>
      <w:pPr>
        <w:bidi/>
        <w:spacing w:after="110" w:line="300"/>
        <w:jc w:val="both"/>
      </w:pPr>
      <w:r>
        <w:rPr>
          <w:rFonts w:ascii="Segoe UI" w:cs="Segoe UI" w:eastAsia="Segoe UI" w:hAnsi="Segoe UI"/>
          <w:sz w:val="21"/>
          <w:szCs w:val="21"/>
          <w:rtl/>
        </w:rPr>
        <w:t xml:space="preserve">كل قرارٍ مفتوح يحمل درجةً واحدة منها. ولا يوقف العمل إلا ما درجته توقفه: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tblGrid>
      <w:tr>
        <w:trPr>
          <w:tblHeader/>
        </w:trPr>
        <w:tc>
          <w:tcPr>
            <w:tcW w:type="dxa" w:w="2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الدرجة</w:t>
            </w:r>
          </w:p>
        </w:tc>
        <w:tc>
          <w:tcPr>
            <w:tcW w:type="dxa" w:w="32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أثرها</w:t>
            </w:r>
          </w:p>
        </w:tc>
        <w:tc>
          <w:tcPr>
            <w:tcW w:type="dxa" w:w="24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مثال</w:t>
            </w:r>
          </w:p>
        </w:tc>
      </w:tr>
      <w:tr>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بنيوي</w:t>
            </w:r>
          </w:p>
        </w:tc>
        <w:tc>
          <w:tcPr>
            <w:tcW w:type="dxa" w:w="32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يوقف التصميم والتنفيذ معًا</w:t>
            </w:r>
          </w:p>
        </w:tc>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موضع وحدة تنظيمية · ملكية حقيقة</w:t>
            </w:r>
          </w:p>
        </w:tc>
      </w:tr>
      <w:tr>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بناء</w:t>
            </w:r>
          </w:p>
        </w:tc>
        <w:tc>
          <w:tcPr>
            <w:tcW w:type="dxa" w:w="32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يمنع بناء نطاقٍ أو معاملةٍ بعينها</w:t>
            </w:r>
          </w:p>
        </w:tc>
        <w:tc>
          <w:tcPr>
            <w:tcW w:type="dxa" w:w="2400"/>
            <w:shd w:fill="FCE4D6"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حبّة غير محسومة لسطح</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إنفاذ</w:t>
            </w:r>
          </w:p>
        </w:tc>
        <w:tc>
          <w:tcPr>
            <w:tcW w:type="dxa" w:w="3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المحرك يُبنى ولا يُفعَّل</w:t>
            </w:r>
          </w:p>
        </w:tc>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 حدود الاعتماد</w:t>
            </w:r>
          </w:p>
        </w:tc>
      </w:tr>
      <w:tr>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اختبار</w:t>
            </w:r>
          </w:p>
        </w:tc>
        <w:tc>
          <w:tcPr>
            <w:tcW w:type="dxa" w:w="32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لا يمنع البناء ويمنع القبول</w:t>
            </w:r>
          </w:p>
        </w:tc>
        <w:tc>
          <w:tcPr>
            <w:tcW w:type="dxa" w:w="24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عيّنة المسح · رحلة بشرية</w:t>
            </w:r>
          </w:p>
        </w:tc>
      </w:tr>
      <w:tr>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إصدار</w:t>
            </w:r>
          </w:p>
        </w:tc>
        <w:tc>
          <w:tcPr>
            <w:tcW w:type="dxa" w:w="32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يمنع الإطلاق وحده</w:t>
            </w:r>
          </w:p>
        </w:tc>
        <w:tc>
          <w:tcPr>
            <w:tcW w:type="dxa" w:w="24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دليل استعادة متقادم</w:t>
            </w:r>
          </w:p>
        </w:tc>
      </w:tr>
      <w:tr>
        <w:tc>
          <w:tcPr>
            <w:tcW w:type="dxa" w:w="24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قيمة مؤجَّلة</w:t>
            </w:r>
          </w:p>
        </w:tc>
        <w:tc>
          <w:tcPr>
            <w:tcW w:type="dxa" w:w="32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لا تمنع التصميم ولا بناء المحرك · وتنتقل إلى حاجز إنفاذ أو اختبار أو إصدار متى كانت القيمة لازمة لتلك المرحلة</w:t>
            </w:r>
          </w:p>
        </w:tc>
        <w:tc>
          <w:tcPr>
            <w:tcW w:type="dxa" w:w="2400"/>
            <w:shd w:fill="E7F0E3"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حد النثرية: لا يمنع بناء محرك الخزينة · ويمنع تشغيل سياسة النقد قبل الإنتاج</w:t>
            </w:r>
          </w:p>
        </w:tc>
      </w:tr>
    </w:tbl>
    <w:p>
      <w:pPr>
        <w:bidi/>
        <w:spacing w:after="110" w:line="300"/>
        <w:jc w:val="both"/>
      </w:pPr>
      <w:r>
        <w:rPr>
          <w:rFonts w:ascii="Segoe UI" w:cs="Segoe UI" w:eastAsia="Segoe UI" w:hAnsi="Segoe UI"/>
          <w:b/>
          <w:bCs/>
          <w:sz w:val="21"/>
          <w:szCs w:val="21"/>
          <w:rtl/>
        </w:rPr>
        <w:t xml:space="preserve">وابنِ المحركات كلها الآن، واترك مواضع القيم فارغةً تُقرأ من سجل السياسات · ولا تُكتب قيمةٌ في الشيفرة. </w:t>
      </w:r>
      <w:r>
        <w:rPr>
          <w:rFonts w:ascii="Segoe UI" w:cs="Segoe UI" w:eastAsia="Segoe UI" w:hAnsi="Segoe UI"/>
          <w:sz w:val="21"/>
          <w:szCs w:val="21"/>
          <w:rtl/>
        </w:rPr>
        <w:t xml:space="preserve">ولكل قيمةٍ مؤجَّلة يُذكر صراحةً: أي مرحلةٍ تتحول عندها إلى حاجز — إنفاذًا أو اختبارًا أو إصدارًا. </w:t>
      </w:r>
      <w:r>
        <w:rPr>
          <w:rFonts w:ascii="Segoe UI" w:cs="Segoe UI" w:eastAsia="Segoe UI" w:hAnsi="Segoe UI"/>
          <w:b/>
          <w:bCs/>
          <w:sz w:val="21"/>
          <w:szCs w:val="21"/>
          <w:rtl/>
        </w:rPr>
        <w:t xml:space="preserve">فالقيمة المؤجَّلة تُؤجَّل ولا تُنسى.</w:t>
      </w:r>
    </w:p>
    <w:p>
      <w:pPr>
        <w:pStyle w:val="Heading1"/>
        <w:bidi/>
        <w:spacing w:after="130" w:before="300"/>
        <w:jc w:val="right"/>
      </w:pPr>
      <w:r>
        <w:rPr>
          <w:rFonts w:ascii="Segoe UI" w:cs="Segoe UI" w:eastAsia="Segoe UI" w:hAnsi="Segoe UI"/>
          <w:b/>
          <w:bCs/>
          <w:color w:val="1F3864"/>
          <w:sz w:val="29"/>
          <w:szCs w:val="29"/>
          <w:rtl/>
        </w:rPr>
        <w:t xml:space="preserve">٦ · البحث الإلزامي قبل رفع أي سؤال</w:t>
      </w:r>
    </w:p>
    <w:p>
      <w:pPr>
        <w:bidi/>
        <w:spacing w:after="110" w:line="300"/>
        <w:jc w:val="both"/>
      </w:pPr>
      <w:r>
        <w:rPr>
          <w:rFonts w:ascii="Segoe UI" w:cs="Segoe UI" w:eastAsia="Segoe UI" w:hAnsi="Segoe UI"/>
          <w:b/>
          <w:bCs/>
          <w:sz w:val="21"/>
          <w:szCs w:val="21"/>
          <w:rtl/>
        </w:rPr>
        <w:t xml:space="preserve">قبل رفع أي نقطةٍ إلى المالك، ابحث فيها بهذا الترتيب — ولا يُرفع سؤالٌ قبل استيفائه: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7300"/>
      </w:tblGrid>
      <w:tr>
        <w:trPr>
          <w:tblHeader/>
        </w:trPr>
        <w:tc>
          <w:tcPr>
            <w:tcW w:type="dxa" w:w="7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w:t>
            </w:r>
          </w:p>
        </w:tc>
        <w:tc>
          <w:tcPr>
            <w:tcW w:type="dxa" w:w="73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المصدر</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١</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سجل قرارات المالك — والقرارات المعتمدة فيه</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٢</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التعديلات اللاحقة على الحزمة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٣</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الدستور</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٤</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الدليل المعماري الموحد</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٥</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الإدارة المستهدفة في موجتها</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٦</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ملف القيادة</w:t>
            </w:r>
          </w:p>
        </w:tc>
      </w:tr>
      <w:tr>
        <w:tc>
          <w:tcPr>
            <w:tcW w:type="dxa" w:w="7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٧</w:t>
            </w:r>
          </w:p>
        </w:tc>
        <w:tc>
          <w:tcPr>
            <w:tcW w:type="dxa" w:w="73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تقارير المصالحة والمراجعة</w:t>
            </w:r>
          </w:p>
        </w:tc>
      </w:tr>
      <w:tr>
        <w:tc>
          <w:tcPr>
            <w:tcW w:type="dxa" w:w="7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٨</w:t>
            </w:r>
          </w:p>
        </w:tc>
        <w:tc>
          <w:tcPr>
            <w:tcW w:type="dxa" w:w="73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أدلة الواقع — سجلات النظام واللقطات</w:t>
            </w:r>
          </w:p>
        </w:tc>
      </w:tr>
    </w:tbl>
    <w:p>
      <w:pPr>
        <w:bidi/>
        <w:spacing w:after="110" w:line="300"/>
        <w:jc w:val="both"/>
      </w:pPr>
      <w:r>
        <w:rPr>
          <w:rFonts w:ascii="Segoe UI" w:cs="Segoe UI" w:eastAsia="Segoe UI" w:hAnsi="Segoe UI"/>
          <w:b/>
          <w:bCs/>
          <w:sz w:val="21"/>
          <w:szCs w:val="21"/>
          <w:rtl/>
        </w:rPr>
        <w:t xml:space="preserve">ثم: </w:t>
      </w:r>
      <w:r>
        <w:rPr>
          <w:rFonts w:ascii="Segoe UI" w:cs="Segoe UI" w:eastAsia="Segoe UI" w:hAnsi="Segoe UI"/>
          <w:sz w:val="21"/>
          <w:szCs w:val="21"/>
          <w:rtl/>
        </w:rPr>
        <w:t xml:space="preserve">إن وُجد الحكم ← طبِّقه ولا تسأل · وإن وُجد تعارضٌ ← ارفع التعارض وحده لا السؤال · وإن لم يوجد ← ارفعه قرارًا حقيقيًّا مع ذكر المصادر الثمانية التي بحثتَ فيها.</w:t>
      </w:r>
    </w:p>
    <w:p>
      <w:pPr>
        <w:pStyle w:val="Heading1"/>
        <w:bidi/>
        <w:spacing w:after="130" w:before="300"/>
        <w:jc w:val="right"/>
      </w:pPr>
      <w:r>
        <w:rPr>
          <w:rFonts w:ascii="Segoe UI" w:cs="Segoe UI" w:eastAsia="Segoe UI" w:hAnsi="Segoe UI"/>
          <w:b/>
          <w:bCs/>
          <w:color w:val="1F3864"/>
          <w:sz w:val="29"/>
          <w:szCs w:val="29"/>
          <w:rtl/>
        </w:rPr>
        <w:t xml:space="preserve">٧ · المحظورات</w:t>
      </w:r>
    </w:p>
    <w:p>
      <w:pPr>
        <w:pStyle w:val="ListParagraph"/>
        <w:numPr>
          <w:ilvl w:val="0"/>
          <w:numId w:val="2"/>
        </w:numPr>
        <w:bidi/>
        <w:spacing w:after="85" w:line="300"/>
        <w:jc w:val="both"/>
      </w:pPr>
      <w:r>
        <w:rPr>
          <w:rFonts w:ascii="Segoe UI" w:cs="Segoe UI" w:eastAsia="Segoe UI" w:hAnsi="Segoe UI"/>
          <w:sz w:val="21"/>
          <w:szCs w:val="21"/>
          <w:rtl/>
        </w:rPr>
        <w:t xml:space="preserve">لا يُعاد تنفيذ ما ثبتت صحته بالدليل.</w:t>
      </w:r>
    </w:p>
    <w:p>
      <w:pPr>
        <w:pStyle w:val="ListParagraph"/>
        <w:numPr>
          <w:ilvl w:val="0"/>
          <w:numId w:val="2"/>
        </w:numPr>
        <w:bidi/>
        <w:spacing w:after="85" w:line="300"/>
        <w:jc w:val="both"/>
      </w:pPr>
      <w:r>
        <w:rPr>
          <w:rFonts w:ascii="Segoe UI" w:cs="Segoe UI" w:eastAsia="Segoe UI" w:hAnsi="Segoe UI"/>
          <w:sz w:val="21"/>
          <w:szCs w:val="21"/>
          <w:rtl/>
        </w:rPr>
        <w:t xml:space="preserve">لا يُرفع سؤالٌ سبق حسمه — ولا يُرفع سؤالٌ بلا بحثٍ في المصادر الثمانية.</w:t>
      </w:r>
    </w:p>
    <w:p>
      <w:pPr>
        <w:pStyle w:val="ListParagraph"/>
        <w:numPr>
          <w:ilvl w:val="0"/>
          <w:numId w:val="2"/>
        </w:numPr>
        <w:bidi/>
        <w:spacing w:after="85" w:line="300"/>
        <w:jc w:val="both"/>
      </w:pPr>
      <w:r>
        <w:rPr>
          <w:rFonts w:ascii="Segoe UI" w:cs="Segoe UI" w:eastAsia="Segoe UI" w:hAnsi="Segoe UI"/>
          <w:sz w:val="21"/>
          <w:szCs w:val="21"/>
          <w:rtl/>
        </w:rPr>
        <w:t xml:space="preserve">لا تُوقَف إدارةٌ بقيمةٍ تشغيلية أو بقرارٍ لا ينطبق على مرحلة البناء.</w:t>
      </w:r>
    </w:p>
    <w:p>
      <w:pPr>
        <w:pStyle w:val="ListParagraph"/>
        <w:numPr>
          <w:ilvl w:val="0"/>
          <w:numId w:val="2"/>
        </w:numPr>
        <w:bidi/>
        <w:spacing w:after="85" w:line="300"/>
        <w:jc w:val="both"/>
      </w:pPr>
      <w:r>
        <w:rPr>
          <w:rFonts w:ascii="Segoe UI" w:cs="Segoe UI" w:eastAsia="Segoe UI" w:hAnsi="Segoe UI"/>
          <w:sz w:val="21"/>
          <w:szCs w:val="21"/>
          <w:rtl/>
        </w:rPr>
        <w:t xml:space="preserve">لا يُعدَّل ملفٌ للتنسيق ولا بالاجتهاد — ولا يُجمَّد ملفٌ متأثرٌ بحجة أنه خارج النطاق.</w:t>
      </w:r>
    </w:p>
    <w:p>
      <w:pPr>
        <w:pStyle w:val="ListParagraph"/>
        <w:numPr>
          <w:ilvl w:val="0"/>
          <w:numId w:val="2"/>
        </w:numPr>
        <w:bidi/>
        <w:spacing w:after="85" w:line="300"/>
        <w:jc w:val="both"/>
      </w:pPr>
      <w:r>
        <w:rPr>
          <w:rFonts w:ascii="Segoe UI" w:cs="Segoe UI" w:eastAsia="Segoe UI" w:hAnsi="Segoe UI"/>
          <w:sz w:val="21"/>
          <w:szCs w:val="21"/>
          <w:rtl/>
        </w:rPr>
        <w:t xml:space="preserve">لا يُختار أحد نصّين متعارضين بالاجتهاد — يُرفع التعارض.</w:t>
      </w:r>
    </w:p>
    <w:p>
      <w:pPr>
        <w:pStyle w:val="ListParagraph"/>
        <w:numPr>
          <w:ilvl w:val="0"/>
          <w:numId w:val="2"/>
        </w:numPr>
        <w:bidi/>
        <w:spacing w:after="85" w:line="300"/>
        <w:jc w:val="both"/>
      </w:pPr>
      <w:r>
        <w:rPr>
          <w:rFonts w:ascii="Segoe UI" w:cs="Segoe UI" w:eastAsia="Segoe UI" w:hAnsi="Segoe UI"/>
          <w:sz w:val="21"/>
          <w:szCs w:val="21"/>
          <w:rtl/>
        </w:rPr>
        <w:t xml:space="preserve">لا يُقاس والشجرة متحركة — تُقفل إلى صفرٍ ثم يُقاس، وكل رقمٍ بمعرّف لقطته.</w:t>
      </w:r>
    </w:p>
    <w:p>
      <w:pPr>
        <w:pStyle w:val="ListParagraph"/>
        <w:numPr>
          <w:ilvl w:val="0"/>
          <w:numId w:val="2"/>
        </w:numPr>
        <w:bidi/>
        <w:spacing w:after="85" w:line="300"/>
        <w:jc w:val="both"/>
      </w:pPr>
      <w:r>
        <w:rPr>
          <w:rFonts w:ascii="Segoe UI" w:cs="Segoe UI" w:eastAsia="Segoe UI" w:hAnsi="Segoe UI"/>
          <w:sz w:val="21"/>
          <w:szCs w:val="21"/>
          <w:rtl/>
        </w:rPr>
        <w:t xml:space="preserve">لا يُعلَن إغلاق مرحلةٍ قبل مراجعتها عكسيًّا مقابل ملفاتها.</w:t>
      </w:r>
    </w:p>
    <w:p>
      <w:pPr>
        <w:pStyle w:val="Heading1"/>
        <w:bidi/>
        <w:spacing w:after="130" w:before="300"/>
        <w:jc w:val="right"/>
      </w:pPr>
      <w:r>
        <w:rPr>
          <w:rFonts w:ascii="Segoe UI" w:cs="Segoe UI" w:eastAsia="Segoe UI" w:hAnsi="Segoe UI"/>
          <w:b/>
          <w:bCs/>
          <w:color w:val="1F3864"/>
          <w:sz w:val="29"/>
          <w:szCs w:val="29"/>
          <w:rtl/>
        </w:rPr>
        <w:t xml:space="preserve">٨ · معيار القبول</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rPr>
          <w:tblHeader/>
        </w:trPr>
        <w:tc>
          <w:tcPr>
            <w:tcW w:type="dxa" w:w="5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المقياس</w:t>
            </w:r>
          </w:p>
        </w:tc>
        <w:tc>
          <w:tcPr>
            <w:tcW w:type="dxa" w:w="3000"/>
            <w:shd w:fill="1F3864" w:color="auto" w:val="clear"/>
            <w:tcMar>
              <w:top w:type="dxa" w:w="55"/>
              <w:left w:type="dxa" w:w="75"/>
              <w:bottom w:type="dxa" w:w="55"/>
              <w:right w:type="dxa" w:w="75"/>
            </w:tcMar>
          </w:tcPr>
          <w:p>
            <w:pPr>
              <w:bidi/>
              <w:spacing w:after="0" w:line="255"/>
              <w:jc w:val="center"/>
            </w:pPr>
            <w:r>
              <w:rPr>
                <w:rFonts w:ascii="Segoe UI" w:cs="Segoe UI" w:eastAsia="Segoe UI" w:hAnsi="Segoe UI"/>
                <w:b/>
                <w:bCs/>
                <w:color w:val="FFFFFF"/>
                <w:sz w:val="16"/>
                <w:szCs w:val="16"/>
                <w:rtl/>
              </w:rPr>
              <w:t xml:space="preserve">المستهدف</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نقاطٌ لها قراران حاكمان بلا حسم</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مفتوح بلا حكمٍ من الستة</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مفتوح بلا درجة حجب</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متطلبٌ بلا حكمٍ ودليل</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متطلبٌ موسومٌ منفَّذًا بلا حالة إغلاق بالدليل</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قرارٌ حاكم لم يُسقَط على كل ما يتأثر به</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حاجزٌ قائمٌ وهو غير صحيح</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إدارةٌ بلا نقطة استئناف</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عملٌ استُؤنف على سجلٍ مؤقت بلا وسمٍ وإعادة تحقّق</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متطلبٌ أُغلق بعقد إثباتٍ لا يناسب نوعه</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قدرةٌ منصّية مشتركة بلا نقطة استئناف</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قيمةٌ مؤجَّلة بلا بيان المرحلة التي تصير عندها حاجزًا</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بندٌ غير ملتزم في الشجرة وقت القياس</w:t>
            </w:r>
          </w:p>
        </w:tc>
        <w:tc>
          <w:tcPr>
            <w:tcW w:type="dxa" w:w="3000"/>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r>
        <w:tc>
          <w:tcPr>
            <w:tcW w:type="dxa" w:w="5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مرحلةٌ أُعلن إغلاقها بلا مراجعة عكسية</w:t>
            </w:r>
          </w:p>
        </w:tc>
        <w:tc>
          <w:tcPr>
            <w:tcW w:type="dxa" w:w="3000"/>
            <w:shd w:fill="F2F5FA" w:color="auto" w:val="clear"/>
            <w:tcMar>
              <w:top w:type="dxa" w:w="55"/>
              <w:left w:type="dxa" w:w="75"/>
              <w:bottom w:type="dxa" w:w="55"/>
              <w:right w:type="dxa" w:w="75"/>
            </w:tcMar>
          </w:tcPr>
          <w:p>
            <w:pPr>
              <w:bidi/>
              <w:spacing w:after="0" w:line="255"/>
              <w:jc w:val="right"/>
            </w:pPr>
            <w:r>
              <w:rPr>
                <w:rFonts w:ascii="Segoe UI" w:cs="Segoe UI" w:eastAsia="Segoe UI" w:hAnsi="Segoe UI"/>
                <w:sz w:val="16"/>
                <w:szCs w:val="16"/>
                <w:rtl/>
              </w:rPr>
              <w:t xml:space="preserve">صفر</w:t>
            </w:r>
          </w:p>
        </w:tc>
      </w:tr>
    </w:tbl>
    <w:p>
      <w:pPr>
        <w:pStyle w:val="Heading1"/>
        <w:bidi/>
        <w:spacing w:after="130" w:before="300"/>
        <w:jc w:val="right"/>
      </w:pPr>
      <w:r>
        <w:rPr>
          <w:rFonts w:ascii="Segoe UI" w:cs="Segoe UI" w:eastAsia="Segoe UI" w:hAnsi="Segoe UI"/>
          <w:b/>
          <w:bCs/>
          <w:color w:val="1F3864"/>
          <w:sz w:val="29"/>
          <w:szCs w:val="29"/>
          <w:rtl/>
        </w:rPr>
        <w:t xml:space="preserve">٩ · المطلوب في ردّك — بهذا الترتيب</w:t>
      </w:r>
    </w:p>
    <w:p>
      <w:pPr>
        <w:pStyle w:val="ListParagraph"/>
        <w:numPr>
          <w:ilvl w:val="0"/>
          <w:numId w:val="2"/>
        </w:numPr>
        <w:bidi/>
        <w:spacing w:after="85" w:line="300"/>
        <w:jc w:val="both"/>
      </w:pPr>
      <w:r>
        <w:rPr>
          <w:rFonts w:ascii="Segoe UI" w:cs="Segoe UI" w:eastAsia="Segoe UI" w:hAnsi="Segoe UI"/>
          <w:b/>
          <w:bCs/>
          <w:sz w:val="21"/>
          <w:szCs w:val="21"/>
          <w:rtl/>
        </w:rPr>
        <w:t xml:space="preserve">أولًا: </w:t>
      </w:r>
      <w:r>
        <w:rPr>
          <w:rFonts w:ascii="Segoe UI" w:cs="Segoe UI" w:eastAsia="Segoe UI" w:hAnsi="Segoe UI"/>
          <w:sz w:val="21"/>
          <w:szCs w:val="21"/>
          <w:rtl/>
        </w:rPr>
        <w:t xml:space="preserve">سجل الاستئناف المؤقت — واحدٌ وعشرون سطرًا بأعمدته الستة، من المعلوم حاليًّا. </w:t>
      </w:r>
      <w:r>
        <w:rPr>
          <w:rFonts w:ascii="Segoe UI" w:cs="Segoe UI" w:eastAsia="Segoe UI" w:hAnsi="Segoe UI"/>
          <w:b/>
          <w:bCs/>
          <w:sz w:val="21"/>
          <w:szCs w:val="21"/>
          <w:rtl/>
        </w:rPr>
        <w:t xml:space="preserve">وهذا في أول الرد للرؤية لا للاحتجاج.</w:t>
      </w:r>
    </w:p>
    <w:p>
      <w:pPr>
        <w:pStyle w:val="ListParagraph"/>
        <w:numPr>
          <w:ilvl w:val="0"/>
          <w:numId w:val="2"/>
        </w:numPr>
        <w:bidi/>
        <w:spacing w:after="85" w:line="300"/>
        <w:jc w:val="both"/>
      </w:pPr>
      <w:r>
        <w:rPr>
          <w:rFonts w:ascii="Segoe UI" w:cs="Segoe UI" w:eastAsia="Segoe UI" w:hAnsi="Segoe UI"/>
          <w:sz w:val="21"/>
          <w:szCs w:val="21"/>
          <w:rtl/>
        </w:rPr>
        <w:t xml:space="preserve">ثم سجل استئناف القدرات المنصّية المشتركة — بالأعمدة نفسها ومالكٍ تقنيٍّ لكل قدرة.</w:t>
      </w:r>
    </w:p>
    <w:p>
      <w:pPr>
        <w:pStyle w:val="ListParagraph"/>
        <w:numPr>
          <w:ilvl w:val="0"/>
          <w:numId w:val="2"/>
        </w:numPr>
        <w:bidi/>
        <w:spacing w:after="85" w:line="300"/>
        <w:jc w:val="both"/>
      </w:pPr>
      <w:r>
        <w:rPr>
          <w:rFonts w:ascii="Segoe UI" w:cs="Segoe UI" w:eastAsia="Segoe UI" w:hAnsi="Segoe UI"/>
          <w:sz w:val="21"/>
          <w:szCs w:val="21"/>
          <w:rtl/>
        </w:rPr>
        <w:t xml:space="preserve">ثم جدول القرارات المفتوحة بحكمها من الستة ودرجة حجبها · ولكل قيمةٍ مؤجَّلة المرحلة التي تصير عندها حاجزًا.</w:t>
      </w:r>
    </w:p>
    <w:p>
      <w:pPr>
        <w:pStyle w:val="ListParagraph"/>
        <w:numPr>
          <w:ilvl w:val="0"/>
          <w:numId w:val="2"/>
        </w:numPr>
        <w:bidi/>
        <w:spacing w:after="85" w:line="300"/>
        <w:jc w:val="both"/>
      </w:pPr>
      <w:r>
        <w:rPr>
          <w:rFonts w:ascii="Segoe UI" w:cs="Segoe UI" w:eastAsia="Segoe UI" w:hAnsi="Segoe UI"/>
          <w:sz w:val="21"/>
          <w:szCs w:val="21"/>
          <w:rtl/>
        </w:rPr>
        <w:t xml:space="preserve">ثم جدول المتطلبات بحكمها ودليلها — وعدد «منفَّذ ولم يُثبت» منفصلًا عن «مغلق بالدليل» · وعدد ما خرج من المقام منفصلًا.</w:t>
      </w:r>
    </w:p>
    <w:p>
      <w:pPr>
        <w:pStyle w:val="ListParagraph"/>
        <w:numPr>
          <w:ilvl w:val="0"/>
          <w:numId w:val="2"/>
        </w:numPr>
        <w:bidi/>
        <w:spacing w:after="85" w:line="300"/>
        <w:jc w:val="both"/>
      </w:pPr>
      <w:r>
        <w:rPr>
          <w:rFonts w:ascii="Segoe UI" w:cs="Segoe UI" w:eastAsia="Segoe UI" w:hAnsi="Segoe UI"/>
          <w:sz w:val="21"/>
          <w:szCs w:val="21"/>
          <w:rtl/>
        </w:rPr>
        <w:t xml:space="preserve">ثم قائمة الحواجز التي رُفعت بوصفها غير صحيحة، وسبب رفع كلٍّ.</w:t>
      </w:r>
    </w:p>
    <w:p>
      <w:pPr>
        <w:pStyle w:val="ListParagraph"/>
        <w:numPr>
          <w:ilvl w:val="0"/>
          <w:numId w:val="2"/>
        </w:numPr>
        <w:bidi/>
        <w:spacing w:after="85" w:line="300"/>
        <w:jc w:val="both"/>
      </w:pPr>
      <w:r>
        <w:rPr>
          <w:rFonts w:ascii="Segoe UI" w:cs="Segoe UI" w:eastAsia="Segoe UI" w:hAnsi="Segoe UI"/>
          <w:sz w:val="21"/>
          <w:szCs w:val="21"/>
          <w:rtl/>
        </w:rPr>
        <w:t xml:space="preserve">ثم قائمة التعارضات إن وُجدت — بلا اختيارٍ لأحد طرفيها.</w:t>
      </w:r>
    </w:p>
    <w:p>
      <w:pPr>
        <w:pStyle w:val="ListParagraph"/>
        <w:numPr>
          <w:ilvl w:val="0"/>
          <w:numId w:val="2"/>
        </w:numPr>
        <w:bidi/>
        <w:spacing w:after="85" w:line="300"/>
        <w:jc w:val="both"/>
      </w:pPr>
      <w:r>
        <w:rPr>
          <w:rFonts w:ascii="Segoe UI" w:cs="Segoe UI" w:eastAsia="Segoe UI" w:hAnsi="Segoe UI"/>
          <w:sz w:val="21"/>
          <w:szCs w:val="21"/>
          <w:rtl/>
        </w:rPr>
        <w:t xml:space="preserve">وما لم تستطع قياسه — سمِّه ولا تخمّنه.</w:t>
      </w:r>
    </w:p>
    <w:p>
      <w:r>
        <w:br w:type="page"/>
      </w:r>
    </w:p>
    <w:p>
      <w:pPr>
        <w:pStyle w:val="Heading1"/>
        <w:bidi/>
        <w:spacing w:after="130" w:before="300"/>
        <w:jc w:val="right"/>
      </w:pPr>
      <w:r>
        <w:rPr>
          <w:rFonts w:ascii="Segoe UI" w:cs="Segoe UI" w:eastAsia="Segoe UI" w:hAnsi="Segoe UI"/>
          <w:b/>
          <w:bCs/>
          <w:color w:val="1F3864"/>
          <w:sz w:val="29"/>
          <w:szCs w:val="29"/>
          <w:rtl/>
        </w:rPr>
        <w:t xml:space="preserve">ملحق أ · قرارات تفصيلية نافذة</w:t>
      </w:r>
    </w:p>
    <w:p>
      <w:pPr>
        <w:bidi/>
        <w:spacing w:after="110" w:line="300"/>
        <w:jc w:val="both"/>
      </w:pPr>
      <w:r>
        <w:rPr>
          <w:rFonts w:ascii="Segoe UI" w:cs="Segoe UI" w:eastAsia="Segoe UI" w:hAnsi="Segoe UI"/>
          <w:sz w:val="21"/>
          <w:szCs w:val="21"/>
          <w:rtl/>
        </w:rPr>
        <w:t xml:space="preserve">تُطبَّق على الملفات وعلى كل ما يتأثر بها وفق المرحلة الرابعة.</w:t>
      </w:r>
    </w:p>
    <w:p>
      <w:pPr>
        <w:pStyle w:val="Heading2"/>
        <w:bidi/>
        <w:spacing w:after="130" w:before="200"/>
        <w:jc w:val="right"/>
      </w:pPr>
      <w:r>
        <w:rPr>
          <w:rFonts w:ascii="Segoe UI" w:cs="Segoe UI" w:eastAsia="Segoe UI" w:hAnsi="Segoe UI"/>
          <w:b/>
          <w:bCs/>
          <w:color w:val="1F3864"/>
          <w:sz w:val="24"/>
          <w:szCs w:val="24"/>
          <w:rtl/>
        </w:rPr>
        <w:t xml:space="preserve">أ·١ إسناد أمناء المخازن</w:t>
      </w:r>
    </w:p>
    <w:p>
      <w:pPr>
        <w:bidi/>
        <w:spacing w:after="110" w:line="300"/>
        <w:jc w:val="both"/>
      </w:pPr>
      <w:r>
        <w:rPr>
          <w:rFonts w:ascii="Segoe UI" w:cs="Segoe UI" w:eastAsia="Segoe UI" w:hAnsi="Segoe UI"/>
          <w:sz w:val="21"/>
          <w:szCs w:val="21"/>
          <w:rtl/>
        </w:rPr>
        <w:t xml:space="preserve">يُضاف سطحٌ تابع في إدارة المخازن بعد «سجل المخازن وأنواعها»: </w:t>
      </w:r>
      <w:r>
        <w:rPr>
          <w:rFonts w:ascii="Segoe UI" w:cs="Segoe UI" w:eastAsia="Segoe UI" w:hAnsi="Segoe UI"/>
          <w:b/>
          <w:bCs/>
          <w:sz w:val="21"/>
          <w:szCs w:val="21"/>
          <w:rtl/>
        </w:rPr>
        <w:t xml:space="preserve">«إسناد أمناء المخازن»</w:t>
      </w:r>
      <w:r>
        <w:rPr>
          <w:rFonts w:ascii="Segoe UI" w:cs="Segoe UI" w:eastAsia="Segoe UI" w:hAnsi="Segoe UI"/>
          <w:sz w:val="21"/>
          <w:szCs w:val="21"/>
          <w:rtl/>
        </w:rPr>
        <w:t xml:space="preserve"> — حبّته: مخزن × شخص × فترة إسناد. ويصير حقل الأمين في السجل الأمّ «الأمين النافذ اليوم» مشتقًّا منه.</w:t>
      </w:r>
    </w:p>
    <w:p>
      <w:pPr>
        <w:bidi/>
        <w:spacing w:after="110" w:line="300"/>
        <w:jc w:val="both"/>
      </w:pPr>
      <w:r>
        <w:rPr>
          <w:rFonts w:ascii="Segoe UI" w:cs="Segoe UI" w:eastAsia="Segoe UI" w:hAnsi="Segoe UI"/>
          <w:b/>
          <w:bCs/>
          <w:sz w:val="21"/>
          <w:szCs w:val="21"/>
          <w:rtl/>
        </w:rPr>
        <w:t xml:space="preserve">حقوله: </w:t>
      </w:r>
      <w:r>
        <w:rPr>
          <w:rFonts w:ascii="Segoe UI" w:cs="Segoe UI" w:eastAsia="Segoe UI" w:hAnsi="Segoe UI"/>
          <w:sz w:val="21"/>
          <w:szCs w:val="21"/>
          <w:rtl/>
        </w:rPr>
        <w:t xml:space="preserve">معرّف الإسناد · كود المخزن · مرجع الشخص بالموارد · اسم الأمين · نوع الإسناد (أساسي · بديل · مؤقت بالإنابة · مناوب بوردية) · الوردية · من تاريخ · إلى تاريخ · نطاق الصلاحية (استلام وصرف وجرد وتحويل · استلام وصرف · جرد · قراءة) · مرجع محضر التسليم · الأمين النافذ اليوم · حالة الإسناد · وكتلة التدقيق.</w:t>
      </w:r>
    </w:p>
    <w:p>
      <w:pPr>
        <w:bidi/>
        <w:spacing w:after="110" w:line="300"/>
        <w:jc w:val="both"/>
      </w:pPr>
      <w:r>
        <w:rPr>
          <w:rFonts w:ascii="Segoe UI" w:cs="Segoe UI" w:eastAsia="Segoe UI" w:hAnsi="Segoe UI"/>
          <w:b/>
          <w:bCs/>
          <w:sz w:val="21"/>
          <w:szCs w:val="21"/>
          <w:rtl/>
        </w:rPr>
        <w:t xml:space="preserve">العلة: </w:t>
      </w:r>
      <w:r>
        <w:rPr>
          <w:rFonts w:ascii="Segoe UI" w:cs="Segoe UI" w:eastAsia="Segoe UI" w:hAnsi="Segoe UI"/>
          <w:sz w:val="21"/>
          <w:szCs w:val="21"/>
          <w:rtl/>
        </w:rPr>
        <w:t xml:space="preserve">الأمين يتغيّر والحقل الواحد يمحو من سبقه — فلا يُعرف من كان أمينًا وقت الواقعة.</w:t>
      </w:r>
    </w:p>
    <w:p>
      <w:pPr>
        <w:pStyle w:val="Heading2"/>
        <w:bidi/>
        <w:spacing w:after="130" w:before="200"/>
        <w:jc w:val="right"/>
      </w:pPr>
      <w:r>
        <w:rPr>
          <w:rFonts w:ascii="Segoe UI" w:cs="Segoe UI" w:eastAsia="Segoe UI" w:hAnsi="Segoe UI"/>
          <w:b/>
          <w:bCs/>
          <w:color w:val="1F3864"/>
          <w:sz w:val="24"/>
          <w:szCs w:val="24"/>
          <w:rtl/>
        </w:rPr>
        <w:t xml:space="preserve">أ·٢ بُعد المخزن في العهد والمرتجعات</w:t>
      </w:r>
    </w:p>
    <w:p>
      <w:pPr>
        <w:bidi/>
        <w:spacing w:after="110" w:line="300"/>
        <w:jc w:val="both"/>
      </w:pPr>
      <w:r>
        <w:rPr>
          <w:rFonts w:ascii="Segoe UI" w:cs="Segoe UI" w:eastAsia="Segoe UI" w:hAnsi="Segoe UI"/>
          <w:sz w:val="21"/>
          <w:szCs w:val="21"/>
          <w:rtl/>
        </w:rPr>
        <w:t xml:space="preserve">يُضاف حقل «المخزن الصارف» بعد معرّف العهدة. </w:t>
      </w:r>
      <w:r>
        <w:rPr>
          <w:rFonts w:ascii="Segoe UI" w:cs="Segoe UI" w:eastAsia="Segoe UI" w:hAnsi="Segoe UI"/>
          <w:b/>
          <w:bCs/>
          <w:sz w:val="21"/>
          <w:szCs w:val="21"/>
          <w:rtl/>
        </w:rPr>
        <w:t xml:space="preserve">وبقية شاشات المخازن تحمل البُعد أصلًا، وشاشات البنود ترثه من أمّها ولا تكرّره — فلا يُضاف إلا هنا.</w:t>
      </w:r>
    </w:p>
    <w:p>
      <w:pPr>
        <w:pStyle w:val="Heading2"/>
        <w:bidi/>
        <w:spacing w:after="130" w:before="200"/>
        <w:jc w:val="right"/>
      </w:pPr>
      <w:r>
        <w:rPr>
          <w:rFonts w:ascii="Segoe UI" w:cs="Segoe UI" w:eastAsia="Segoe UI" w:hAnsi="Segoe UI"/>
          <w:b/>
          <w:bCs/>
          <w:color w:val="1F3864"/>
          <w:sz w:val="24"/>
          <w:szCs w:val="24"/>
          <w:rtl/>
        </w:rPr>
        <w:t xml:space="preserve">أ·٣ المادة ١١٣ — انطباق بوابة G0</w:t>
      </w:r>
    </w:p>
    <w:p>
      <w:pPr>
        <w:bidi/>
        <w:spacing w:after="110" w:line="300"/>
        <w:jc w:val="both"/>
      </w:pPr>
      <w:r>
        <w:rPr>
          <w:rFonts w:ascii="Segoe UI" w:cs="Segoe UI" w:eastAsia="Segoe UI" w:hAnsi="Segoe UI"/>
          <w:sz w:val="21"/>
          <w:szCs w:val="21"/>
          <w:rtl/>
        </w:rPr>
        <w:t xml:space="preserve">البوابة تمنع بناء وظيفةٍ أو معاملةٍ جديدة، ولا تمنع المصالحة المعمارية: تصحيح المالك أو الاسم المعروض أو المجموعة أو الترتيب · وتسجيل سطحٍ قائم · ونقل رابطٍ في الملاحة · وربط معرّف الشاشة. كلها خارج المنع ما لم تمسّ الحبّة أو المعاملة أو آلة الحالة أو مسار الكتابة أو منطق الاعتماد.</w:t>
      </w:r>
    </w:p>
    <w:p>
      <w:pPr>
        <w:pStyle w:val="Heading2"/>
        <w:bidi/>
        <w:spacing w:after="130" w:before="200"/>
        <w:jc w:val="right"/>
      </w:pPr>
      <w:r>
        <w:rPr>
          <w:rFonts w:ascii="Segoe UI" w:cs="Segoe UI" w:eastAsia="Segoe UI" w:hAnsi="Segoe UI"/>
          <w:b/>
          <w:bCs/>
          <w:color w:val="1F3864"/>
          <w:sz w:val="24"/>
          <w:szCs w:val="24"/>
          <w:rtl/>
        </w:rPr>
        <w:t xml:space="preserve">أ·٤ المادة ١١٤ — الطبقات الأربع</w:t>
      </w:r>
    </w:p>
    <w:p>
      <w:pPr>
        <w:bidi/>
        <w:spacing w:after="110" w:line="300"/>
        <w:jc w:val="both"/>
      </w:pPr>
      <w:r>
        <w:rPr>
          <w:rFonts w:ascii="Segoe UI" w:cs="Segoe UI" w:eastAsia="Segoe UI" w:hAnsi="Segoe UI"/>
          <w:sz w:val="21"/>
          <w:szCs w:val="21"/>
          <w:rtl/>
        </w:rPr>
        <w:t xml:space="preserve">الإدارة تملك العملية · والدور يحدد من ينفّذها · والنطاق (موقع أو مخزن أو مشروع) يحدد أي السجلات يبلغها · والشاشة واحدة مشتركة تُصفّى بالنطاق. ولا تُنسخ شاشة لكل صاحب نطاق، ولا يُرفع اسم دورٍ إلى مرتبة إدارة.</w:t>
      </w:r>
    </w:p>
    <w:p>
      <w:pPr>
        <w:pStyle w:val="Heading2"/>
        <w:bidi/>
        <w:spacing w:after="130" w:before="200"/>
        <w:jc w:val="right"/>
      </w:pPr>
      <w:r>
        <w:rPr>
          <w:rFonts w:ascii="Segoe UI" w:cs="Segoe UI" w:eastAsia="Segoe UI" w:hAnsi="Segoe UI"/>
          <w:b/>
          <w:bCs/>
          <w:color w:val="1F3864"/>
          <w:sz w:val="24"/>
          <w:szCs w:val="24"/>
          <w:rtl/>
        </w:rPr>
        <w:t xml:space="preserve">أ·٥ رموز دليل السايدبار المعياري</w:t>
      </w:r>
    </w:p>
    <w:p>
      <w:pPr>
        <w:bidi/>
        <w:spacing w:after="110" w:line="300"/>
        <w:jc w:val="both"/>
      </w:pPr>
      <w:r>
        <w:rPr>
          <w:rFonts w:ascii="Segoe UI" w:cs="Segoe UI" w:eastAsia="Segoe UI" w:hAnsi="Segoe UI"/>
          <w:b/>
          <w:bCs/>
          <w:sz w:val="21"/>
          <w:szCs w:val="21"/>
          <w:rtl/>
        </w:rPr>
        <w:t xml:space="preserve">واحدٌ وعشرون رمزًا: </w:t>
      </w:r>
      <w:r>
        <w:rPr>
          <w:rFonts w:ascii="Segoe UI" w:cs="Segoe UI" w:eastAsia="Segoe UI" w:hAnsi="Segoe UI"/>
          <w:sz w:val="21"/>
          <w:szCs w:val="21"/>
          <w:rtl/>
        </w:rPr>
        <w:t xml:space="preserve">سبع عشرة إدارة DEP-01 إلى DEP-17 · وأربعة خارج التعداد: EX-CEO مساحة الرئيس · EX-DVP مساحة نواب الرئيس · WS-MY مساحة عملي · IAF المراجعة الداخلية المستقلة.</w:t>
      </w:r>
    </w:p>
    <w:p>
      <w:pPr>
        <w:bidi/>
        <w:spacing w:after="110" w:line="300"/>
        <w:jc w:val="both"/>
      </w:pPr>
      <w:r>
        <w:rPr>
          <w:rFonts w:ascii="Segoe UI" w:cs="Segoe UI" w:eastAsia="Segoe UI" w:hAnsi="Segoe UI"/>
          <w:sz w:val="21"/>
          <w:szCs w:val="21"/>
          <w:rtl/>
        </w:rPr>
        <w:t xml:space="preserve">وأربع أوراقٍ في دليل الأدوار ليست إدارات: </w:t>
      </w:r>
      <w:r>
        <w:rPr>
          <w:rFonts w:ascii="Segoe UI" w:cs="Segoe UI" w:eastAsia="Segoe UI" w:hAnsi="Segoe UI"/>
          <w:sz w:val="21"/>
          <w:szCs w:val="21"/>
          <w:rtl/>
        </w:rPr>
        <w:t xml:space="preserve">أمين المستودع دورٌ في DEP-17 · والمدير المالي دورٌ في DEP-05 · وإدارة الصلاحيات ليست إدارة (السياسة عند الحوكمة · والحاجة عند مالك النطاق · والتنفيذ التقني قدرةٌ منصّية) · وإدارة الموقع القديم ورقةٌ مهجورة تُفحص قبل إقفالها: هل بقي مسار كتابةٍ فريدٌ يعتمد عليها؟ فإن بقي نُقل أولًا.</w:t>
      </w:r>
    </w:p>
    <w:p>
      <w:pPr>
        <w:pStyle w:val="Heading2"/>
        <w:bidi/>
        <w:spacing w:after="130" w:before="200"/>
        <w:jc w:val="right"/>
      </w:pPr>
      <w:r>
        <w:rPr>
          <w:rFonts w:ascii="Segoe UI" w:cs="Segoe UI" w:eastAsia="Segoe UI" w:hAnsi="Segoe UI"/>
          <w:b/>
          <w:bCs/>
          <w:color w:val="1F3864"/>
          <w:sz w:val="24"/>
          <w:szCs w:val="24"/>
          <w:rtl/>
        </w:rPr>
        <w:t xml:space="preserve">أ·٦ المقامان في تقارير تنظيف القوائم</w:t>
      </w:r>
    </w:p>
    <w:p>
      <w:pPr>
        <w:bidi/>
        <w:spacing w:after="110" w:line="300"/>
        <w:jc w:val="both"/>
      </w:pPr>
      <w:r>
        <w:rPr>
          <w:rFonts w:ascii="Segoe UI" w:cs="Segoe UI" w:eastAsia="Segoe UI" w:hAnsi="Segoe UI"/>
          <w:sz w:val="21"/>
          <w:szCs w:val="21"/>
          <w:rtl/>
        </w:rPr>
        <w:t xml:space="preserve">تنظيف القائمة الحية: ١٧٤ من ١٨١ · وتصرّف السجل الكلي: ١٩٧ من ٢٠٥. ويُكتب الرقمان معًا بعنوان مقام كلٍّ — فلكلٍّ سؤاله.</w:t>
      </w:r>
    </w:p>
    <w:p>
      <w:pPr>
        <w:pBdr>
          <w:top w:val="single" w:color="1F3864" w:sz="8"/>
        </w:pBdr>
        <w:spacing w:before="360"/>
      </w:pPr>
    </w:p>
    <w:p>
      <w:pPr>
        <w:bidi/>
        <w:spacing w:after="0" w:line="300"/>
        <w:jc w:val="both"/>
      </w:pPr>
      <w:r>
        <w:rPr>
          <w:rFonts w:ascii="Segoe UI" w:cs="Segoe UI" w:eastAsia="Segoe UI" w:hAnsi="Segoe UI"/>
          <w:b/>
          <w:bCs/>
          <w:color w:val="1F3864"/>
          <w:sz w:val="21"/>
          <w:szCs w:val="21"/>
          <w:rtl/>
        </w:rPr>
        <w:t xml:space="preserve">القاعدة الختامية: </w:t>
      </w:r>
      <w:r>
        <w:rPr>
          <w:rFonts w:ascii="Segoe UI" w:cs="Segoe UI" w:eastAsia="Segoe UI" w:hAnsi="Segoe UI"/>
          <w:sz w:val="21"/>
          <w:szCs w:val="21"/>
          <w:rtl/>
        </w:rPr>
        <w:t xml:space="preserve">قرارٌ حُسم ولم يُرحَّل إلى سجله يعود سؤالًا · وحاجزٌ غير صحيح يوقف العمل كما يوقفه الصحيح · وإدارةٌ بلا نقطة استئناف تبدأ من الصفر في كل جلسة · </w:t>
      </w:r>
      <w:r>
        <w:rPr>
          <w:rFonts w:ascii="Segoe UI" w:cs="Segoe UI" w:eastAsia="Segoe UI" w:hAnsi="Segoe UI"/>
          <w:b/>
          <w:bCs/>
          <w:sz w:val="21"/>
          <w:szCs w:val="21"/>
          <w:rtl/>
        </w:rPr>
        <w:t xml:space="preserve">ومتطلبٌ منفَّذٌ بلا إثبات ليس مغلقًا · ومرحلةٌ أُعلن إغلاقها بلا مراجعةٍ عكسية ليست مغلقة.</w:t>
      </w:r>
    </w:p>
    <w:sectPr>
      <w:headerReference w:type="default" r:id="rId7"/>
      <w:footerReference w:type="default" r:id="rId8"/>
      <w:pgSz w:w="11906" w:h="16838" w:orient="portrait"/>
      <w:pgMar w:top="1050" w:right="900" w:bottom="10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44546A"/>
        <w:sz w:val="15"/>
        <w:szCs w:val="15"/>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bidi/>
      <w:jc w:val="right"/>
    </w:pPr>
    <w:r>
      <w:rPr>
        <w:rFonts w:ascii="Segoe UI" w:cs="Segoe UI" w:eastAsia="Segoe UI" w:hAnsi="Segoe UI"/>
        <w:color w:val="44546A"/>
        <w:sz w:val="15"/>
        <w:szCs w:val="15"/>
        <w:rtl/>
      </w:rPr>
      <w:t xml:space="preserve">AMD-01 · أمر المراجعة العكسية الشاملة واستعادة التنفيذ — إكوبيشن · نظام إنجاز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jc w:val="right"/>
    </w:pPr>
    <w:rPr>
      <w:rFonts w:ascii="Segoe UI" w:cs="Segoe UI" w:eastAsia="Segoe UI" w:hAnsi="Segoe UI"/>
      <w:b/>
      <w:bCs/>
      <w:color w:val="1F3864"/>
      <w:sz w:val="29"/>
      <w:szCs w:val="29"/>
    </w:rPr>
  </w:style>
  <w:style w:type="paragraph" w:styleId="Heading2">
    <w:name w:val="Heading 2"/>
    <w:basedOn w:val="Normal"/>
    <w:next w:val="Normal"/>
    <w:qFormat/>
    <w:pPr>
      <w:spacing w:after="110" w:before="210"/>
      <w:jc w:val="right"/>
    </w:pPr>
    <w:rPr>
      <w:rFonts w:ascii="Segoe UI" w:cs="Segoe UI" w:eastAsia="Segoe UI" w:hAnsi="Segoe U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AMD-01 — أمر المراجعة العكسية الشاملة واستعادة التنفيذ</dc:title>
  <dc:creator>مالك إكوبيشن</dc:creator>
  <cp:lastModifiedBy>Un-named</cp:lastModifiedBy>
  <cp:revision>1</cp:revision>
  <dcterms:created xsi:type="dcterms:W3CDTF">2026-08-29T10:24:40.671Z</dcterms:created>
  <dcterms:modified xsi:type="dcterms:W3CDTF">2026-08-29T10:24:40.671Z</dcterms:modified>
</cp:coreProperties>
</file>

<file path=docProps/custom.xml><?xml version="1.0" encoding="utf-8"?>
<Properties xmlns="http://schemas.openxmlformats.org/officeDocument/2006/custom-properties" xmlns:vt="http://schemas.openxmlformats.org/officeDocument/2006/docPropsVTypes"/>
</file>