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40" w:before="900"/>
        <w:jc w:val="center"/>
      </w:pPr>
      <w:r>
        <w:rPr>
          <w:rFonts w:ascii="Segoe UI" w:cs="Segoe UI" w:eastAsia="Segoe UI" w:hAnsi="Segoe UI"/>
          <w:b/>
          <w:bCs/>
          <w:color w:val="C00000"/>
          <w:sz w:val="24"/>
          <w:szCs w:val="24"/>
          <w:rtl/>
        </w:rPr>
        <w:t xml:space="preserve">وثيقة تعديل</w:t>
      </w:r>
    </w:p>
    <w:p>
      <w:pPr>
        <w:bidi/>
        <w:spacing w:after="60"/>
        <w:jc w:val="center"/>
      </w:pPr>
      <w:r>
        <w:rPr>
          <w:rFonts w:ascii="Segoe UI" w:cs="Segoe UI" w:eastAsia="Segoe UI" w:hAnsi="Segoe UI"/>
          <w:b/>
          <w:bCs/>
          <w:color w:val="1F3864"/>
          <w:sz w:val="52"/>
          <w:szCs w:val="52"/>
        </w:rPr>
        <w:t xml:space="preserve">AMD-01</w:t>
      </w:r>
    </w:p>
    <w:p>
      <w:pPr>
        <w:bidi/>
        <w:spacing w:after="180"/>
        <w:jc w:val="center"/>
      </w:pPr>
      <w:r>
        <w:rPr>
          <w:rFonts w:ascii="Segoe UI" w:cs="Segoe UI" w:eastAsia="Segoe UI" w:hAnsi="Segoe UI"/>
          <w:b/>
          <w:bCs/>
          <w:color w:val="1F3864"/>
          <w:sz w:val="26"/>
          <w:szCs w:val="26"/>
          <w:rtl/>
        </w:rPr>
        <w:t xml:space="preserve">تعديلات على الحزمة الشاملة — تُطبَّق على نسختك ولا تُعاد الحزمة</w:t>
      </w:r>
    </w:p>
    <w:p>
      <w:pPr>
        <w:bidi/>
        <w:spacing w:after="460"/>
        <w:jc w:val="center"/>
      </w:pPr>
      <w:r>
        <w:rPr>
          <w:rFonts w:ascii="Segoe UI" w:cs="Segoe UI" w:eastAsia="Segoe UI" w:hAnsi="Segoe UI"/>
          <w:color w:val="44546A"/>
          <w:sz w:val="22"/>
          <w:szCs w:val="22"/>
          <w:rtl/>
        </w:rPr>
        <w:t xml:space="preserve">سبع نقاط بحالها القديم والجديد · وملحقٌ يحسم الأحدَ عشرَ قرارًا</w:t>
      </w:r>
    </w:p>
    <w:tbl>
      <w:tblPr>
        <w:bidiVisual/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8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58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ما يُعدَّل</w:t>
            </w:r>
          </w:p>
        </w:tc>
        <w:tc>
          <w:tcPr>
            <w:tcW w:type="dxa" w:w="5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الملف ٠١ الدليل المعماري · والملف ٠٣ الدستور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ما لا يُعدَّل</w:t>
            </w:r>
          </w:p>
        </w:tc>
        <w:tc>
          <w:tcPr>
            <w:tcW w:type="dxa" w:w="58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باقي الملفات العشرة — لا تلمسها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حجم التعديل</w:t>
            </w:r>
          </w:p>
        </w:tc>
        <w:tc>
          <w:tcPr>
            <w:tcW w:type="dxa" w:w="5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سطحٌ جديد واحد · وحقلان · ومادتان في الدستور · وإلغاء أمرين · وملحقٌ يحسم القرارات المفتوحة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أثره على عملك</w:t>
            </w:r>
          </w:p>
        </w:tc>
        <w:tc>
          <w:tcPr>
            <w:tcW w:type="dxa" w:w="58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يرفع الحاجز عنك — لا يوقفك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الحالة</w:t>
            </w:r>
          </w:p>
        </w:tc>
        <w:tc>
          <w:tcPr>
            <w:tcW w:type="dxa" w:w="5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نافذ فورًا · ولا تنتظر حزمة جديدة</w:t>
            </w:r>
          </w:p>
        </w:tc>
      </w:tr>
    </w:tbl>
    <w:p>
      <w:r>
        <w:br w:type="page"/>
      </w:r>
    </w:p>
    <w:p>
      <w:pPr>
        <w:pStyle w:val="Heading1"/>
        <w:bidi/>
        <w:spacing w:after="130" w:before="300"/>
        <w:jc w:val="right"/>
      </w:pPr>
      <w:r>
        <w:rPr>
          <w:rFonts w:ascii="Segoe UI" w:cs="Segoe UI" w:eastAsia="Segoe UI" w:hAnsi="Segoe UI"/>
          <w:b/>
          <w:bCs/>
          <w:color w:val="1F3864"/>
          <w:sz w:val="29"/>
          <w:szCs w:val="29"/>
          <w:rtl/>
        </w:rPr>
        <w:t xml:space="preserve">لماذا وثيقة تعديل لا حزمة جديدة</w:t>
      </w:r>
    </w:p>
    <w:p>
      <w:pPr>
        <w:bidi/>
        <w:spacing w:after="110" w:line="300"/>
        <w:jc w:val="both"/>
      </w:pPr>
      <w:r>
        <w:rPr>
          <w:rFonts w:ascii="Segoe UI" w:cs="Segoe UI" w:eastAsia="Segoe UI" w:hAnsi="Segoe UI"/>
          <w:sz w:val="21"/>
          <w:szCs w:val="21"/>
          <w:rtl/>
        </w:rPr>
        <w:t xml:space="preserve">أرسلتُ إليك الحزمة كاملةً مرّاتٍ لتغييرٍ يقع في سطرين أو ثلاثة. </w:t>
      </w: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وهذا خطأ منّي</w:t>
      </w:r>
      <w:r>
        <w:rPr>
          <w:rFonts w:ascii="Segoe UI" w:cs="Segoe UI" w:eastAsia="Segoe UI" w:hAnsi="Segoe UI"/>
          <w:sz w:val="21"/>
          <w:szCs w:val="21"/>
          <w:rtl/>
        </w:rPr>
        <w:t xml:space="preserve"> — لأن إعادة اثني عشر ملفًّا تُرهقك، والأسوأ أنها </w:t>
      </w: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تُخفي ما تغيّر بدل أن تُظهره</w:t>
      </w:r>
      <w:r>
        <w:rPr>
          <w:rFonts w:ascii="Segoe UI" w:cs="Segoe UI" w:eastAsia="Segoe UI" w:hAnsi="Segoe UI"/>
          <w:sz w:val="21"/>
          <w:szCs w:val="21"/>
          <w:rtl/>
        </w:rPr>
        <w:t xml:space="preserve">: فإمّا تقارن الملفات ملفًّا ملفًّا، أو تفترض أنها هي نفسها فلا تفتحها.</w:t>
      </w:r>
    </w:p>
    <w:p>
      <w:pPr>
        <w:bidi/>
        <w:spacing w:after="110" w:line="300"/>
        <w:jc w:val="both"/>
      </w:pP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فالقاعدة من اليوم: </w:t>
      </w:r>
      <w:r>
        <w:rPr>
          <w:rFonts w:ascii="Segoe UI" w:cs="Segoe UI" w:eastAsia="Segoe UI" w:hAnsi="Segoe UI"/>
          <w:sz w:val="21"/>
          <w:szCs w:val="21"/>
          <w:rtl/>
        </w:rPr>
        <w:t xml:space="preserve">التعديل يأتيك بوثيقة تعديل تذكر النقطة القديمة والجديدة وسببها، والحزمة كاملةً عند تغييرٍ جوهريّ فقط.</w:t>
      </w:r>
    </w:p>
    <w:p>
      <w:pPr>
        <w:bidi/>
        <w:spacing w:after="110" w:line="300"/>
        <w:jc w:val="both"/>
      </w:pP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وهذه الوثيقة تُطبَّق على نسختك عندك: </w:t>
      </w:r>
      <w:r>
        <w:rPr>
          <w:rFonts w:ascii="Segoe UI" w:cs="Segoe UI" w:eastAsia="Segoe UI" w:hAnsi="Segoe UI"/>
          <w:sz w:val="21"/>
          <w:szCs w:val="21"/>
          <w:rtl/>
        </w:rPr>
        <w:t xml:space="preserve">خمس نقاط، ثلاث منها تعديلٌ في الوثائق، واثنتان إلغاءٌ لأمرين أصدرتُهما لك خطأً.</w:t>
      </w:r>
    </w:p>
    <w:p>
      <w:pPr>
        <w:pStyle w:val="Heading1"/>
        <w:bidi/>
        <w:spacing w:after="130" w:before="300"/>
        <w:jc w:val="right"/>
      </w:pPr>
      <w:r>
        <w:rPr>
          <w:rFonts w:ascii="Segoe UI" w:cs="Segoe UI" w:eastAsia="Segoe UI" w:hAnsi="Segoe UI"/>
          <w:b/>
          <w:bCs/>
          <w:color w:val="1F3864"/>
          <w:sz w:val="29"/>
          <w:szCs w:val="29"/>
          <w:rtl/>
        </w:rPr>
        <w:t xml:space="preserve">التعديل الأول · إسناد أمناء المخازن</w:t>
      </w:r>
    </w:p>
    <w:p>
      <w:pPr>
        <w:bidi/>
        <w:spacing w:after="110" w:line="300"/>
        <w:jc w:val="both"/>
      </w:pP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الموضع: </w:t>
      </w:r>
      <w:r>
        <w:rPr>
          <w:rFonts w:ascii="Segoe UI" w:cs="Segoe UI" w:eastAsia="Segoe UI" w:hAnsi="Segoe UI"/>
          <w:sz w:val="21"/>
          <w:szCs w:val="21"/>
          <w:rtl/>
        </w:rPr>
        <w:t xml:space="preserve">الملف ٠١ — إدارة المخازن `DEP-17` — بعد «سجل المخازن وأنواعها» مباشرةً.</w:t>
      </w:r>
    </w:p>
    <w:tbl>
      <w:tblPr>
        <w:bidiVisual/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4100"/>
      </w:tblGrid>
      <w:tr>
        <w:trPr>
          <w:tblHeader/>
        </w:trPr>
        <w:tc>
          <w:tcPr>
            <w:tcW w:type="dxa" w:w="3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الحال القديم</w:t>
            </w:r>
          </w:p>
        </w:tc>
        <w:tc>
          <w:tcPr>
            <w:tcW w:type="dxa" w:w="41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الحال الجديد</w:t>
            </w:r>
          </w:p>
        </w:tc>
      </w:tr>
      <w:tr>
        <w:tc>
          <w:tcPr>
            <w:tcW w:type="dxa" w:w="3900"/>
            <w:shd w:fill="FCE4D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«سجل المخازن وأنواعها» يحمل حقلًا واحدًا اسمه «أمين المخزن» يُكتب فيه اسم الأمين الحالي.</w:t>
            </w:r>
          </w:p>
        </w:tc>
        <w:tc>
          <w:tcPr>
            <w:tcW w:type="dxa" w:w="4100"/>
            <w:shd w:fill="E7F0E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يُضاف سطحٌ تابع جديد: «إسناد أمناء المخازن» — حبّته: مخزن × شخص × فترة إسناد. ويصير حقل الأمين في السجل الأمّ «الأمين النافذ اليوم» ويُحسب من السجل التابع ولا يُكتب يدويًّا.</w:t>
            </w:r>
          </w:p>
        </w:tc>
      </w:tr>
    </w:tbl>
    <w:p>
      <w:pPr>
        <w:pStyle w:val="Heading2"/>
        <w:bidi/>
        <w:spacing w:after="130" w:before="210"/>
        <w:jc w:val="right"/>
      </w:pPr>
      <w:r>
        <w:rPr>
          <w:rFonts w:ascii="Segoe UI" w:cs="Segoe UI" w:eastAsia="Segoe UI" w:hAnsi="Segoe UI"/>
          <w:b/>
          <w:bCs/>
          <w:color w:val="1F3864"/>
          <w:sz w:val="24"/>
          <w:szCs w:val="24"/>
          <w:rtl/>
        </w:rPr>
        <w:t xml:space="preserve">لماذا</w:t>
      </w:r>
    </w:p>
    <w:p>
      <w:pPr>
        <w:bidi/>
        <w:spacing w:after="110" w:line="300"/>
        <w:jc w:val="both"/>
      </w:pPr>
      <w:r>
        <w:rPr>
          <w:rFonts w:ascii="Segoe UI" w:cs="Segoe UI" w:eastAsia="Segoe UI" w:hAnsi="Segoe UI"/>
          <w:sz w:val="21"/>
          <w:szCs w:val="21"/>
          <w:rtl/>
        </w:rPr>
        <w:t xml:space="preserve">الأمين يتغيّر، والحقل الواحد يمحو من سبقه. </w:t>
      </w: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فإن اختلست بضاعةٌ في مايو وتغيّر الأمين في يونيو، فمن كان أمينًا في مايو؟ الحقل لا يعرف.</w:t>
      </w:r>
      <w:r>
        <w:rPr>
          <w:rFonts w:ascii="Segoe UI" w:cs="Segoe UI" w:eastAsia="Segoe UI" w:hAnsi="Segoe UI"/>
          <w:sz w:val="21"/>
          <w:szCs w:val="21"/>
          <w:rtl/>
        </w:rPr>
        <w:t xml:space="preserve"> وقد يكون في المخزن أمينٌ أساسيٌّ وبديلٌ ومناوبٌ بوردية ومؤقتٌ بالإنابة — وكلُّ هؤلاء لا يسعهم حقلٌ واحد.</w:t>
      </w:r>
    </w:p>
    <w:p>
      <w:pPr>
        <w:pStyle w:val="Heading2"/>
        <w:bidi/>
        <w:spacing w:after="130" w:before="210"/>
        <w:jc w:val="right"/>
      </w:pPr>
      <w:r>
        <w:rPr>
          <w:rFonts w:ascii="Segoe UI" w:cs="Segoe UI" w:eastAsia="Segoe UI" w:hAnsi="Segoe UI"/>
          <w:b/>
          <w:bCs/>
          <w:color w:val="1F3864"/>
          <w:sz w:val="24"/>
          <w:szCs w:val="24"/>
          <w:rtl/>
        </w:rPr>
        <w:t xml:space="preserve">حقول السطح الجديد</w:t>
      </w:r>
    </w:p>
    <w:p>
      <w:pPr>
        <w:bidi/>
        <w:spacing w:after="110" w:line="300"/>
        <w:jc w:val="both"/>
      </w:pPr>
      <w:r>
        <w:rPr>
          <w:rFonts w:ascii="Segoe UI" w:cs="Segoe UI" w:eastAsia="Segoe UI" w:hAnsi="Segoe UI"/>
          <w:sz w:val="21"/>
          <w:szCs w:val="21"/>
          <w:rtl/>
        </w:rPr>
        <w:t xml:space="preserve">معرّف الإسناد · كود المخزن · مرجع الشخص بالموارد · اسم الأمين · نوع الإسناد · الوردية · من تاريخ · إلى تاريخ · نطاق الصلاحية · مرجع محضر التسليم · الأمين النافذ اليوم · حالة الإسناد · وكتلة التدقيق.</w:t>
      </w:r>
    </w:p>
    <w:tbl>
      <w:tblPr>
        <w:bidiVisual/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0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القائمة</w:t>
            </w:r>
          </w:p>
        </w:tc>
        <w:tc>
          <w:tcPr>
            <w:tcW w:type="dxa" w:w="60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قيمها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نوع الإسناد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أساسي · بديل · مؤقت بالإنابة · مناوب بوردية</w:t>
            </w:r>
          </w:p>
        </w:tc>
      </w:tr>
      <w:tr>
        <w:tc>
          <w:tcPr>
            <w:tcW w:type="dxa" w:w="20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الوردية</w:t>
            </w:r>
          </w:p>
        </w:tc>
        <w:tc>
          <w:tcPr>
            <w:tcW w:type="dxa" w:w="60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لا تنطبق · صباحية · مسائية · ليلية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نطاق الصلاحية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استلام وصرف وجرد وتحويل · استلام وصرف فقط · جرد فقط · قراءة</w:t>
            </w:r>
          </w:p>
        </w:tc>
      </w:tr>
      <w:tr>
        <w:tc>
          <w:tcPr>
            <w:tcW w:type="dxa" w:w="20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حالة الإسناد</w:t>
            </w:r>
          </w:p>
        </w:tc>
        <w:tc>
          <w:tcPr>
            <w:tcW w:type="dxa" w:w="60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نافذ · منتهٍ بتسليم · منتهٍ بلا تسليم — واقعة تُرفع</w:t>
            </w:r>
          </w:p>
        </w:tc>
      </w:tr>
    </w:tbl>
    <w:p>
      <w:pPr>
        <w:bidi/>
        <w:spacing w:after="110" w:line="300"/>
        <w:jc w:val="both"/>
      </w:pP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وقاعدة تُثبَّت معه: </w:t>
      </w:r>
      <w:r>
        <w:rPr>
          <w:rFonts w:ascii="Segoe UI" w:cs="Segoe UI" w:eastAsia="Segoe UI" w:hAnsi="Segoe UI"/>
          <w:sz w:val="21"/>
          <w:szCs w:val="21"/>
          <w:rtl/>
        </w:rPr>
        <w:t xml:space="preserve">نطاق الأمين مخزنه وحده — يرى الشاشات نفسها مصفّاةً بمخزنه، </w:t>
      </w: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ولا تُبنى له شاشات خاصة.</w:t>
      </w:r>
    </w:p>
    <w:p>
      <w:r>
        <w:br w:type="page"/>
      </w:r>
    </w:p>
    <w:p>
      <w:pPr>
        <w:pStyle w:val="Heading1"/>
        <w:bidi/>
        <w:spacing w:after="130" w:before="300"/>
        <w:jc w:val="right"/>
      </w:pPr>
      <w:r>
        <w:rPr>
          <w:rFonts w:ascii="Segoe UI" w:cs="Segoe UI" w:eastAsia="Segoe UI" w:hAnsi="Segoe UI"/>
          <w:b/>
          <w:bCs/>
          <w:color w:val="1F3864"/>
          <w:sz w:val="29"/>
          <w:szCs w:val="29"/>
          <w:rtl/>
        </w:rPr>
        <w:t xml:space="preserve">التعديل الثاني · بُعد المخزن في العهد والمرتجعات</w:t>
      </w:r>
    </w:p>
    <w:p>
      <w:pPr>
        <w:bidi/>
        <w:spacing w:after="110" w:line="300"/>
        <w:jc w:val="both"/>
      </w:pP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الموضع: </w:t>
      </w:r>
      <w:r>
        <w:rPr>
          <w:rFonts w:ascii="Segoe UI" w:cs="Segoe UI" w:eastAsia="Segoe UI" w:hAnsi="Segoe UI"/>
          <w:sz w:val="21"/>
          <w:szCs w:val="21"/>
          <w:rtl/>
        </w:rPr>
        <w:t xml:space="preserve">الملف ٠١ — إدارة المخازن — شاشة «العهد والمرتجعات».</w:t>
      </w:r>
    </w:p>
    <w:tbl>
      <w:tblPr>
        <w:bidiVisual/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4100"/>
      </w:tblGrid>
      <w:tr>
        <w:trPr>
          <w:tblHeader/>
        </w:trPr>
        <w:tc>
          <w:tcPr>
            <w:tcW w:type="dxa" w:w="3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الحال القديم</w:t>
            </w:r>
          </w:p>
        </w:tc>
        <w:tc>
          <w:tcPr>
            <w:tcW w:type="dxa" w:w="41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الحال الجديد</w:t>
            </w:r>
          </w:p>
        </w:tc>
      </w:tr>
      <w:tr>
        <w:tc>
          <w:tcPr>
            <w:tcW w:type="dxa" w:w="3900"/>
            <w:shd w:fill="FCE4D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حقول الشاشة تبدأ بمعرّف العهدة ثم رقم سند الصرف — بلا ذكر المخزن الذي خرجت منه العهدة.</w:t>
            </w:r>
          </w:p>
        </w:tc>
        <w:tc>
          <w:tcPr>
            <w:tcW w:type="dxa" w:w="4100"/>
            <w:shd w:fill="E7F0E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يُضاف حقل «المخزن الصارف» بعد معرّف العهدة مباشرةً.</w:t>
            </w:r>
          </w:p>
        </w:tc>
      </w:tr>
    </w:tbl>
    <w:p>
      <w:pPr>
        <w:pStyle w:val="Heading2"/>
        <w:bidi/>
        <w:spacing w:after="130" w:before="210"/>
        <w:jc w:val="right"/>
      </w:pPr>
      <w:r>
        <w:rPr>
          <w:rFonts w:ascii="Segoe UI" w:cs="Segoe UI" w:eastAsia="Segoe UI" w:hAnsi="Segoe UI"/>
          <w:b/>
          <w:bCs/>
          <w:color w:val="1F3864"/>
          <w:sz w:val="24"/>
          <w:szCs w:val="24"/>
          <w:rtl/>
        </w:rPr>
        <w:t xml:space="preserve">لماذا</w:t>
      </w:r>
    </w:p>
    <w:p>
      <w:pPr>
        <w:bidi/>
        <w:spacing w:after="110" w:line="300"/>
        <w:jc w:val="both"/>
      </w:pPr>
      <w:r>
        <w:rPr>
          <w:rFonts w:ascii="Segoe UI" w:cs="Segoe UI" w:eastAsia="Segoe UI" w:hAnsi="Segoe UI"/>
          <w:sz w:val="21"/>
          <w:szCs w:val="21"/>
          <w:rtl/>
        </w:rPr>
        <w:t xml:space="preserve">العهدة تخرج من مخزنٍ بعينه. وبلا هذا الحقل لا يُعرف رصيد المخزن الحقيقي، ولا يُنسب نقصٌ لأمينه، </w:t>
      </w: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ولا يُمنع أمينٌ من التصرّف في عهدةٍ خرجت من مخزن غيره.</w:t>
      </w:r>
    </w:p>
    <w:p>
      <w:pPr>
        <w:pStyle w:val="Heading2"/>
        <w:bidi/>
        <w:spacing w:after="130" w:before="210"/>
        <w:jc w:val="right"/>
      </w:pPr>
      <w:r>
        <w:rPr>
          <w:rFonts w:ascii="Segoe UI" w:cs="Segoe UI" w:eastAsia="Segoe UI" w:hAnsi="Segoe UI"/>
          <w:b/>
          <w:bCs/>
          <w:color w:val="1F3864"/>
          <w:sz w:val="24"/>
          <w:szCs w:val="24"/>
          <w:rtl/>
        </w:rPr>
        <w:t xml:space="preserve">وتنبيه يمنع عملًا زائدًا</w:t>
      </w:r>
    </w:p>
    <w:p>
      <w:pPr>
        <w:bidi/>
        <w:spacing w:after="110" w:line="300"/>
        <w:jc w:val="both"/>
      </w:pPr>
      <w:r>
        <w:rPr>
          <w:rFonts w:ascii="Segoe UI" w:cs="Segoe UI" w:eastAsia="Segoe UI" w:hAnsi="Segoe UI"/>
          <w:sz w:val="21"/>
          <w:szCs w:val="21"/>
          <w:rtl/>
        </w:rPr>
        <w:t xml:space="preserve">قِستُ بقية شاشات المخازن فوجدت بُعد المخزن </w:t>
      </w: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موجودًا في كل الشاشات الأمّ</w:t>
      </w:r>
      <w:r>
        <w:rPr>
          <w:rFonts w:ascii="Segoe UI" w:cs="Segoe UI" w:eastAsia="Segoe UI" w:hAnsi="Segoe UI"/>
          <w:sz w:val="21"/>
          <w:szCs w:val="21"/>
          <w:rtl/>
        </w:rPr>
        <w:t xml:space="preserve">: سند الإدخال (المخزن المستلِم) · وسند الصرف (المخزن الصارف) · والتحويل (من مخزن وإلى مخزن) · والجرد · والأرصدة · وحدود الطلب · والإقفال · واللوحة.</w:t>
      </w:r>
    </w:p>
    <w:p>
      <w:pPr>
        <w:bidi/>
        <w:spacing w:after="110" w:line="300"/>
        <w:jc w:val="both"/>
      </w:pPr>
      <w:r>
        <w:rPr>
          <w:rFonts w:ascii="Segoe UI" w:cs="Segoe UI" w:eastAsia="Segoe UI" w:hAnsi="Segoe UI"/>
          <w:sz w:val="21"/>
          <w:szCs w:val="21"/>
          <w:rtl/>
        </w:rPr>
        <w:t xml:space="preserve">وشاشات البنود لا تحمله لأنها </w:t>
      </w: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ترثه من أمّها</w:t>
      </w:r>
      <w:r>
        <w:rPr>
          <w:rFonts w:ascii="Segoe UI" w:cs="Segoe UI" w:eastAsia="Segoe UI" w:hAnsi="Segoe UI"/>
          <w:sz w:val="21"/>
          <w:szCs w:val="21"/>
          <w:rtl/>
        </w:rPr>
        <w:t xml:space="preserve"> — وهذا صحيح معماريًّا ولا يُصلَح. </w:t>
      </w: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فلا تُضِف البُعد إلا في العهد والمرتجعات وحدها.</w:t>
      </w:r>
    </w:p>
    <w:p>
      <w:pPr>
        <w:pStyle w:val="Heading1"/>
        <w:bidi/>
        <w:spacing w:after="130" w:before="300"/>
        <w:jc w:val="right"/>
      </w:pPr>
      <w:r>
        <w:rPr>
          <w:rFonts w:ascii="Segoe UI" w:cs="Segoe UI" w:eastAsia="Segoe UI" w:hAnsi="Segoe UI"/>
          <w:b/>
          <w:bCs/>
          <w:color w:val="1F3864"/>
          <w:sz w:val="29"/>
          <w:szCs w:val="29"/>
          <w:rtl/>
        </w:rPr>
        <w:t xml:space="preserve">التعديل الثالث · مادتان في الدستور</w:t>
      </w:r>
    </w:p>
    <w:p>
      <w:pPr>
        <w:bidi/>
        <w:spacing w:after="110" w:line="300"/>
        <w:jc w:val="both"/>
      </w:pP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الموضع: </w:t>
      </w:r>
      <w:r>
        <w:rPr>
          <w:rFonts w:ascii="Segoe UI" w:cs="Segoe UI" w:eastAsia="Segoe UI" w:hAnsi="Segoe UI"/>
          <w:sz w:val="21"/>
          <w:szCs w:val="21"/>
          <w:rtl/>
        </w:rPr>
        <w:t xml:space="preserve">الملف ٠٣ — الدستور. وتصير المواد مئةً وأربع عشرة.</w:t>
      </w:r>
    </w:p>
    <w:p>
      <w:pPr>
        <w:pStyle w:val="Heading2"/>
        <w:bidi/>
        <w:spacing w:after="130" w:before="210"/>
        <w:jc w:val="right"/>
      </w:pPr>
      <w:r>
        <w:rPr>
          <w:rFonts w:ascii="Segoe UI" w:cs="Segoe UI" w:eastAsia="Segoe UI" w:hAnsi="Segoe UI"/>
          <w:b/>
          <w:bCs/>
          <w:color w:val="1F3864"/>
          <w:sz w:val="24"/>
          <w:szCs w:val="24"/>
          <w:rtl/>
        </w:rPr>
        <w:t xml:space="preserve">المادة ١١٣ — انطباق بوابة G0</w:t>
      </w:r>
    </w:p>
    <w:tbl>
      <w:tblPr>
        <w:bidiVisual/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4100"/>
      </w:tblGrid>
      <w:tr>
        <w:trPr>
          <w:tblHeader/>
        </w:trPr>
        <w:tc>
          <w:tcPr>
            <w:tcW w:type="dxa" w:w="3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الحال القديم</w:t>
            </w:r>
          </w:p>
        </w:tc>
        <w:tc>
          <w:tcPr>
            <w:tcW w:type="dxa" w:w="41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الحال الجديد</w:t>
            </w:r>
          </w:p>
        </w:tc>
      </w:tr>
      <w:tr>
        <w:tc>
          <w:tcPr>
            <w:tcW w:type="dxa" w:w="3900"/>
            <w:shd w:fill="FCE4D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«لا يُلمس كود إدارة قبل بلوغها READY_TO_BUILD» — نصٌّ مطلق يُفهم منه أن كل عمل على الإدارة ممنوع، ومنه تصحيح الأسماء والملكية والروابط.</w:t>
            </w:r>
          </w:p>
        </w:tc>
        <w:tc>
          <w:tcPr>
            <w:tcW w:type="dxa" w:w="4100"/>
            <w:shd w:fill="E7F0E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بوابة G0 تمنع بناء وظيفةٍ أو معاملة جديدة، ولا تمنع المصالحة المعمارية: تصحيح المالك أو الاسم المعروض أو المجموعة أو الترتيب · وتسجيل سطحٍ قائم · ونقل رابط في الملاحة · وربط معرّف الشاشة — كلها خارج المنع ما لم تمسّ الحبّة أو المعاملة أو آلة الحالة أو مسار الكتابة أو منطق الاعتماد.</w:t>
            </w:r>
          </w:p>
        </w:tc>
      </w:tr>
    </w:tbl>
    <w:p>
      <w:pPr>
        <w:bidi/>
        <w:spacing w:after="110" w:line="300"/>
        <w:jc w:val="both"/>
      </w:pP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ولماذا: </w:t>
      </w:r>
      <w:r>
        <w:rPr>
          <w:rFonts w:ascii="Segoe UI" w:cs="Segoe UI" w:eastAsia="Segoe UI" w:hAnsi="Segoe UI"/>
          <w:sz w:val="21"/>
          <w:szCs w:val="21"/>
          <w:rtl/>
        </w:rPr>
        <w:t xml:space="preserve">لأن البوابة وُضعت لتمنع بناءً على تصميمٍ غير ناضج — لا لتمنع ترتيب ما هو مبنيٌّ أصلًا. </w:t>
      </w: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وتصحيح اسمٍ أو ملكيةٍ أو رابط لا يُنشئ كيانًا ولا يكتب حقيقةً ولا يفتح مسار اعتماد</w:t>
      </w:r>
      <w:r>
        <w:rPr>
          <w:rFonts w:ascii="Segoe UI" w:cs="Segoe UI" w:eastAsia="Segoe UI" w:hAnsi="Segoe UI"/>
          <w:sz w:val="21"/>
          <w:szCs w:val="21"/>
          <w:rtl/>
        </w:rPr>
        <w:t xml:space="preserve">، فلا وجه لمنعه.</w:t>
      </w:r>
    </w:p>
    <w:p>
      <w:pPr>
        <w:pStyle w:val="Heading2"/>
        <w:bidi/>
        <w:spacing w:after="130" w:before="210"/>
        <w:jc w:val="right"/>
      </w:pPr>
      <w:r>
        <w:rPr>
          <w:rFonts w:ascii="Segoe UI" w:cs="Segoe UI" w:eastAsia="Segoe UI" w:hAnsi="Segoe UI"/>
          <w:b/>
          <w:bCs/>
          <w:color w:val="1F3864"/>
          <w:sz w:val="24"/>
          <w:szCs w:val="24"/>
          <w:rtl/>
        </w:rPr>
        <w:t xml:space="preserve">المادة ١١٤ — الطبقات الأربع</w:t>
      </w:r>
    </w:p>
    <w:tbl>
      <w:tblPr>
        <w:bidiVisual/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4100"/>
      </w:tblGrid>
      <w:tr>
        <w:trPr>
          <w:tblHeader/>
        </w:trPr>
        <w:tc>
          <w:tcPr>
            <w:tcW w:type="dxa" w:w="3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الحال القديم</w:t>
            </w:r>
          </w:p>
        </w:tc>
        <w:tc>
          <w:tcPr>
            <w:tcW w:type="dxa" w:w="41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الحال الجديد</w:t>
            </w:r>
          </w:p>
        </w:tc>
      </w:tr>
      <w:tr>
        <w:tc>
          <w:tcPr>
            <w:tcW w:type="dxa" w:w="3900"/>
            <w:shd w:fill="FCE4D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لم يكن في الدستور نصٌّ يفصل بين الإدارة والدور والنطاق والشاشة — فالتبس الدور بالإدارة، والنطاق بالشاشة.</w:t>
            </w:r>
          </w:p>
        </w:tc>
        <w:tc>
          <w:tcPr>
            <w:tcW w:type="dxa" w:w="4100"/>
            <w:shd w:fill="E7F0E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الإدارة تملك العملية · والدور يحدد من ينفّذها · والنطاق (موقع أو مخزن أو مشروع) يحدد أي السجلات يبلغها · والشاشة واحدة مشتركة تُصفّى بالنطاق. ولا تُنسخ شاشة لكل صاحب نطاق، ولا يُرفع اسم دورٍ إلى مرتبة إدارة.</w:t>
            </w:r>
          </w:p>
        </w:tc>
      </w:tr>
    </w:tbl>
    <w:p>
      <w:pPr>
        <w:bidi/>
        <w:spacing w:after="110" w:line="300"/>
        <w:jc w:val="both"/>
      </w:pP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ولماذا: </w:t>
      </w:r>
      <w:r>
        <w:rPr>
          <w:rFonts w:ascii="Segoe UI" w:cs="Segoe UI" w:eastAsia="Segoe UI" w:hAnsi="Segoe UI"/>
          <w:sz w:val="21"/>
          <w:szCs w:val="21"/>
          <w:rtl/>
        </w:rPr>
        <w:t xml:space="preserve">لأن هذا الالتباس هو أصل التكرار كله. فحين يُظنّ الدور إدارةً تُنسخ له شاشات، وحين يُظنّ النطاق شاشةً يُبنى ملفٌّ لكل مخزن وموقع. </w:t>
      </w: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والصواب: شاشة صرفٍ واحدة يراها مدير المخازن بكل مستودعاته ويراها كل أمينٍ بمستودعه هو.</w:t>
      </w:r>
    </w:p>
    <w:p>
      <w:r>
        <w:br w:type="page"/>
      </w:r>
    </w:p>
    <w:p>
      <w:pPr>
        <w:pStyle w:val="Heading1"/>
        <w:bidi/>
        <w:spacing w:after="130" w:before="300"/>
        <w:jc w:val="right"/>
      </w:pPr>
      <w:r>
        <w:rPr>
          <w:rFonts w:ascii="Segoe UI" w:cs="Segoe UI" w:eastAsia="Segoe UI" w:hAnsi="Segoe UI"/>
          <w:b/>
          <w:bCs/>
          <w:color w:val="1F3864"/>
          <w:sz w:val="29"/>
          <w:szCs w:val="29"/>
          <w:rtl/>
        </w:rPr>
        <w:t xml:space="preserve">الإلغاء الأول · لا استثناء من بوابة G0</w:t>
      </w:r>
    </w:p>
    <w:tbl>
      <w:tblPr>
        <w:bidiVisual/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4100"/>
      </w:tblGrid>
      <w:tr>
        <w:trPr>
          <w:tblHeader/>
        </w:trPr>
        <w:tc>
          <w:tcPr>
            <w:tcW w:type="dxa" w:w="3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الحال القديم</w:t>
            </w:r>
          </w:p>
        </w:tc>
        <w:tc>
          <w:tcPr>
            <w:tcW w:type="dxa" w:w="41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الحال الجديد</w:t>
            </w:r>
          </w:p>
        </w:tc>
      </w:tr>
      <w:tr>
        <w:tc>
          <w:tcPr>
            <w:tcW w:type="dxa" w:w="3900"/>
            <w:shd w:fill="FCE4D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أصدرتُ لك استثناءً باسم EXC-RPR02A-01 يسمح بالخطوات الأربع الأولى رغم البوابة، بمدةٍ ثلاثين يومًا.</w:t>
            </w:r>
          </w:p>
        </w:tc>
        <w:tc>
          <w:tcPr>
            <w:tcW w:type="dxa" w:w="4100"/>
            <w:shd w:fill="E7F0E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الاستثناء مُلغًى ولا يُسجَّل. والعمل يمضي بالمادة ١١٣ لا باستثناء.</w:t>
            </w:r>
          </w:p>
        </w:tc>
      </w:tr>
    </w:tbl>
    <w:p>
      <w:pPr>
        <w:pStyle w:val="Heading2"/>
        <w:bidi/>
        <w:spacing w:after="130" w:before="210"/>
        <w:jc w:val="right"/>
      </w:pPr>
      <w:r>
        <w:rPr>
          <w:rFonts w:ascii="Segoe UI" w:cs="Segoe UI" w:eastAsia="Segoe UI" w:hAnsi="Segoe UI"/>
          <w:b/>
          <w:bCs/>
          <w:color w:val="1F3864"/>
          <w:sz w:val="24"/>
          <w:szCs w:val="24"/>
          <w:rtl/>
        </w:rPr>
        <w:t xml:space="preserve">لماذا</w:t>
      </w:r>
    </w:p>
    <w:p>
      <w:pPr>
        <w:bidi/>
        <w:spacing w:after="110" w:line="300"/>
        <w:jc w:val="both"/>
      </w:pPr>
      <w:r>
        <w:rPr>
          <w:rFonts w:ascii="Segoe UI" w:cs="Segoe UI" w:eastAsia="Segoe UI" w:hAnsi="Segoe UI"/>
          <w:sz w:val="21"/>
          <w:szCs w:val="21"/>
          <w:rtl/>
        </w:rPr>
        <w:t xml:space="preserve">الاستثناء يعني: «هذا ممنوع وأسمح به مؤقتًا» — </w:t>
      </w: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والصواب أنه ليس ممنوعًا أصلًا.</w:t>
      </w:r>
    </w:p>
    <w:p>
      <w:pPr>
        <w:bidi/>
        <w:spacing w:after="110" w:line="300"/>
        <w:jc w:val="both"/>
      </w:pP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والفرق عمليّ لا لفظيّ: </w:t>
      </w:r>
      <w:r>
        <w:rPr>
          <w:rFonts w:ascii="Segoe UI" w:cs="Segoe UI" w:eastAsia="Segoe UI" w:hAnsi="Segoe UI"/>
          <w:sz w:val="21"/>
          <w:szCs w:val="21"/>
          <w:rtl/>
        </w:rPr>
        <w:t xml:space="preserve">الاستثناء ينتهي بمدّته فتعود المسألة، ويحتاج تجديدًا، ويُقرأ في التقارير تجاوزًا للقاعدة. </w:t>
      </w: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والقاعدة دائمة ولا تحتاج شيئًا من ذلك.</w:t>
      </w:r>
    </w:p>
    <w:p>
      <w:pPr>
        <w:pStyle w:val="Heading1"/>
        <w:bidi/>
        <w:spacing w:after="130" w:before="300"/>
        <w:jc w:val="right"/>
      </w:pPr>
      <w:r>
        <w:rPr>
          <w:rFonts w:ascii="Segoe UI" w:cs="Segoe UI" w:eastAsia="Segoe UI" w:hAnsi="Segoe UI"/>
          <w:b/>
          <w:bCs/>
          <w:color w:val="1F3864"/>
          <w:sz w:val="29"/>
          <w:szCs w:val="29"/>
          <w:rtl/>
        </w:rPr>
        <w:t xml:space="preserve">الإلغاء الثاني · أمين المستودع وعدد أوراق الأدوار</w:t>
      </w:r>
    </w:p>
    <w:p>
      <w:pPr>
        <w:pStyle w:val="Heading2"/>
        <w:bidi/>
        <w:spacing w:after="130" w:before="210"/>
        <w:jc w:val="right"/>
      </w:pPr>
      <w:r>
        <w:rPr>
          <w:rFonts w:ascii="Segoe UI" w:cs="Segoe UI" w:eastAsia="Segoe UI" w:hAnsi="Segoe UI"/>
          <w:b/>
          <w:bCs/>
          <w:color w:val="1F3864"/>
          <w:sz w:val="24"/>
          <w:szCs w:val="24"/>
          <w:rtl/>
        </w:rPr>
        <w:t xml:space="preserve">أ · أمين المستودع</w:t>
      </w:r>
    </w:p>
    <w:tbl>
      <w:tblPr>
        <w:bidiVisual/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4100"/>
      </w:tblGrid>
      <w:tr>
        <w:trPr>
          <w:tblHeader/>
        </w:trPr>
        <w:tc>
          <w:tcPr>
            <w:tcW w:type="dxa" w:w="3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الحال القديم</w:t>
            </w:r>
          </w:p>
        </w:tc>
        <w:tc>
          <w:tcPr>
            <w:tcW w:type="dxa" w:w="41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الحال الجديد</w:t>
            </w:r>
          </w:p>
        </w:tc>
      </w:tr>
      <w:tr>
        <w:tc>
          <w:tcPr>
            <w:tcW w:type="dxa" w:w="3900"/>
            <w:shd w:fill="FCE4D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أمرتُك بنزع أربع أوراق من دليل السايدبار بوصفها أدوارًا لا إدارات: إدارة الصلاحيات · أمين المستودع · المدير المالي · إدارة الموقع القديم. ثم صحّحتُ فقلتُ: «أمين المستودع يُعاد تسميته إدارة المخازن».</w:t>
            </w:r>
          </w:p>
        </w:tc>
        <w:tc>
          <w:tcPr>
            <w:tcW w:type="dxa" w:w="4100"/>
            <w:shd w:fill="E7F0E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كلا الأمرين خطأ. «أمين المستودع» دورٌ داخل إدارة المخازن — يبقى في دليل الأدوار كما هو، ويُربط بـ DEP-17 وبنطاق مخزنه. ولا يُنزع ولا يُعاد تسميته.</w:t>
            </w:r>
          </w:p>
        </w:tc>
      </w:tr>
    </w:tbl>
    <w:p>
      <w:pPr>
        <w:bidi/>
        <w:spacing w:after="110" w:line="300"/>
        <w:jc w:val="both"/>
      </w:pP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ولماذا: </w:t>
      </w:r>
      <w:r>
        <w:rPr>
          <w:rFonts w:ascii="Segoe UI" w:cs="Segoe UI" w:eastAsia="Segoe UI" w:hAnsi="Segoe UI"/>
          <w:sz w:val="21"/>
          <w:szCs w:val="21"/>
          <w:rtl/>
        </w:rPr>
        <w:t xml:space="preserve">لأن إدارة المخازن وحدةٌ تنظيمية تحتها عدة مستودعات، ولكل مستودعٍ أمينه أو أمناؤه. </w:t>
      </w: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فرفع اسم الدور إلى مرتبة الإدارة يخلط طبقتين</w:t>
      </w:r>
      <w:r>
        <w:rPr>
          <w:rFonts w:ascii="Segoe UI" w:cs="Segoe UI" w:eastAsia="Segoe UI" w:hAnsi="Segoe UI"/>
          <w:sz w:val="21"/>
          <w:szCs w:val="21"/>
          <w:rtl/>
        </w:rPr>
        <w:t xml:space="preserve">، ونزعه بلا بديل كان سيُفقِد آخر ورقةٍ تحمل شاشات المخازن.</w:t>
      </w:r>
    </w:p>
    <w:p>
      <w:pPr>
        <w:bidi/>
        <w:spacing w:after="110" w:line="300"/>
        <w:jc w:val="both"/>
      </w:pP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والحكم نفسه على الباقين: </w:t>
      </w:r>
      <w:r>
        <w:rPr>
          <w:rFonts w:ascii="Segoe UI" w:cs="Segoe UI" w:eastAsia="Segoe UI" w:hAnsi="Segoe UI"/>
          <w:sz w:val="21"/>
          <w:szCs w:val="21"/>
          <w:rtl/>
        </w:rPr>
        <w:t xml:space="preserve">«المدير المالي» دورٌ في `DEP-05` · و«إدارة الصلاحيات» ليست إدارة: السياسة عند الحوكمة والحاجة عند مالك النطاق والتنفيذ التقني قدرةٌ منصّية · و«إدارة الموقع القديم» ورقةٌ مهجورة </w:t>
      </w: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تُفحص قبل إقفالها: هل بقي مسار كتابةٍ فريدٌ يعتمد عليها؟</w:t>
      </w:r>
      <w:r>
        <w:rPr>
          <w:rFonts w:ascii="Segoe UI" w:cs="Segoe UI" w:eastAsia="Segoe UI" w:hAnsi="Segoe UI"/>
          <w:sz w:val="21"/>
          <w:szCs w:val="21"/>
          <w:rtl/>
        </w:rPr>
        <w:t xml:space="preserve"> فإن بقي نُقل أولًا ثم أُقفلت.</w:t>
      </w:r>
    </w:p>
    <w:p>
      <w:pPr>
        <w:pStyle w:val="Heading2"/>
        <w:bidi/>
        <w:spacing w:after="130" w:before="210"/>
        <w:jc w:val="right"/>
      </w:pPr>
      <w:r>
        <w:rPr>
          <w:rFonts w:ascii="Segoe UI" w:cs="Segoe UI" w:eastAsia="Segoe UI" w:hAnsi="Segoe UI"/>
          <w:b/>
          <w:bCs/>
          <w:color w:val="1F3864"/>
          <w:sz w:val="24"/>
          <w:szCs w:val="24"/>
          <w:rtl/>
        </w:rPr>
        <w:t xml:space="preserve">ب · عدد أوراق دليل الأدوار</w:t>
      </w:r>
    </w:p>
    <w:tbl>
      <w:tblPr>
        <w:bidiVisual/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4100"/>
      </w:tblGrid>
      <w:tr>
        <w:trPr>
          <w:tblHeader/>
        </w:trPr>
        <w:tc>
          <w:tcPr>
            <w:tcW w:type="dxa" w:w="3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الحال القديم</w:t>
            </w:r>
          </w:p>
        </w:tc>
        <w:tc>
          <w:tcPr>
            <w:tcW w:type="dxa" w:w="41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الحال الجديد</w:t>
            </w:r>
          </w:p>
        </w:tc>
      </w:tr>
      <w:tr>
        <w:tc>
          <w:tcPr>
            <w:tcW w:type="dxa" w:w="3900"/>
            <w:shd w:fill="FCE4D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طالبتُك بأن يبلغ دليل الأدوار واحدًا وعشرين ورقة، وأعطيتُك ثلاثة أسماء لسدّ الفارق.</w:t>
            </w:r>
          </w:p>
        </w:tc>
        <w:tc>
          <w:tcPr>
            <w:tcW w:type="dxa" w:w="4100"/>
            <w:shd w:fill="E7F0E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المطالبة مُلغاة. دليل الأدوار لا يُساوى بواحد وعشرين — فعدد الأدوار لا يساوي عدد الإدارات ولا ينبغي. والدليلان مستقلان مقامًا: المعياري بواحد وعشرين رمزًا، والمعروض بالأدوار بعددها أيًّا كان.</w:t>
            </w:r>
          </w:p>
        </w:tc>
      </w:tr>
    </w:tbl>
    <w:p>
      <w:pPr>
        <w:bidi/>
        <w:spacing w:after="110" w:line="300"/>
        <w:jc w:val="both"/>
      </w:pP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وحسابك السابق كان صحيحًا، والخطأ في مطالبتي لك بإغلاقه.</w:t>
      </w:r>
    </w:p>
    <w:p>
      <w:r>
        <w:br w:type="page"/>
      </w:r>
    </w:p>
    <w:p>
      <w:pPr>
        <w:pStyle w:val="Heading1"/>
        <w:bidi/>
        <w:spacing w:after="130" w:before="300"/>
        <w:jc w:val="right"/>
      </w:pPr>
      <w:r>
        <w:rPr>
          <w:rFonts w:ascii="Segoe UI" w:cs="Segoe UI" w:eastAsia="Segoe UI" w:hAnsi="Segoe UI"/>
          <w:b/>
          <w:bCs/>
          <w:color w:val="1F3864"/>
          <w:sz w:val="29"/>
          <w:szCs w:val="29"/>
          <w:rtl/>
        </w:rPr>
        <w:t xml:space="preserve">خلاصة التعديلات</w:t>
      </w:r>
    </w:p>
    <w:tbl>
      <w:tblPr>
        <w:bidiVisual/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400"/>
        <w:gridCol w:w="26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#</w:t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النقطة</w:t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كان</w:t>
            </w:r>
          </w:p>
        </w:tc>
        <w:tc>
          <w:tcPr>
            <w:tcW w:type="dxa" w:w="2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صار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١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أمين المخزن في سجل المخازن</w:t>
            </w:r>
          </w:p>
        </w:tc>
        <w:tc>
          <w:tcPr>
            <w:tcW w:type="dxa" w:w="2400"/>
            <w:shd w:fill="FCE4D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حقلٌ واحد يُكتب يدويًّا</w:t>
            </w:r>
          </w:p>
        </w:tc>
        <w:tc>
          <w:tcPr>
            <w:tcW w:type="dxa" w:w="2600"/>
            <w:shd w:fill="E7F0E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سطحٌ تابع بفترات الإسناد · والحقل مشتق</w:t>
            </w:r>
          </w:p>
        </w:tc>
      </w:tr>
      <w:tr>
        <w:tc>
          <w:tcPr>
            <w:tcW w:type="dxa" w:w="6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٢</w:t>
            </w:r>
          </w:p>
        </w:tc>
        <w:tc>
          <w:tcPr>
            <w:tcW w:type="dxa" w:w="24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العهد والمرتجعات</w:t>
            </w:r>
          </w:p>
        </w:tc>
        <w:tc>
          <w:tcPr>
            <w:tcW w:type="dxa" w:w="2400"/>
            <w:shd w:fill="FCE4D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بلا بُعد المخزن</w:t>
            </w:r>
          </w:p>
        </w:tc>
        <w:tc>
          <w:tcPr>
            <w:tcW w:type="dxa" w:w="2600"/>
            <w:shd w:fill="E7F0E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حقل «المخزن الصارف» بعد المعرّف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٣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بوابة G0</w:t>
            </w:r>
          </w:p>
        </w:tc>
        <w:tc>
          <w:tcPr>
            <w:tcW w:type="dxa" w:w="2400"/>
            <w:shd w:fill="FCE4D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نصٌّ مطلق يمنع كل عمل</w:t>
            </w:r>
          </w:p>
        </w:tc>
        <w:tc>
          <w:tcPr>
            <w:tcW w:type="dxa" w:w="2600"/>
            <w:shd w:fill="E7F0E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مادة ١١٣ — تمنع البناء لا المصالحة</w:t>
            </w:r>
          </w:p>
        </w:tc>
      </w:tr>
      <w:tr>
        <w:tc>
          <w:tcPr>
            <w:tcW w:type="dxa" w:w="6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٤</w:t>
            </w:r>
          </w:p>
        </w:tc>
        <w:tc>
          <w:tcPr>
            <w:tcW w:type="dxa" w:w="24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الطبقات الأربع</w:t>
            </w:r>
          </w:p>
        </w:tc>
        <w:tc>
          <w:tcPr>
            <w:tcW w:type="dxa" w:w="2400"/>
            <w:shd w:fill="FCE4D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بلا نصّ فيلتبس الدور بالإدارة</w:t>
            </w:r>
          </w:p>
        </w:tc>
        <w:tc>
          <w:tcPr>
            <w:tcW w:type="dxa" w:w="2600"/>
            <w:shd w:fill="E7F0E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مادة ١١٤ — إدارة ودور ونطاق وشاشة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٥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استثناء G0</w:t>
            </w:r>
          </w:p>
        </w:tc>
        <w:tc>
          <w:tcPr>
            <w:tcW w:type="dxa" w:w="2400"/>
            <w:shd w:fill="FCE4D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EXC-RPR02A-01 بثلاثين يومًا</w:t>
            </w:r>
          </w:p>
        </w:tc>
        <w:tc>
          <w:tcPr>
            <w:tcW w:type="dxa" w:w="2600"/>
            <w:shd w:fill="E7F0E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مُلغًى — العمل خارج المنع أصلًا</w:t>
            </w:r>
          </w:p>
        </w:tc>
      </w:tr>
      <w:tr>
        <w:tc>
          <w:tcPr>
            <w:tcW w:type="dxa" w:w="6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٦</w:t>
            </w:r>
          </w:p>
        </w:tc>
        <w:tc>
          <w:tcPr>
            <w:tcW w:type="dxa" w:w="24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أمين المستودع</w:t>
            </w:r>
          </w:p>
        </w:tc>
        <w:tc>
          <w:tcPr>
            <w:tcW w:type="dxa" w:w="2400"/>
            <w:shd w:fill="FCE4D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يُنزع ثم يُعاد تسميته إدارة</w:t>
            </w:r>
          </w:p>
        </w:tc>
        <w:tc>
          <w:tcPr>
            <w:tcW w:type="dxa" w:w="2600"/>
            <w:shd w:fill="E7F0E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يبقى دورًا ويُربط بـ DEP-17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٧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أوراق دليل الأدوار</w:t>
            </w:r>
          </w:p>
        </w:tc>
        <w:tc>
          <w:tcPr>
            <w:tcW w:type="dxa" w:w="2400"/>
            <w:shd w:fill="FCE4D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تُساوى بواحد وعشرين</w:t>
            </w:r>
          </w:p>
        </w:tc>
        <w:tc>
          <w:tcPr>
            <w:tcW w:type="dxa" w:w="2600"/>
            <w:shd w:fill="E7F0E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لا تُساوى — الدليلان مستقلان</w:t>
            </w:r>
          </w:p>
        </w:tc>
      </w:tr>
    </w:tbl>
    <w:p>
      <w:pPr>
        <w:pStyle w:val="Heading1"/>
        <w:bidi/>
        <w:spacing w:after="130" w:before="300"/>
        <w:jc w:val="right"/>
      </w:pPr>
      <w:r>
        <w:rPr>
          <w:rFonts w:ascii="Segoe UI" w:cs="Segoe UI" w:eastAsia="Segoe UI" w:hAnsi="Segoe UI"/>
          <w:b/>
          <w:bCs/>
          <w:color w:val="1F3864"/>
          <w:sz w:val="29"/>
          <w:szCs w:val="29"/>
          <w:rtl/>
        </w:rPr>
        <w:t xml:space="preserve">وما تفعله الآن</w:t>
      </w:r>
    </w:p>
    <w:p>
      <w:pPr>
        <w:pStyle w:val="ListParagraph"/>
        <w:numPr>
          <w:ilvl w:val="0"/>
          <w:numId w:val="2"/>
        </w:numPr>
        <w:bidi/>
        <w:spacing w:after="85" w:line="300"/>
        <w:jc w:val="both"/>
      </w:pP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طبّق الثلاثة الأولى على نسختك: </w:t>
      </w:r>
      <w:r>
        <w:rPr>
          <w:rFonts w:ascii="Segoe UI" w:cs="Segoe UI" w:eastAsia="Segoe UI" w:hAnsi="Segoe UI"/>
          <w:sz w:val="21"/>
          <w:szCs w:val="21"/>
          <w:rtl/>
        </w:rPr>
        <w:t xml:space="preserve">السطح التابع · والحقل · والمادتان. ولا تنتظر حزمة جديدة.</w:t>
      </w:r>
    </w:p>
    <w:p>
      <w:pPr>
        <w:pStyle w:val="ListParagraph"/>
        <w:numPr>
          <w:ilvl w:val="0"/>
          <w:numId w:val="2"/>
        </w:numPr>
        <w:bidi/>
        <w:spacing w:after="85" w:line="300"/>
        <w:jc w:val="both"/>
      </w:pP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ألغِ الاستثناء والأمرين الخاطئين من سجلك.</w:t>
      </w:r>
    </w:p>
    <w:p>
      <w:pPr>
        <w:pStyle w:val="ListParagraph"/>
        <w:numPr>
          <w:ilvl w:val="0"/>
          <w:numId w:val="2"/>
        </w:numPr>
        <w:bidi/>
        <w:spacing w:after="85" w:line="300"/>
        <w:jc w:val="both"/>
      </w:pP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ولا تتوقف عند إدارة: </w:t>
      </w:r>
      <w:r>
        <w:rPr>
          <w:rFonts w:ascii="Segoe UI" w:cs="Segoe UI" w:eastAsia="Segoe UI" w:hAnsi="Segoe UI"/>
          <w:sz w:val="21"/>
          <w:szCs w:val="21"/>
          <w:rtl/>
        </w:rPr>
        <w:t xml:space="preserve">أكمل التعديلات في الإدارات كلها — فالفرز وتصحيح السايدبار وتوحيد الأسطح المنصّية وحكم الأربعة والثلاثين </w:t>
      </w: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لا حاجز على شيء منها بالمادة ١١٣.</w:t>
      </w:r>
    </w:p>
    <w:p>
      <w:pPr>
        <w:pStyle w:val="ListParagraph"/>
        <w:numPr>
          <w:ilvl w:val="0"/>
          <w:numId w:val="2"/>
        </w:numPr>
        <w:bidi/>
        <w:spacing w:after="85" w:line="300"/>
        <w:jc w:val="both"/>
      </w:pP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وما يبقى محجوبًا وحده: </w:t>
      </w:r>
      <w:r>
        <w:rPr>
          <w:rFonts w:ascii="Segoe UI" w:cs="Segoe UI" w:eastAsia="Segoe UI" w:hAnsi="Segoe UI"/>
          <w:sz w:val="21"/>
          <w:szCs w:val="21"/>
          <w:rtl/>
        </w:rPr>
        <w:t xml:space="preserve">بناءُ سطحٍ غير موجود في المبيعات والموردين والأسطول — حتى تُرفع بوابة كلٍّ منها.</w:t>
      </w:r>
    </w:p>
    <w:p>
      <w:pPr>
        <w:pStyle w:val="ListParagraph"/>
        <w:numPr>
          <w:ilvl w:val="0"/>
          <w:numId w:val="2"/>
        </w:numPr>
        <w:bidi/>
        <w:spacing w:after="85" w:line="300"/>
        <w:jc w:val="both"/>
      </w:pP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وأرسل جدول الفرز أولًا — </w:t>
      </w:r>
      <w:r>
        <w:rPr>
          <w:rFonts w:ascii="Segoe UI" w:cs="Segoe UI" w:eastAsia="Segoe UI" w:hAnsi="Segoe UI"/>
          <w:sz w:val="21"/>
          <w:szCs w:val="21"/>
          <w:rtl/>
        </w:rPr>
        <w:t xml:space="preserve">لا خطة بناء. وفيه الثلاثة والستون بسلاله الثلاث ودليل كلٍّ.</w:t>
      </w:r>
    </w:p>
    <w:p>
      <w:pPr>
        <w:pStyle w:val="ListParagraph"/>
        <w:numPr>
          <w:ilvl w:val="0"/>
          <w:numId w:val="2"/>
        </w:numPr>
        <w:bidi/>
        <w:spacing w:after="85" w:line="300"/>
        <w:jc w:val="both"/>
      </w:pP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والرقمان معًا في تقاريرك: </w:t>
      </w:r>
      <w:r>
        <w:rPr>
          <w:rFonts w:ascii="Segoe UI" w:cs="Segoe UI" w:eastAsia="Segoe UI" w:hAnsi="Segoe UI"/>
          <w:sz w:val="21"/>
          <w:szCs w:val="21"/>
          <w:rtl/>
        </w:rPr>
        <w:t xml:space="preserve">تنظيف القائمة الحية ١٧٤ من ١٨١ · وتصرّف السجل الكلي ١٩٧ من ٢٠٥ — فلكلٍّ سؤاله.</w:t>
      </w:r>
    </w:p>
    <w:p>
      <w:r>
        <w:br w:type="page"/>
      </w:r>
    </w:p>
    <w:p>
      <w:pPr>
        <w:pStyle w:val="Heading1"/>
        <w:bidi/>
        <w:spacing w:after="130" w:before="300"/>
        <w:jc w:val="right"/>
      </w:pPr>
      <w:r>
        <w:rPr>
          <w:rFonts w:ascii="Segoe UI" w:cs="Segoe UI" w:eastAsia="Segoe UI" w:hAnsi="Segoe UI"/>
          <w:b/>
          <w:bCs/>
          <w:color w:val="1F3864"/>
          <w:sz w:val="29"/>
          <w:szCs w:val="29"/>
          <w:rtl/>
        </w:rPr>
        <w:t xml:space="preserve">ملحق · حسم القرارات المفتوحة</w:t>
      </w:r>
    </w:p>
    <w:p>
      <w:pPr>
        <w:bidi/>
        <w:spacing w:after="110" w:line="300"/>
        <w:jc w:val="both"/>
      </w:pPr>
      <w:r>
        <w:rPr>
          <w:rFonts w:ascii="Segoe UI" w:cs="Segoe UI" w:eastAsia="Segoe UI" w:hAnsi="Segoe UI"/>
          <w:sz w:val="21"/>
          <w:szCs w:val="21"/>
          <w:rtl/>
        </w:rPr>
        <w:t xml:space="preserve">رسالتك عدّت أحدَ عشرَ قرارًا فئةً واحدة تحت «محجوبٌ بقرارِك». </w:t>
      </w: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وهذا غير دقيق: اثنان منها يحجبان فعلًا، وتسعةٌ لا تحجب هذا الأمر إطلاقًا.</w:t>
      </w:r>
      <w:r>
        <w:rPr>
          <w:rFonts w:ascii="Segoe UI" w:cs="Segoe UI" w:eastAsia="Segoe UI" w:hAnsi="Segoe UI"/>
          <w:sz w:val="21"/>
          <w:szCs w:val="21"/>
          <w:rtl/>
        </w:rPr>
        <w:t xml:space="preserve"> وهذا التصنيف أمرتُ به في RPR-02 v2.3 بعمود Blocker_Type — ولم يُنفَّذ، ولهذا ما زالت تُعامَل سواءً.</w:t>
      </w:r>
    </w:p>
    <w:p>
      <w:pPr>
        <w:pStyle w:val="Heading2"/>
        <w:bidi/>
        <w:spacing w:after="130" w:before="210"/>
        <w:jc w:val="right"/>
      </w:pPr>
      <w:r>
        <w:rPr>
          <w:rFonts w:ascii="Segoe UI" w:cs="Segoe UI" w:eastAsia="Segoe UI" w:hAnsi="Segoe UI"/>
          <w:b/>
          <w:bCs/>
          <w:color w:val="1F3864"/>
          <w:sz w:val="24"/>
          <w:szCs w:val="24"/>
          <w:rtl/>
        </w:rPr>
        <w:t xml:space="preserve">أ · اثنان يحجبان الإنفاذ — ومؤجَّلان بقراري لا بتقصيرك</w:t>
      </w:r>
    </w:p>
    <w:tbl>
      <w:tblPr>
        <w:bidiVisual/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300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القرار</w:t>
            </w:r>
          </w:p>
        </w:tc>
        <w:tc>
          <w:tcPr>
            <w:tcW w:type="dxa" w:w="31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ما يحجبه</w:t>
            </w:r>
          </w:p>
        </w:tc>
        <w:tc>
          <w:tcPr>
            <w:tcW w:type="dxa" w:w="30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الحال</w:t>
            </w:r>
          </w:p>
        </w:tc>
      </w:tr>
      <w:tr>
        <w:tc>
          <w:tcPr>
            <w:tcW w:type="dxa" w:w="1900"/>
            <w:shd w:fill="FCE4D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DEC-OPEN-01 — قيم حدود الاعتماد</w:t>
            </w:r>
          </w:p>
        </w:tc>
        <w:tc>
          <w:tcPr>
            <w:tcW w:type="dxa" w:w="3100"/>
            <w:shd w:fill="FCE4D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نافذة الظلّ · إعلان EMS_LADDER_GATE · حجب أربع عشرة رحلة</w:t>
            </w:r>
          </w:p>
        </w:tc>
        <w:tc>
          <w:tcPr>
            <w:tcW w:type="dxa" w:w="3000"/>
            <w:shd w:fill="FCE4D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لم يصدر بعد — مؤجَّل بقراري</w:t>
            </w:r>
          </w:p>
        </w:tc>
      </w:tr>
      <w:tr>
        <w:tc>
          <w:tcPr>
            <w:tcW w:type="dxa" w:w="1900"/>
            <w:shd w:fill="FCE4D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DEC-OPEN-02 — نافذة التجميع</w:t>
            </w:r>
          </w:p>
        </w:tc>
        <w:tc>
          <w:tcPr>
            <w:tcW w:type="dxa" w:w="3100"/>
            <w:shd w:fill="FCE4D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إنفاذ حارس منع التجزئة</w:t>
            </w:r>
          </w:p>
        </w:tc>
        <w:tc>
          <w:tcPr>
            <w:tcW w:type="dxa" w:w="3000"/>
            <w:shd w:fill="FCE4D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لم يصدر بعد — مؤجَّل بقراري</w:t>
            </w:r>
          </w:p>
        </w:tc>
      </w:tr>
    </w:tbl>
    <w:p>
      <w:pPr>
        <w:bidi/>
        <w:spacing w:after="110" w:line="300"/>
        <w:jc w:val="both"/>
      </w:pP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ولا يُحسبان عليك في أي تقرير. </w:t>
      </w:r>
      <w:r>
        <w:rPr>
          <w:rFonts w:ascii="Segoe UI" w:cs="Segoe UI" w:eastAsia="Segoe UI" w:hAnsi="Segoe UI"/>
          <w:sz w:val="21"/>
          <w:szCs w:val="21"/>
          <w:rtl/>
        </w:rPr>
        <w:t xml:space="preserve">وابنِ المحرك قابلًا للضبط من سجل السياسات — فالقيمة تأتي لاحقًا ولا تُكتب في الشيفرة.</w:t>
      </w:r>
    </w:p>
    <w:p>
      <w:pPr>
        <w:pStyle w:val="Heading2"/>
        <w:bidi/>
        <w:spacing w:after="130" w:before="210"/>
        <w:jc w:val="right"/>
      </w:pPr>
      <w:r>
        <w:rPr>
          <w:rFonts w:ascii="Segoe UI" w:cs="Segoe UI" w:eastAsia="Segoe UI" w:hAnsi="Segoe UI"/>
          <w:b/>
          <w:bCs/>
          <w:color w:val="1F3864"/>
          <w:sz w:val="24"/>
          <w:szCs w:val="24"/>
          <w:rtl/>
        </w:rPr>
        <w:t xml:space="preserve">ب · تسعة لا تحجب هذا الأمر — ومكانها RPR-03</w:t>
      </w:r>
    </w:p>
    <w:tbl>
      <w:tblPr>
        <w:bidiVisual/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6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القرار</w:t>
            </w:r>
          </w:p>
        </w:tc>
        <w:tc>
          <w:tcPr>
            <w:tcW w:type="dxa" w:w="5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تصنيفه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DEC-OPEN-04 — عملة العرض</w:t>
            </w:r>
          </w:p>
        </w:tc>
        <w:tc>
          <w:tcPr>
            <w:tcW w:type="dxa" w:w="5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قيمة عرضٍ في القوائم — لا تمنع بناء قائمة ولا شاشة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DEC-OPEN-05 — مدة نافذة التحقق</w:t>
            </w:r>
          </w:p>
        </w:tc>
        <w:tc>
          <w:tcPr>
            <w:tcW w:type="dxa" w:w="56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عتبة زمنية للإغلاق الآلي — تُضبط ولا تُبنى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DEC-OPEN-06 — حد النثرية</w:t>
            </w:r>
          </w:p>
        </w:tc>
        <w:tc>
          <w:tcPr>
            <w:tcW w:type="dxa" w:w="5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سقف مالي في سجل السياسات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DEC-OPEN-07 — حدود الشراء المباشر</w:t>
            </w:r>
          </w:p>
        </w:tc>
        <w:tc>
          <w:tcPr>
            <w:tcW w:type="dxa" w:w="56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سقف مالي وتكرار — والمسار الاستثنائي مبنيّ سلفًا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DEC-OPEN-08 — شهية المخاطر</w:t>
            </w:r>
          </w:p>
        </w:tc>
        <w:tc>
          <w:tcPr>
            <w:tcW w:type="dxa" w:w="5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حدود لكل عائلة — تُضبط بعد بناء السجل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DEC-OPEN-09 — الموضوعات المحجوزة</w:t>
            </w:r>
          </w:p>
        </w:tc>
        <w:tc>
          <w:tcPr>
            <w:tcW w:type="dxa" w:w="56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قائمة تُثبَّت في سطح المسائل المحجوزة القائم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DEC-OPEN-10 — نافذة القرار العاجل</w:t>
            </w:r>
          </w:p>
        </w:tc>
        <w:tc>
          <w:tcPr>
            <w:tcW w:type="dxa" w:w="5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مدة توثيق — تُضبط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DEC-OPEN-11 — تفويض النائب</w:t>
            </w:r>
          </w:p>
        </w:tc>
        <w:tc>
          <w:tcPr>
            <w:tcW w:type="dxa" w:w="56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حد ومدة — تُضبطان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DEC-OPEN-15 — فئات أعلام التتبع</w:t>
            </w:r>
          </w:p>
        </w:tc>
        <w:tc>
          <w:tcPr>
            <w:tcW w:type="dxa" w:w="5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آليّته محسومة سلفًا بـ DEC-WH-01 (التتبع بحسب دليل الأصناف) — والمفتوح القيم لا الآلية</w:t>
            </w:r>
          </w:p>
        </w:tc>
      </w:tr>
    </w:tbl>
    <w:p>
      <w:pPr>
        <w:bidi/>
        <w:spacing w:after="110" w:line="300"/>
        <w:jc w:val="both"/>
      </w:pP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فابنِ محركاتها كلها الآن، </w:t>
      </w:r>
      <w:r>
        <w:rPr>
          <w:rFonts w:ascii="Segoe UI" w:cs="Segoe UI" w:eastAsia="Segoe UI" w:hAnsi="Segoe UI"/>
          <w:sz w:val="21"/>
          <w:szCs w:val="21"/>
          <w:rtl/>
        </w:rPr>
        <w:t xml:space="preserve">واترك مواضع القيم فارغةً تُقرأ من سجل السياسات. ولا تُدرج واحدًا منها حاجزًا على RPR-02.</w:t>
      </w:r>
    </w:p>
    <w:p>
      <w:pPr>
        <w:pStyle w:val="Heading2"/>
        <w:bidi/>
        <w:spacing w:after="130" w:before="210"/>
        <w:jc w:val="right"/>
      </w:pPr>
      <w:r>
        <w:rPr>
          <w:rFonts w:ascii="Segoe UI" w:cs="Segoe UI" w:eastAsia="Segoe UI" w:hAnsi="Segoe UI"/>
          <w:b/>
          <w:bCs/>
          <w:color w:val="1F3864"/>
          <w:sz w:val="24"/>
          <w:szCs w:val="24"/>
          <w:rtl/>
        </w:rPr>
        <w:t xml:space="preserve">ج · ما ينفَّذ في سجل القرارات</w:t>
      </w:r>
    </w:p>
    <w:p>
      <w:pPr>
        <w:pStyle w:val="ListParagraph"/>
        <w:numPr>
          <w:ilvl w:val="0"/>
          <w:numId w:val="2"/>
        </w:numPr>
        <w:bidi/>
        <w:spacing w:after="85" w:line="300"/>
        <w:jc w:val="both"/>
      </w:pP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أضف عمود Blocker_Type </w:t>
      </w:r>
      <w:r>
        <w:rPr>
          <w:rFonts w:ascii="Segoe UI" w:cs="Segoe UI" w:eastAsia="Segoe UI" w:hAnsi="Segoe UI"/>
          <w:sz w:val="21"/>
          <w:szCs w:val="21"/>
          <w:rtl/>
        </w:rPr>
        <w:t xml:space="preserve">بثلاث قيم: حاجزُ إنفاذ · قيمةٌ تُضبط · محسومٌ آليةً ومفتوحٌ قيمة.</w:t>
      </w:r>
    </w:p>
    <w:p>
      <w:pPr>
        <w:pStyle w:val="ListParagraph"/>
        <w:numPr>
          <w:ilvl w:val="0"/>
          <w:numId w:val="2"/>
        </w:numPr>
        <w:bidi/>
        <w:spacing w:after="85" w:line="300"/>
        <w:jc w:val="both"/>
      </w:pP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صنِّف الأحدَ عشرَ عليه </w:t>
      </w:r>
      <w:r>
        <w:rPr>
          <w:rFonts w:ascii="Segoe UI" w:cs="Segoe UI" w:eastAsia="Segoe UI" w:hAnsi="Segoe UI"/>
          <w:sz w:val="21"/>
          <w:szCs w:val="21"/>
          <w:rtl/>
        </w:rPr>
        <w:t xml:space="preserve">كما في الجدولين أعلاه — اثنان وتسعة.</w:t>
      </w:r>
    </w:p>
    <w:p>
      <w:pPr>
        <w:pStyle w:val="ListParagraph"/>
        <w:numPr>
          <w:ilvl w:val="0"/>
          <w:numId w:val="2"/>
        </w:numPr>
        <w:bidi/>
        <w:spacing w:after="85" w:line="300"/>
        <w:jc w:val="both"/>
      </w:pP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وأعد صياغة DEC-OPEN-15 </w:t>
      </w:r>
      <w:r>
        <w:rPr>
          <w:rFonts w:ascii="Segoe UI" w:cs="Segoe UI" w:eastAsia="Segoe UI" w:hAnsi="Segoe UI"/>
          <w:sz w:val="21"/>
          <w:szCs w:val="21"/>
          <w:rtl/>
        </w:rPr>
        <w:t xml:space="preserve">ليقول: «الآلية محسومة · والمطلوب قائمة الفئات» — فلا يُقرأ فجوةً معمارية.</w:t>
      </w:r>
    </w:p>
    <w:p>
      <w:pPr>
        <w:pStyle w:val="Heading2"/>
        <w:bidi/>
        <w:spacing w:after="130" w:before="210"/>
        <w:jc w:val="right"/>
      </w:pPr>
      <w:r>
        <w:rPr>
          <w:rFonts w:ascii="Segoe UI" w:cs="Segoe UI" w:eastAsia="Segoe UI" w:hAnsi="Segoe UI"/>
          <w:b/>
          <w:bCs/>
          <w:color w:val="1F3864"/>
          <w:sz w:val="24"/>
          <w:szCs w:val="24"/>
          <w:rtl/>
        </w:rPr>
        <w:t xml:space="preserve">د · الشاشات الذهبية والرحلات البشرية ومسح الاستجابة</w:t>
      </w:r>
    </w:p>
    <w:tbl>
      <w:tblPr>
        <w:bidiVisual/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4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54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الحكم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الشاشات الذهبية — 10 من 10 معلَّقة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مؤجَّلة إلى RPR-03 · ولا تُحسب حاجزًا على RPR-02 · وتُعتمد بعد رحلتها البشرية لا قبلها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الرحلات البشرية الست</w:t>
            </w:r>
          </w:p>
        </w:tc>
        <w:tc>
          <w:tcPr>
            <w:tcW w:type="dxa" w:w="54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مؤجَّلة إلى RPR-03 · وتحتاج مستخدمين حقيقيّين بصلاحياتهم وثلاثةَ أشخاصٍ حيث يلزم فصل الواجبات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مسح الاستجابة وإتاحة الوصول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مؤجَّل إلى RPR-03 · والعيّنة المعلَنة: عشر شاشات — الذهبيات العشر أنفسها</w:t>
            </w:r>
          </w:p>
        </w:tc>
      </w:tr>
    </w:tbl>
    <w:p>
      <w:pPr>
        <w:bidi/>
        <w:spacing w:after="110" w:line="300"/>
        <w:jc w:val="both"/>
      </w:pP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فأخرجها من قائمة ما يمنعك، </w:t>
      </w:r>
      <w:r>
        <w:rPr>
          <w:rFonts w:ascii="Segoe UI" w:cs="Segoe UI" w:eastAsia="Segoe UI" w:hAnsi="Segoe UI"/>
          <w:sz w:val="21"/>
          <w:szCs w:val="21"/>
          <w:rtl/>
        </w:rPr>
        <w:t xml:space="preserve">واذكرها في تقاريرك بوسم «مؤجَّل إلى RPR-03» لا «محجوب».</w:t>
      </w:r>
    </w:p>
    <w:p>
      <w:pPr>
        <w:pStyle w:val="Heading2"/>
        <w:bidi/>
        <w:spacing w:after="130" w:before="210"/>
        <w:jc w:val="right"/>
      </w:pPr>
      <w:r>
        <w:rPr>
          <w:rFonts w:ascii="Segoe UI" w:cs="Segoe UI" w:eastAsia="Segoe UI" w:hAnsi="Segoe UI"/>
          <w:b/>
          <w:bCs/>
          <w:color w:val="1F3864"/>
          <w:sz w:val="24"/>
          <w:szCs w:val="24"/>
          <w:rtl/>
        </w:rPr>
        <w:t xml:space="preserve">هـ · التجميد قبل القياس — إلزام</w:t>
      </w:r>
    </w:p>
    <w:tbl>
      <w:tblPr>
        <w:bidiVisual/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4100"/>
      </w:tblGrid>
      <w:tr>
        <w:trPr>
          <w:tblHeader/>
        </w:trPr>
        <w:tc>
          <w:tcPr>
            <w:tcW w:type="dxa" w:w="3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الحال القديم</w:t>
            </w:r>
          </w:p>
        </w:tc>
        <w:tc>
          <w:tcPr>
            <w:tcW w:type="dxa" w:w="41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الحال الجديد</w:t>
            </w:r>
          </w:p>
        </w:tc>
      </w:tr>
      <w:tr>
        <w:tc>
          <w:tcPr>
            <w:tcW w:type="dxa" w:w="3900"/>
            <w:shd w:fill="FCE4D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الشجرة فيها ستة وخمسون بندًا غير ملتزم بعد تنفيذ الطور صفر، والقياس جارٍ عليها.</w:t>
            </w:r>
          </w:p>
        </w:tc>
        <w:tc>
          <w:tcPr>
            <w:tcW w:type="dxa" w:w="4100"/>
            <w:shd w:fill="E7F0E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  <w:rtl/>
              </w:rPr>
              <w:t xml:space="preserve">يُلتزم ما أُنجز، وتُقفل الشجرة إلى صفر، ثم يبدأ الفرز على لقطة مستقرة. وكل رقم في ردّك يحمل معرّف لقطته.</w:t>
            </w:r>
          </w:p>
        </w:tc>
      </w:tr>
    </w:tbl>
    <w:p>
      <w:pPr>
        <w:bidi/>
        <w:spacing w:after="110" w:line="300"/>
        <w:jc w:val="both"/>
      </w:pP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وتنبيهك إلى هذا من نفسك — ولم تُسأل عنه — يُحسب لك. </w:t>
      </w:r>
      <w:r>
        <w:rPr>
          <w:rFonts w:ascii="Segoe UI" w:cs="Segoe UI" w:eastAsia="Segoe UI" w:hAnsi="Segoe UI"/>
          <w:sz w:val="21"/>
          <w:szCs w:val="21"/>
          <w:rtl/>
        </w:rPr>
        <w:t xml:space="preserve">ولا يصدر أساسٌ معتمد من أرقامٍ تُقاس والشجرة متحركة (م ١٠٨).</w:t>
      </w:r>
    </w:p>
    <w:p>
      <w:pPr>
        <w:pBdr>
          <w:top w:val="single" w:color="1F3864" w:sz="8"/>
        </w:pBdr>
        <w:spacing w:before="380"/>
      </w:pPr>
    </w:p>
    <w:p>
      <w:pPr>
        <w:bidi/>
        <w:spacing w:after="0" w:line="300"/>
        <w:jc w:val="both"/>
      </w:pPr>
      <w:r>
        <w:rPr>
          <w:rFonts w:ascii="Segoe UI" w:cs="Segoe UI" w:eastAsia="Segoe UI" w:hAnsi="Segoe UI"/>
          <w:b/>
          <w:bCs/>
          <w:color w:val="2E6B36"/>
          <w:sz w:val="21"/>
          <w:szCs w:val="21"/>
          <w:rtl/>
        </w:rPr>
        <w:t xml:space="preserve">وأثني على ثلاثة: </w:t>
      </w:r>
      <w:r>
        <w:rPr>
          <w:rFonts w:ascii="Segoe UI" w:cs="Segoe UI" w:eastAsia="Segoe UI" w:hAnsi="Segoe UI"/>
          <w:sz w:val="21"/>
          <w:szCs w:val="21"/>
          <w:rtl/>
        </w:rPr>
        <w:t xml:space="preserve">وقوفك عند البوابة بدل تجاوزها · ورفضك رقمًا بلا مقام وقد كتبتُه أنا بلا مقام · وتنبيهك إلى تحرّك الشجرة من نفسك ولم تُسأل. </w:t>
      </w: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ثلاثتها تصحيحٌ لي لا لك — واستمرّ عليه.</w:t>
      </w:r>
    </w:p>
    <w:sectPr>
      <w:headerReference w:type="default" r:id="rId7"/>
      <w:footerReference w:type="default" r:id="rId8"/>
      <w:pgSz w:w="11906" w:h="16838" w:orient="portrait"/>
      <w:pgMar w:top="1050" w:right="950" w:bottom="10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Segoe UI" w:cs="Segoe UI" w:eastAsia="Segoe UI" w:hAnsi="Segoe UI"/>
        <w:color w:val="44546A"/>
        <w:sz w:val="15"/>
        <w:szCs w:val="15"/>
      </w:rPr>
      <w:t xml:space="preserve">صفحة </w:t>
      <w:fldChar w:fldCharType="begin"/>
      <w:instrText xml:space="preserve">PAGE</w:instrText>
      <w:fldChar w:fldCharType="separate"/>
      <w:fldChar w:fldCharType="end"/>
      <w:t xml:space="preserve"> من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/>
      </w:pBdr>
      <w:bidi/>
      <w:jc w:val="right"/>
    </w:pPr>
    <w:r>
      <w:rPr>
        <w:rFonts w:ascii="Segoe UI" w:cs="Segoe UI" w:eastAsia="Segoe UI" w:hAnsi="Segoe UI"/>
        <w:color w:val="44546A"/>
        <w:sz w:val="15"/>
        <w:szCs w:val="15"/>
        <w:rtl/>
      </w:rPr>
      <w:t xml:space="preserve">AMD-01 · وثيقة تعديل على الحزمة الشاملة — إكوبيشن · نظام إنجاز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start"/>
      <w:pPr>
        <w:ind w:star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300"/>
      <w:jc w:val="right"/>
    </w:pPr>
    <w:rPr>
      <w:rFonts w:ascii="Segoe UI" w:cs="Segoe UI" w:eastAsia="Segoe UI" w:hAnsi="Segoe UI"/>
      <w:b/>
      <w:bCs/>
      <w:color w:val="1F3864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10" w:before="220"/>
      <w:jc w:val="right"/>
    </w:pPr>
    <w:rPr>
      <w:rFonts w:ascii="Segoe UI" w:cs="Segoe UI" w:eastAsia="Segoe UI" w:hAnsi="Segoe U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AMD-01 — وثيقة تعديل على الحزمة الشاملة</dc:title>
  <dc:creator>مالك إكوبيشن</dc:creator>
  <cp:lastModifiedBy>Un-named</cp:lastModifiedBy>
  <cp:revision>1</cp:revision>
  <dcterms:created xsi:type="dcterms:W3CDTF">2026-08-29T07:24:33.331Z</dcterms:created>
  <dcterms:modified xsi:type="dcterms:W3CDTF">2026-08-29T07:24:33.343Z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