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0" w:before="1300"/>
        <w:jc w:val="center"/>
      </w:pPr>
      <w:r>
        <w:rPr>
          <w:rFonts w:ascii="Segoe UI" w:cs="Segoe UI" w:eastAsia="Segoe UI" w:hAnsi="Segoe UI"/>
          <w:b/>
          <w:bCs/>
          <w:color w:val="C00000"/>
          <w:sz w:val="24"/>
          <w:szCs w:val="24"/>
          <w:rtl/>
        </w:rPr>
        <w:t xml:space="preserve">أمر تنفيذي — النسخة ٢٫٣</w:t>
      </w:r>
    </w:p>
    <w:p>
      <w:pPr>
        <w:bidi/>
        <w:spacing w:after="60"/>
        <w:jc w:val="center"/>
      </w:pPr>
      <w:r>
        <w:rPr>
          <w:rFonts w:ascii="Segoe UI" w:cs="Segoe UI" w:eastAsia="Segoe UI" w:hAnsi="Segoe UI"/>
          <w:b/>
          <w:bCs/>
          <w:color w:val="1F3864"/>
          <w:sz w:val="56"/>
          <w:szCs w:val="56"/>
        </w:rPr>
        <w:t xml:space="preserve">RPR-02</w:t>
      </w:r>
    </w:p>
    <w:p>
      <w:pPr>
        <w:bidi/>
        <w:spacing w:after="200"/>
        <w:jc w:val="center"/>
      </w:pPr>
      <w:r>
        <w:rPr>
          <w:rFonts w:ascii="Segoe UI" w:cs="Segoe UI" w:eastAsia="Segoe UI" w:hAnsi="Segoe UI"/>
          <w:b/>
          <w:bCs/>
          <w:color w:val="1F3864"/>
          <w:sz w:val="30"/>
          <w:szCs w:val="30"/>
          <w:rtl/>
        </w:rPr>
        <w:t xml:space="preserve">إغلاق مطابقة الدليل المعماري للسايدبار والشاشات</w:t>
      </w:r>
    </w:p>
    <w:p>
      <w:pPr>
        <w:bidi/>
        <w:spacing w:after="560"/>
        <w:jc w:val="center"/>
      </w:pPr>
      <w:r>
        <w:rPr>
          <w:rFonts w:ascii="Segoe UI" w:cs="Segoe UI" w:eastAsia="Segoe UI" w:hAnsi="Segoe UI"/>
          <w:color w:val="44546A"/>
          <w:sz w:val="23"/>
          <w:szCs w:val="23"/>
          <w:rtl/>
        </w:rPr>
        <w:t xml:space="preserve">المقام على رموز النطاق والملكية المعيارية · والحكم على المعرّفات · والقياس على لقطة مجمَّدة</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300"/>
        <w:gridCol w:w="5700"/>
      </w:tblGrid>
      <w:tr>
        <w:trPr>
          <w:tblHeader/>
        </w:trPr>
        <w:tc>
          <w:tcPr>
            <w:tcW w:type="dxa" w:w="23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البند</w:t>
            </w:r>
          </w:p>
        </w:tc>
        <w:tc>
          <w:tcPr>
            <w:tcW w:type="dxa" w:w="57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القيمة</w:t>
            </w:r>
          </w:p>
        </w:tc>
      </w:tr>
      <w:tr>
        <w:tc>
          <w:tcPr>
            <w:tcW w:type="dxa" w:w="23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نطاق هذا الأمر</w:t>
            </w:r>
          </w:p>
        </w:tc>
        <w:tc>
          <w:tcPr>
            <w:tcW w:type="dxa" w:w="5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مطابقة المعمارية والسايدبار والشاشات — ولا شيء غيرها</w:t>
            </w:r>
          </w:p>
        </w:tc>
      </w:tr>
      <w:tr>
        <w:tc>
          <w:tcPr>
            <w:tcW w:type="dxa" w:w="23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ما ليس من نطاقه</w:t>
            </w:r>
          </w:p>
        </w:tc>
        <w:tc>
          <w:tcPr>
            <w:tcW w:type="dxa" w:w="5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التكامل والإنفاذ والجاهزية التشغيلية — في RPR-03 المستقل</w:t>
            </w:r>
          </w:p>
        </w:tc>
      </w:tr>
      <w:tr>
        <w:tc>
          <w:tcPr>
            <w:tcW w:type="dxa" w:w="23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المرجع الحاكم</w:t>
            </w:r>
          </w:p>
        </w:tc>
        <w:tc>
          <w:tcPr>
            <w:tcW w:type="dxa" w:w="5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الحزمة الشاملة — اثنا عشر ملفًّا · سجل القرارات (١٢٥ قرارًا)</w:t>
            </w:r>
          </w:p>
        </w:tc>
      </w:tr>
      <w:tr>
        <w:tc>
          <w:tcPr>
            <w:tcW w:type="dxa" w:w="23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اللقطة المرجعية</w:t>
            </w:r>
          </w:p>
        </w:tc>
        <w:tc>
          <w:tcPr>
            <w:tcW w:type="dxa" w:w="5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BL-20260828-b5a2cc7f · السجل الرسمي repair01_screen_registry</w:t>
            </w:r>
          </w:p>
        </w:tc>
      </w:tr>
      <w:tr>
        <w:tc>
          <w:tcPr>
            <w:tcW w:type="dxa" w:w="23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ما أُغلق في ٢٫٣</w:t>
            </w:r>
          </w:p>
        </w:tc>
        <w:tc>
          <w:tcPr>
            <w:tcW w:type="dxa" w:w="5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رموز النطاق والملكية · وتبرير المنصّة · وانطباق جسر الدورة · وتدرّج التحقّق البشري · وحارس الحكمين المُخرجَين · وقاعدة مسارات المكتبات · وإعادة إصدار القسم الثالث</w:t>
            </w:r>
          </w:p>
        </w:tc>
      </w:tr>
      <w:tr>
        <w:tc>
          <w:tcPr>
            <w:tcW w:type="dxa" w:w="23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الحالة</w:t>
            </w:r>
          </w:p>
        </w:tc>
        <w:tc>
          <w:tcPr>
            <w:tcW w:type="dxa" w:w="5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نهائي ومعتمد للتنفيذ — ولا يُعاد فتحه إلا بدليل قياس جديد أو قرار مالك موثَّق · ويُعاد إصدار القسم الثالث إلزاميًّا بعد مصالحة المعرّفات</w:t>
            </w:r>
          </w:p>
        </w:tc>
      </w:tr>
    </w:tbl>
    <w:p>
      <w:r>
        <w:br w:type="page"/>
      </w:r>
    </w:p>
    <w:p>
      <w:pPr>
        <w:pStyle w:val="Heading1"/>
        <w:bidi/>
        <w:spacing w:after="140" w:before="320"/>
        <w:jc w:val="right"/>
      </w:pPr>
      <w:r>
        <w:rPr>
          <w:rFonts w:ascii="Segoe UI" w:cs="Segoe UI" w:eastAsia="Segoe UI" w:hAnsi="Segoe UI"/>
          <w:b/>
          <w:bCs/>
          <w:color w:val="1F3864"/>
          <w:sz w:val="30"/>
          <w:szCs w:val="30"/>
          <w:rtl/>
        </w:rPr>
        <w:t xml:space="preserve">المحتويات</w:t>
      </w:r>
    </w:p>
    <w:sdt>
      <w:sdtPr>
        <w:alias w:val="المحتويات"/>
      </w:sdtPr>
      <w:sdtContent>
        <w:p>
          <w:r>
            <w:fldChar w:fldCharType="begin" w:dirty="true"/>
            <w:instrText xml:space="preserve">TOC \h \o "1-2"</w:instrText>
            <w:fldChar w:fldCharType="separate"/>
          </w:r>
        </w:p>
        <w:p>
          <w:r>
            <w:fldChar w:fldCharType="end"/>
          </w:r>
        </w:p>
      </w:sdtContent>
    </w:sdt>
    <w:p>
      <w:r>
        <w:br w:type="page"/>
      </w:r>
    </w:p>
    <w:p>
      <w:pPr>
        <w:pStyle w:val="Heading1"/>
        <w:bidi/>
        <w:spacing w:after="140" w:before="320"/>
        <w:jc w:val="right"/>
      </w:pPr>
      <w:r>
        <w:rPr>
          <w:rFonts w:ascii="Segoe UI" w:cs="Segoe UI" w:eastAsia="Segoe UI" w:hAnsi="Segoe UI"/>
          <w:b/>
          <w:bCs/>
          <w:color w:val="1F3864"/>
          <w:sz w:val="30"/>
          <w:szCs w:val="30"/>
          <w:rtl/>
        </w:rPr>
        <w:t xml:space="preserve">١ · ما صُحِّح في هذه النسخة</w:t>
      </w:r>
    </w:p>
    <w:p>
      <w:pPr>
        <w:bidi/>
        <w:spacing w:after="120" w:line="300"/>
        <w:jc w:val="both"/>
      </w:pPr>
      <w:r>
        <w:rPr>
          <w:rFonts w:ascii="Segoe UI" w:cs="Segoe UI" w:eastAsia="Segoe UI" w:hAnsi="Segoe UI"/>
          <w:sz w:val="21"/>
          <w:szCs w:val="21"/>
          <w:rtl/>
        </w:rPr>
        <w:t xml:space="preserve">النسخة السابقة قاست على وحدات مدموجة من هيكل قديم — فجمعت المالية مع الخزينة، والرئيس مع نوابه، وسمّت البلاغات مركزًا. </w:t>
      </w:r>
      <w:r>
        <w:rPr>
          <w:rFonts w:ascii="Segoe UI" w:cs="Segoe UI" w:eastAsia="Segoe UI" w:hAnsi="Segoe UI"/>
          <w:b/>
          <w:bCs/>
          <w:sz w:val="21"/>
          <w:szCs w:val="21"/>
          <w:rtl/>
        </w:rPr>
        <w:t xml:space="preserve">وأعدتُ القياس على الرموز المعيارية الاثنين والعشرين، فتبيّن أن الجدول المدموج كان يكذب في الاتجاهين لا في اتجاه واحد:</w:t>
      </w:r>
    </w:p>
    <w:p>
      <w:pPr>
        <w:pStyle w:val="ListParagraph"/>
        <w:numPr>
          <w:ilvl w:val="0"/>
          <w:numId w:val="2"/>
        </w:numPr>
        <w:bidi/>
        <w:spacing w:after="90" w:line="300"/>
        <w:jc w:val="both"/>
      </w:pPr>
      <w:r>
        <w:rPr>
          <w:rFonts w:ascii="Segoe UI" w:cs="Segoe UI" w:eastAsia="Segoe UI" w:hAnsi="Segoe UI"/>
          <w:b/>
          <w:bCs/>
          <w:sz w:val="21"/>
          <w:szCs w:val="21"/>
          <w:rtl/>
        </w:rPr>
        <w:t xml:space="preserve">الخزينة ٩٤٫٤٪ والمالية ١٠٠٪ بفائض تسعة وستين — </w:t>
      </w:r>
      <w:r>
        <w:rPr>
          <w:rFonts w:ascii="Segoe UI" w:cs="Segoe UI" w:eastAsia="Segoe UI" w:hAnsi="Segoe UI"/>
          <w:sz w:val="21"/>
          <w:szCs w:val="21"/>
          <w:rtl/>
        </w:rPr>
        <w:t xml:space="preserve">والصف المدموج كان يقول ٧٤٫٤٪ لكليهما: فيُظهر الخزينة أسوأ مما هي، ويُخفي أن المالية غارقة في فائض لا في نقص.</w:t>
      </w:r>
    </w:p>
    <w:p>
      <w:pPr>
        <w:pStyle w:val="ListParagraph"/>
        <w:numPr>
          <w:ilvl w:val="0"/>
          <w:numId w:val="2"/>
        </w:numPr>
        <w:bidi/>
        <w:spacing w:after="90" w:line="300"/>
        <w:jc w:val="both"/>
      </w:pPr>
      <w:r>
        <w:rPr>
          <w:rFonts w:ascii="Segoe UI" w:cs="Segoe UI" w:eastAsia="Segoe UI" w:hAnsi="Segoe UI"/>
          <w:b/>
          <w:bCs/>
          <w:sz w:val="21"/>
          <w:szCs w:val="21"/>
          <w:rtl/>
        </w:rPr>
        <w:t xml:space="preserve">النواب ٨٫٣٪ — </w:t>
      </w:r>
      <w:r>
        <w:rPr>
          <w:rFonts w:ascii="Segoe UI" w:cs="Segoe UI" w:eastAsia="Segoe UI" w:hAnsi="Segoe UI"/>
          <w:sz w:val="21"/>
          <w:szCs w:val="21"/>
          <w:rtl/>
        </w:rPr>
        <w:t xml:space="preserve">كانت مطموسة داخل «مكتب الرئيس والنواب» عند ٥٠٪، وهي أسوأ فجوة في النظام.</w:t>
      </w:r>
    </w:p>
    <w:p>
      <w:pPr>
        <w:pStyle w:val="ListParagraph"/>
        <w:numPr>
          <w:ilvl w:val="0"/>
          <w:numId w:val="2"/>
        </w:numPr>
        <w:bidi/>
        <w:spacing w:after="90" w:line="300"/>
        <w:jc w:val="both"/>
      </w:pPr>
      <w:r>
        <w:rPr>
          <w:rFonts w:ascii="Segoe UI" w:cs="Segoe UI" w:eastAsia="Segoe UI" w:hAnsi="Segoe UI"/>
          <w:b/>
          <w:bCs/>
          <w:sz w:val="21"/>
          <w:szCs w:val="21"/>
          <w:rtl/>
        </w:rPr>
        <w:t xml:space="preserve">البلاغات ١٠٠٪ لا ١٨٪ — </w:t>
      </w:r>
      <w:r>
        <w:rPr>
          <w:rFonts w:ascii="Segoe UI" w:cs="Segoe UI" w:eastAsia="Segoe UI" w:hAnsi="Segoe UI"/>
          <w:sz w:val="21"/>
          <w:szCs w:val="21"/>
          <w:rtl/>
        </w:rPr>
        <w:t xml:space="preserve">لأن السجل الرسمي الجديد يحمل أسماءها المعيارية، والقياس السابق كان على مصدر مبنيٍّ قديم.</w:t>
      </w:r>
    </w:p>
    <w:p>
      <w:pPr>
        <w:bidi/>
        <w:spacing w:after="120" w:line="300"/>
        <w:jc w:val="both"/>
      </w:pPr>
      <w:r>
        <w:rPr>
          <w:rFonts w:ascii="Segoe UI" w:cs="Segoe UI" w:eastAsia="Segoe UI" w:hAnsi="Segoe UI"/>
          <w:sz w:val="21"/>
          <w:szCs w:val="21"/>
          <w:rtl/>
        </w:rPr>
        <w:t xml:space="preserve">واعترافٌ لازم: صار عندي ثلاثة أرقام لا اثنان — ٨٩٪ خطأً، و٥٩٫٤٪ من مصدرٍ مبنيٍّ قديم، و٨٢٫٦٪ من السجل الرسمي الحالي. </w:t>
      </w:r>
      <w:r>
        <w:rPr>
          <w:rFonts w:ascii="Segoe UI" w:cs="Segoe UI" w:eastAsia="Segoe UI" w:hAnsi="Segoe UI"/>
          <w:b/>
          <w:bCs/>
          <w:sz w:val="21"/>
          <w:szCs w:val="21"/>
          <w:rtl/>
        </w:rPr>
        <w:t xml:space="preserve">والفارق سببه أيَّ جانبٍ مبنيٍّ نقيس عليه لا أيَّ دالّةٍ نستعمل — وهذا وحده يُثبت أنه لا رقم قبل مصالحة المعرّفات.</w:t>
      </w:r>
    </w:p>
    <w:p>
      <w:pPr>
        <w:bidi/>
        <w:spacing w:after="120" w:line="300"/>
        <w:jc w:val="both"/>
      </w:pPr>
      <w:r>
        <w:rPr>
          <w:rFonts w:ascii="Segoe UI" w:cs="Segoe UI" w:eastAsia="Segoe UI" w:hAnsi="Segoe UI"/>
          <w:b/>
          <w:bCs/>
          <w:sz w:val="21"/>
          <w:szCs w:val="21"/>
          <w:rtl/>
        </w:rPr>
        <w:t xml:space="preserve">وصُحِّح كذلك معيار الهجرات: </w:t>
      </w:r>
      <w:r>
        <w:rPr>
          <w:rFonts w:ascii="Segoe UI" w:cs="Segoe UI" w:eastAsia="Segoe UI" w:hAnsi="Segoe UI"/>
          <w:sz w:val="21"/>
          <w:szCs w:val="21"/>
          <w:rtl/>
        </w:rPr>
        <w:t xml:space="preserve">كان «هجرة جديدة خارج الدفتر = صفر» فيسمح لثمانٍ وخمسين قديمة أن تبقى خارجه إلى الأبد. وصار «إجمالي الهجرات غير المصالَحة = صفر».</w:t>
      </w:r>
    </w:p>
    <w:p>
      <w:pPr>
        <w:bidi/>
        <w:spacing w:after="120" w:line="300"/>
        <w:jc w:val="both"/>
      </w:pPr>
      <w:r>
        <w:rPr>
          <w:rFonts w:ascii="Segoe UI" w:cs="Segoe UI" w:eastAsia="Segoe UI" w:hAnsi="Segoe UI"/>
          <w:b/>
          <w:bCs/>
          <w:sz w:val="21"/>
          <w:szCs w:val="21"/>
          <w:rtl/>
        </w:rPr>
        <w:t xml:space="preserve">وأُدخلت سبع إضافات: </w:t>
      </w:r>
      <w:r>
        <w:rPr>
          <w:rFonts w:ascii="Segoe UI" w:cs="Segoe UI" w:eastAsia="Segoe UI" w:hAnsi="Segoe UI"/>
          <w:sz w:val="21"/>
          <w:szCs w:val="21"/>
          <w:rtl/>
        </w:rPr>
        <w:t xml:space="preserve">تعريف رياضي لكل حكم · وجسر الشاشة بدورة العمل · ومرجع مصدر لكل إسقاط لا للحرج فقط · وتمييز التحقّق البشري عن الرحلة الكاملة · ورفع إعفاء الإسقاطات الحساسة · وتأجيل ترتيب الأولوية إلى ما بعد المصالحة · وشاهد لكل حكم في سجل المراجعة.</w:t>
      </w:r>
    </w:p>
    <w:p>
      <w:r>
        <w:br w:type="page"/>
      </w:r>
    </w:p>
    <w:p>
      <w:pPr>
        <w:pStyle w:val="Heading1"/>
        <w:bidi/>
        <w:spacing w:after="140" w:before="320"/>
        <w:jc w:val="right"/>
      </w:pPr>
      <w:r>
        <w:rPr>
          <w:rFonts w:ascii="Segoe UI" w:cs="Segoe UI" w:eastAsia="Segoe UI" w:hAnsi="Segoe UI"/>
          <w:b/>
          <w:bCs/>
          <w:color w:val="1F3864"/>
          <w:sz w:val="30"/>
          <w:szCs w:val="30"/>
          <w:rtl/>
        </w:rPr>
        <w:t xml:space="preserve">٢ · نطاق هذا الأمر — وما ليس منه</w:t>
      </w:r>
    </w:p>
    <w:p>
      <w:pPr>
        <w:bidi/>
        <w:spacing w:after="120" w:line="300"/>
        <w:jc w:val="both"/>
      </w:pPr>
      <w:r>
        <w:rPr>
          <w:rFonts w:ascii="Segoe UI" w:cs="Segoe UI" w:eastAsia="Segoe UI" w:hAnsi="Segoe UI"/>
          <w:sz w:val="21"/>
          <w:szCs w:val="21"/>
          <w:rtl/>
        </w:rPr>
        <w:t xml:space="preserve">هذا الأمر يغلق طبقة واحدة إغلاقًا كاملًا: مطابقة ما بُني لما صُمِّم. ولا يغلق التكامل ولا الإنفاذ ولا الجاهزية — </w:t>
      </w:r>
      <w:r>
        <w:rPr>
          <w:rFonts w:ascii="Segoe UI" w:cs="Segoe UI" w:eastAsia="Segoe UI" w:hAnsi="Segoe UI"/>
          <w:b/>
          <w:bCs/>
          <w:sz w:val="21"/>
          <w:szCs w:val="21"/>
          <w:rtl/>
        </w:rPr>
        <w:t xml:space="preserve">والفصل مقصود: خلط المهمّتين يجعل «مئة بالمئة» في إحداهما يُقرأ اكتمالًا للنظام كله، وهو ما يمنعه دستورنا.</w:t>
      </w:r>
    </w:p>
    <w:p>
      <w:pPr>
        <w:bidi/>
        <w:spacing w:after="120" w:line="300"/>
        <w:jc w:val="both"/>
      </w:pPr>
      <w:r>
        <w:rPr>
          <w:rFonts w:ascii="Segoe UI" w:cs="Segoe UI" w:eastAsia="Segoe UI" w:hAnsi="Segoe UI"/>
          <w:b/>
          <w:bCs/>
          <w:sz w:val="21"/>
          <w:szCs w:val="21"/>
          <w:rtl/>
        </w:rPr>
        <w:t xml:space="preserve">والحدّ الفاصل بينهما نصًّا: </w:t>
      </w:r>
      <w:r>
        <w:rPr>
          <w:rFonts w:ascii="Segoe UI" w:cs="Segoe UI" w:eastAsia="Segoe UI" w:hAnsi="Segoe UI"/>
          <w:sz w:val="21"/>
          <w:szCs w:val="21"/>
          <w:rtl/>
        </w:rPr>
        <w:t xml:space="preserve">هذا الأمر يُثبت صحة ارتباط الشاشة بالمحركات الحاكمة — أنها تستدعي الحارس الصحيح، وأن انتقالها مربوطٌ بمحرك الحالة، وأن خطّاف الحدث موجود، وأن مرجع مصدرها صحيح، وأن اختبارها السالب المحليّ يعمل. </w:t>
      </w:r>
      <w:r>
        <w:rPr>
          <w:rFonts w:ascii="Segoe UI" w:cs="Segoe UI" w:eastAsia="Segoe UI" w:hAnsi="Segoe UI"/>
          <w:b/>
          <w:bCs/>
          <w:sz w:val="21"/>
          <w:szCs w:val="21"/>
          <w:rtl/>
        </w:rPr>
        <w:t xml:space="preserve">ولا يُعدّ ذلك إثباتًا لفعالية المحرك المؤسسي نفسه — وذاك في RPR-03: أن قرار الصلاحية موحَّدٌ ونافذ · وأن الرابط المباشر لا يلتفّ عليه · وأن الحدث يبلغ مستهلكه فيُحدث أثره · وأن الرحلة العابرة تنجح.</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في RPR-02 — هذا الأمر</w:t>
            </w:r>
          </w:p>
        </w:tc>
        <w:tc>
          <w:tcPr>
            <w:tcW w:type="dxa" w:w="40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في RPR-03 — أمر مستقل</w:t>
            </w:r>
          </w:p>
        </w:tc>
      </w:tr>
      <w:tr>
        <w:tc>
          <w:tcPr>
            <w:tcW w:type="dxa" w:w="40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توحيد كون الأهداف ثم مصالحة المعرّفات</w:t>
            </w:r>
          </w:p>
        </w:tc>
        <w:tc>
          <w:tcPr>
            <w:tcW w:type="dxa" w:w="40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استهلاك أحداث الأعمال بعقود أثر فعّالة</w:t>
            </w:r>
          </w:p>
        </w:tc>
      </w:tr>
      <w:tr>
        <w:tc>
          <w:tcPr>
            <w:tcW w:type="dxa" w:w="40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ترتيب السايدبار على دورة العمل</w:t>
            </w:r>
          </w:p>
        </w:tc>
        <w:tc>
          <w:tcPr>
            <w:tcW w:type="dxa" w:w="40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صحة المستهلكين وتوقّف صرف العملة</w:t>
            </w:r>
          </w:p>
        </w:tc>
      </w:tr>
      <w:tr>
        <w:tc>
          <w:tcPr>
            <w:tcW w:type="dxa" w:w="40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ترتيب الحقول على الدورة المستندية</w:t>
            </w:r>
          </w:p>
        </w:tc>
        <w:tc>
          <w:tcPr>
            <w:tcW w:type="dxa" w:w="40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إنفاذ محرك الاعتماد بعد نافذة الظلّ</w:t>
            </w:r>
          </w:p>
        </w:tc>
      </w:tr>
      <w:tr>
        <w:tc>
          <w:tcPr>
            <w:tcW w:type="dxa" w:w="40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حكم كل حقل ومالكه ومرجع مصدره</w:t>
            </w:r>
          </w:p>
        </w:tc>
        <w:tc>
          <w:tcPr>
            <w:tcW w:type="dxa" w:w="40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محرك الصلاحيات المزدوج وقرّاؤه السبعة والثمانون</w:t>
            </w:r>
          </w:p>
        </w:tc>
      </w:tr>
      <w:tr>
        <w:tc>
          <w:tcPr>
            <w:tcW w:type="dxa" w:w="40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آلة الحالة والاختبار السالب المحليّ للشاشة</w:t>
            </w:r>
          </w:p>
        </w:tc>
        <w:tc>
          <w:tcPr>
            <w:tcW w:type="dxa" w:w="40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فعالية المحرك المؤسسي والرحلات العابرة</w:t>
            </w:r>
          </w:p>
        </w:tc>
      </w:tr>
      <w:tr>
        <w:tc>
          <w:tcPr>
            <w:tcW w:type="dxa" w:w="40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جسر الشاشة بدورة العمل</w:t>
            </w:r>
          </w:p>
        </w:tc>
        <w:tc>
          <w:tcPr>
            <w:tcW w:type="dxa" w:w="40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التثبيت والنسخ والاستعادة على المخطَّط الحالي</w:t>
            </w:r>
          </w:p>
        </w:tc>
      </w:tr>
      <w:tr>
        <w:tc>
          <w:tcPr>
            <w:tcW w:type="dxa" w:w="40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فرز الفائض وحكم كل سطح</w:t>
            </w:r>
          </w:p>
        </w:tc>
        <w:tc>
          <w:tcPr>
            <w:tcW w:type="dxa" w:w="40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الشاشات الذهبية والاستجابة وإتاحة الوصول</w:t>
            </w:r>
          </w:p>
        </w:tc>
      </w:tr>
      <w:tr>
        <w:tc>
          <w:tcPr>
            <w:tcW w:type="dxa" w:w="40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دفتر الهجرات — بوابةً وتسويةً</w:t>
            </w:r>
          </w:p>
        </w:tc>
        <w:tc>
          <w:tcPr>
            <w:tcW w:type="dxa" w:w="40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التسويات الصامتة والإصدار</w:t>
            </w:r>
          </w:p>
        </w:tc>
      </w:tr>
    </w:tbl>
    <w:p>
      <w:pPr>
        <w:pStyle w:val="Heading1"/>
        <w:bidi/>
        <w:spacing w:after="140" w:before="320"/>
        <w:jc w:val="right"/>
      </w:pPr>
      <w:r>
        <w:rPr>
          <w:rFonts w:ascii="Segoe UI" w:cs="Segoe UI" w:eastAsia="Segoe UI" w:hAnsi="Segoe UI"/>
          <w:b/>
          <w:bCs/>
          <w:color w:val="1F3864"/>
          <w:sz w:val="30"/>
          <w:szCs w:val="30"/>
          <w:rtl/>
        </w:rPr>
        <w:t xml:space="preserve">٣ · المقام على رموز النطاق والملكية المعيارية</w:t>
      </w:r>
    </w:p>
    <w:p>
      <w:pPr>
        <w:bidi/>
        <w:spacing w:after="120" w:line="300"/>
        <w:jc w:val="both"/>
      </w:pPr>
      <w:r>
        <w:rPr>
          <w:rFonts w:ascii="Segoe UI" w:cs="Segoe UI" w:eastAsia="Segoe UI" w:hAnsi="Segoe UI"/>
          <w:sz w:val="21"/>
          <w:szCs w:val="21"/>
          <w:rtl/>
        </w:rPr>
        <w:t xml:space="preserve">اثنان وعشرون رمزًا: سبع عشرة إدارة (DEP-01..17) وأربعة خارج التعداد (EX-CEO · EX-DVP · WS-MY · IAF) ورمز PLATFORM الذي يستحق تبريرًا لا حسمًا. </w:t>
      </w:r>
      <w:r>
        <w:rPr>
          <w:rFonts w:ascii="Segoe UI" w:cs="Segoe UI" w:eastAsia="Segoe UI" w:hAnsi="Segoe UI"/>
          <w:b/>
          <w:bCs/>
          <w:sz w:val="21"/>
          <w:szCs w:val="21"/>
          <w:rtl/>
        </w:rPr>
        <w:t xml:space="preserve">ولا دمج تاريخيّ في أي صف.</w:t>
      </w:r>
    </w:p>
    <w:tbl>
      <w:tblPr>
        <w:bidiVisual/>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700"/>
        <w:gridCol w:w="700"/>
        <w:gridCol w:w="700"/>
        <w:gridCol w:w="800"/>
        <w:gridCol w:w="800"/>
        <w:gridCol w:w="700"/>
      </w:tblGrid>
      <w:tr>
        <w:trPr>
          <w:tblHeader/>
        </w:trPr>
        <w:tc>
          <w:tcPr>
            <w:tcW w:type="dxa" w:w="26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الرمز والوحدة</w:t>
            </w:r>
          </w:p>
        </w:tc>
        <w:tc>
          <w:tcPr>
            <w:tcW w:type="dxa" w:w="8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مستهدف</w:t>
            </w:r>
          </w:p>
        </w:tc>
        <w:tc>
          <w:tcPr>
            <w:tcW w:type="dxa" w:w="7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مبنيّ</w:t>
            </w:r>
          </w:p>
        </w:tc>
        <w:tc>
          <w:tcPr>
            <w:tcW w:type="dxa" w:w="7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شبح</w:t>
            </w:r>
          </w:p>
        </w:tc>
        <w:tc>
          <w:tcPr>
            <w:tcW w:type="dxa" w:w="7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مغطًّى</w:t>
            </w:r>
          </w:p>
        </w:tc>
        <w:tc>
          <w:tcPr>
            <w:tcW w:type="dxa" w:w="8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w:t>
            </w:r>
          </w:p>
        </w:tc>
        <w:tc>
          <w:tcPr>
            <w:tcW w:type="dxa" w:w="8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غير مبنيّ</w:t>
            </w:r>
          </w:p>
        </w:tc>
        <w:tc>
          <w:tcPr>
            <w:tcW w:type="dxa" w:w="7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فائض</w:t>
            </w:r>
          </w:p>
        </w:tc>
      </w:tr>
      <w:tr>
        <w:tc>
          <w:tcPr>
            <w:tcW w:type="dxa" w:w="2600"/>
            <w:shd w:fill="FFF2CC"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PLATFORM · رمز منصّي مشترك يحتاج تبريرًا</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12</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0</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0</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0٪</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0</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12</w:t>
            </w:r>
          </w:p>
        </w:tc>
      </w:tr>
      <w:tr>
        <w:tc>
          <w:tcPr>
            <w:tcW w:type="dxa" w:w="2600"/>
            <w:shd w:fill="FFF2CC"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EX-DVP · نواب الرئيس</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12</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0</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8.3٪</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11</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0</w:t>
            </w:r>
          </w:p>
        </w:tc>
      </w:tr>
      <w:tr>
        <w:tc>
          <w:tcPr>
            <w:tcW w:type="dxa" w:w="2600"/>
            <w:shd w:fill="FFF2CC"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DEP-12 · إدارة الموقع</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19</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9</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9</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7</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36.8٪</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12</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w:t>
            </w:r>
          </w:p>
        </w:tc>
      </w:tr>
      <w:tr>
        <w:tc>
          <w:tcPr>
            <w:tcW w:type="dxa" w:w="2600"/>
            <w:shd w:fill="FFF2CC"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DEP-02 · إدارة الموردين</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37</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23</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4</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22</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59.5٪</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15</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w:t>
            </w:r>
          </w:p>
        </w:tc>
      </w:tr>
      <w:tr>
        <w:tc>
          <w:tcPr>
            <w:tcW w:type="dxa" w:w="2600"/>
            <w:shd w:fill="FFF2CC"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DEP-17 · إدارة المخازن</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18</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13</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0</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11</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61.1٪</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7</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w:t>
            </w:r>
          </w:p>
        </w:tc>
      </w:tr>
      <w:tr>
        <w:tc>
          <w:tcPr>
            <w:tcW w:type="dxa" w:w="2600"/>
            <w:shd w:fill="FFF2CC"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DEP-04 · إدارة الأسطول والأصول</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42</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37</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11</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29</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69٪</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13</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8</w:t>
            </w:r>
          </w:p>
        </w:tc>
      </w:tr>
      <w:tr>
        <w:tc>
          <w:tcPr>
            <w:tcW w:type="dxa" w:w="2600"/>
            <w:shd w:fill="FFF2CC"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DEP-14 · إدارة الصيانة</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17</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15</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4</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12</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70.6٪</w:t>
            </w:r>
          </w:p>
        </w:tc>
        <w:tc>
          <w:tcPr>
            <w:tcW w:type="dxa" w:w="8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5</w:t>
            </w:r>
          </w:p>
        </w:tc>
        <w:tc>
          <w:tcPr>
            <w:tcW w:type="dxa" w:w="700"/>
            <w:shd w:fill="FFF2CC"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3</w:t>
            </w:r>
          </w:p>
        </w:tc>
      </w:tr>
      <w:tr>
        <w:tc>
          <w:tcPr>
            <w:tcW w:type="dxa" w:w="2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DEP-11 · إدارة التشغيل</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12</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19</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10</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10</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83.3٪</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9</w:t>
            </w:r>
          </w:p>
        </w:tc>
      </w:tr>
      <w:tr>
        <w:tc>
          <w:tcPr>
            <w:tcW w:type="dxa" w:w="26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DEP-09 · إدارة المخاطر</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13</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25</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5</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11</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84.6٪</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14</w:t>
            </w:r>
          </w:p>
        </w:tc>
      </w:tr>
      <w:tr>
        <w:tc>
          <w:tcPr>
            <w:tcW w:type="dxa" w:w="2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DEP-07 · إدارة الموارد البشرية</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24</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35</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8</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21</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87.5٪</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3</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14</w:t>
            </w:r>
          </w:p>
        </w:tc>
      </w:tr>
      <w:tr>
        <w:tc>
          <w:tcPr>
            <w:tcW w:type="dxa" w:w="26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DEP-15 · إدارة النقل والترحيل</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13</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20</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12</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92.3٪</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8</w:t>
            </w:r>
          </w:p>
        </w:tc>
      </w:tr>
      <w:tr>
        <w:tc>
          <w:tcPr>
            <w:tcW w:type="dxa" w:w="2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DEP-16 · إدارة المشتريات</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16</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25</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3</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15</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93.8٪</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10</w:t>
            </w:r>
          </w:p>
        </w:tc>
      </w:tr>
      <w:tr>
        <w:tc>
          <w:tcPr>
            <w:tcW w:type="dxa" w:w="26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DEP-13 · إدارة القوى التشغيلية</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17</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21</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0</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16</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94.1٪</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5</w:t>
            </w:r>
          </w:p>
        </w:tc>
      </w:tr>
      <w:tr>
        <w:tc>
          <w:tcPr>
            <w:tcW w:type="dxa" w:w="2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DEP-06 · إدارة الخزينة</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18</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22</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9</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17</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94.4٪</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5</w:t>
            </w:r>
          </w:p>
        </w:tc>
      </w:tr>
      <w:tr>
        <w:tc>
          <w:tcPr>
            <w:tcW w:type="dxa" w:w="26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DEP-03 · إدارة التمويل والممولين</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28</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32</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7</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27</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96.4٪</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5</w:t>
            </w:r>
          </w:p>
        </w:tc>
      </w:tr>
      <w:tr>
        <w:tc>
          <w:tcPr>
            <w:tcW w:type="dxa" w:w="2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DEP-01 · إدارة المبيعات التعاقدية وال</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27</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45</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27</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100٪</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0</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18</w:t>
            </w:r>
          </w:p>
        </w:tc>
      </w:tr>
      <w:tr>
        <w:tc>
          <w:tcPr>
            <w:tcW w:type="dxa" w:w="26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DEP-05 · الإدارة المالية</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25</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94</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56</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25</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100٪</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0</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69</w:t>
            </w:r>
          </w:p>
        </w:tc>
      </w:tr>
      <w:tr>
        <w:tc>
          <w:tcPr>
            <w:tcW w:type="dxa" w:w="2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DEP-08 · الحوكمة والالتزام</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32</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72</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12</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32</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100٪</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0</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40</w:t>
            </w:r>
          </w:p>
        </w:tc>
      </w:tr>
      <w:tr>
        <w:tc>
          <w:tcPr>
            <w:tcW w:type="dxa" w:w="26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DEP-10 · إدارة البلاغات</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11</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28</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5</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11</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100٪</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0</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17</w:t>
            </w:r>
          </w:p>
        </w:tc>
      </w:tr>
      <w:tr>
        <w:tc>
          <w:tcPr>
            <w:tcW w:type="dxa" w:w="2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WS-MY · مساحة عملي</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7</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21</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0</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7</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100٪</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0</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14</w:t>
            </w:r>
          </w:p>
        </w:tc>
      </w:tr>
      <w:tr>
        <w:tc>
          <w:tcPr>
            <w:tcW w:type="dxa" w:w="26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IAF · المراجعة الداخلية المستقلة</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17</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21</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9</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17</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100٪</w:t>
            </w:r>
          </w:p>
        </w:tc>
        <w:tc>
          <w:tcPr>
            <w:tcW w:type="dxa" w:w="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0</w:t>
            </w:r>
          </w:p>
        </w:tc>
        <w:tc>
          <w:tcPr>
            <w:tcW w:type="dxa" w:w="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4</w:t>
            </w:r>
          </w:p>
        </w:tc>
      </w:tr>
      <w:tr>
        <w:tc>
          <w:tcPr>
            <w:tcW w:type="dxa" w:w="2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EX-CEO · الرئيس التنفيذي</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26</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33</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5</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26</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100٪</w:t>
            </w:r>
          </w:p>
        </w:tc>
        <w:tc>
          <w:tcPr>
            <w:tcW w:type="dxa" w:w="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0</w:t>
            </w:r>
          </w:p>
        </w:tc>
        <w:tc>
          <w:tcPr>
            <w:tcW w:type="dxa" w:w="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7</w:t>
            </w:r>
          </w:p>
        </w:tc>
      </w:tr>
      <w:tr>
        <w:tc>
          <w:tcPr>
            <w:tcW w:type="dxa" w:w="2600"/>
            <w:shd w:fill="FCE4D6"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الإجمالي</w:t>
            </w:r>
          </w:p>
        </w:tc>
        <w:tc>
          <w:tcPr>
            <w:tcW w:type="dxa" w:w="800"/>
            <w:shd w:fill="FCE4D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431</w:t>
            </w:r>
          </w:p>
        </w:tc>
        <w:tc>
          <w:tcPr>
            <w:tcW w:type="dxa" w:w="700"/>
            <w:shd w:fill="FCE4D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623</w:t>
            </w:r>
          </w:p>
        </w:tc>
        <w:tc>
          <w:tcPr>
            <w:tcW w:type="dxa" w:w="700"/>
            <w:shd w:fill="FCE4D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160</w:t>
            </w:r>
          </w:p>
        </w:tc>
        <w:tc>
          <w:tcPr>
            <w:tcW w:type="dxa" w:w="700"/>
            <w:shd w:fill="FCE4D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356</w:t>
            </w:r>
          </w:p>
        </w:tc>
        <w:tc>
          <w:tcPr>
            <w:tcW w:type="dxa" w:w="800"/>
            <w:shd w:fill="FCE4D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82.6٪</w:t>
            </w:r>
          </w:p>
        </w:tc>
        <w:tc>
          <w:tcPr>
            <w:tcW w:type="dxa" w:w="800"/>
            <w:shd w:fill="FCE4D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75</w:t>
            </w:r>
          </w:p>
        </w:tc>
        <w:tc>
          <w:tcPr>
            <w:tcW w:type="dxa" w:w="700"/>
            <w:shd w:fill="FCE4D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267</w:t>
            </w:r>
          </w:p>
        </w:tc>
      </w:tr>
    </w:tbl>
    <w:p>
      <w:pPr>
        <w:bidi/>
        <w:spacing w:after="120" w:line="300"/>
        <w:jc w:val="both"/>
      </w:pPr>
      <w:r>
        <w:rPr>
          <w:rFonts w:ascii="Segoe UI" w:cs="Segoe UI" w:eastAsia="Segoe UI" w:hAnsi="Segoe UI"/>
          <w:b/>
          <w:bCs/>
          <w:sz w:val="21"/>
          <w:szCs w:val="21"/>
          <w:rtl/>
        </w:rPr>
        <w:t xml:space="preserve">قراءة الجدول: </w:t>
      </w:r>
      <w:r>
        <w:rPr>
          <w:rFonts w:ascii="Segoe UI" w:cs="Segoe UI" w:eastAsia="Segoe UI" w:hAnsi="Segoe UI"/>
          <w:sz w:val="21"/>
          <w:szCs w:val="21"/>
          <w:rtl/>
        </w:rPr>
        <w:t xml:space="preserve">«مستهدف» من ملفاتنا · و«مبنيّ» As-Built من السجل الرسمي · و«شبح» هدفٌ في سجلهم لم يُبنَ · و«مغطًّى» هدفٌ لنا له مقابل مبنيّ · و«فائض» مبنيٌّ زائد على المغطَّى يحتاج حكمًا.</w:t>
      </w:r>
    </w:p>
    <w:p>
      <w:pPr>
        <w:bidi/>
        <w:spacing w:after="120" w:line="300"/>
        <w:jc w:val="both"/>
      </w:pPr>
      <w:r>
        <w:rPr>
          <w:rFonts w:ascii="Segoe UI" w:cs="Segoe UI" w:eastAsia="Segoe UI" w:hAnsi="Segoe UI"/>
          <w:b/>
          <w:bCs/>
          <w:color w:val="C00000"/>
          <w:sz w:val="21"/>
          <w:szCs w:val="21"/>
          <w:rtl/>
        </w:rPr>
        <w:t xml:space="preserve">تنبيه — ثلاثة قيود على هذا الرقم: </w:t>
      </w:r>
      <w:r>
        <w:rPr>
          <w:rFonts w:ascii="Segoe UI" w:cs="Segoe UI" w:eastAsia="Segoe UI" w:hAnsi="Segoe UI"/>
          <w:sz w:val="21"/>
          <w:szCs w:val="21"/>
          <w:rtl/>
        </w:rPr>
        <w:t xml:space="preserve">الأول أنه مطابقة اسمية لا مطابقة معرّفات فلا يُعتمد نهائيًّا · والثاني أن مستهدفنا ٤٣١ وأشباحهم ١٦٠ </w:t>
      </w:r>
      <w:r>
        <w:rPr>
          <w:rFonts w:ascii="Segoe UI" w:cs="Segoe UI" w:eastAsia="Segoe UI" w:hAnsi="Segoe UI"/>
          <w:b/>
          <w:bCs/>
          <w:sz w:val="21"/>
          <w:szCs w:val="21"/>
          <w:rtl/>
        </w:rPr>
        <w:t xml:space="preserve">كونان مختلفان</w:t>
      </w:r>
      <w:r>
        <w:rPr>
          <w:rFonts w:ascii="Segoe UI" w:cs="Segoe UI" w:eastAsia="Segoe UI" w:hAnsi="Segoe UI"/>
          <w:sz w:val="21"/>
          <w:szCs w:val="21"/>
          <w:rtl/>
        </w:rPr>
        <w:t xml:space="preserve"> يجب توحيدهما في كون هدفٍ واحد قبل أي قياس وإلا صار عندنا قائمتا نقص · والثالث أن ملفَّي المكتبة محسوبان في الـ٦٢٣ فيُنقص المقام اثنين.</w:t>
      </w:r>
    </w:p>
    <w:p>
      <w:pPr>
        <w:bidi/>
        <w:spacing w:after="120" w:line="300"/>
        <w:jc w:val="both"/>
      </w:pPr>
      <w:r>
        <w:rPr>
          <w:rFonts w:ascii="Segoe UI" w:cs="Segoe UI" w:eastAsia="Segoe UI" w:hAnsi="Segoe UI"/>
          <w:b/>
          <w:bCs/>
          <w:color w:val="C00000"/>
          <w:sz w:val="21"/>
          <w:szCs w:val="21"/>
          <w:rtl/>
        </w:rPr>
        <w:t xml:space="preserve">ولذلك: يُعاد إصدار القسم الثالث إلزاميًّا بعد مصالحة المعرّفات — لا اختيارًا ولا انتظارًا لدليل جديد. </w:t>
      </w:r>
      <w:r>
        <w:rPr>
          <w:rFonts w:ascii="Segoe UI" w:cs="Segoe UI" w:eastAsia="Segoe UI" w:hAnsi="Segoe UI"/>
          <w:sz w:val="21"/>
          <w:szCs w:val="21"/>
          <w:rtl/>
        </w:rPr>
        <w:t xml:space="preserve">فهذا الجدول مؤقتٌ بتصميمه، والوثيقة نهائية من حيث الصياغة لا من حيث هذا الرقم. وإعادة الإصدار تحمل أربعة: المقام بالمعرّفات · وأعداد الأحكام السبعة · والمقياسين منفصلين · وعدد ما خرج من المقام بقرار وببديل.</w:t>
      </w:r>
    </w:p>
    <w:p>
      <w:r>
        <w:br w:type="page"/>
      </w:r>
    </w:p>
    <w:p>
      <w:pPr>
        <w:pStyle w:val="Heading1"/>
        <w:bidi/>
        <w:spacing w:after="140" w:before="320"/>
        <w:jc w:val="right"/>
      </w:pPr>
      <w:r>
        <w:rPr>
          <w:rFonts w:ascii="Segoe UI" w:cs="Segoe UI" w:eastAsia="Segoe UI" w:hAnsi="Segoe UI"/>
          <w:b/>
          <w:bCs/>
          <w:color w:val="1F3864"/>
          <w:sz w:val="30"/>
          <w:szCs w:val="30"/>
          <w:rtl/>
        </w:rPr>
        <w:t xml:space="preserve">٤ · المطلوب الأول — توحيد كون الأهداف ثم مصالحة المعرّفات</w:t>
      </w:r>
    </w:p>
    <w:p>
      <w:pPr>
        <w:pStyle w:val="Heading2"/>
        <w:bidi/>
        <w:spacing w:after="140" w:before="230"/>
        <w:jc w:val="right"/>
      </w:pPr>
      <w:r>
        <w:rPr>
          <w:rFonts w:ascii="Segoe UI" w:cs="Segoe UI" w:eastAsia="Segoe UI" w:hAnsi="Segoe UI"/>
          <w:b/>
          <w:bCs/>
          <w:color w:val="1F3864"/>
          <w:sz w:val="25"/>
          <w:szCs w:val="25"/>
          <w:rtl/>
        </w:rPr>
        <w:t xml:space="preserve">٤·١ توحيد الكون أولًا</w:t>
      </w:r>
    </w:p>
    <w:p>
      <w:pPr>
        <w:bidi/>
        <w:spacing w:after="120" w:line="300"/>
        <w:jc w:val="both"/>
      </w:pPr>
      <w:r>
        <w:rPr>
          <w:rFonts w:ascii="Segoe UI" w:cs="Segoe UI" w:eastAsia="Segoe UI" w:hAnsi="Segoe UI"/>
          <w:sz w:val="21"/>
          <w:szCs w:val="21"/>
          <w:rtl/>
        </w:rPr>
        <w:t xml:space="preserve">قبل أي حكم: ادمج مستهدفنا مع أشباح سجلكم في كونٍ واحد بمعرّف واحد لكل هدف. فالهدف الموجود في الاثنين هدفٌ واحد لا اثنان، والموجود في أحدهما فقط يُسمّى مصدره. ولا تُقاس تغطية على كونين.</w:t>
      </w:r>
    </w:p>
    <w:p>
      <w:pPr>
        <w:pStyle w:val="Heading2"/>
        <w:bidi/>
        <w:spacing w:after="140" w:before="230"/>
        <w:jc w:val="right"/>
      </w:pPr>
      <w:r>
        <w:rPr>
          <w:rFonts w:ascii="Segoe UI" w:cs="Segoe UI" w:eastAsia="Segoe UI" w:hAnsi="Segoe UI"/>
          <w:b/>
          <w:bCs/>
          <w:color w:val="1F3864"/>
          <w:sz w:val="25"/>
          <w:szCs w:val="25"/>
          <w:rtl/>
        </w:rPr>
        <w:t xml:space="preserve">٤·٢ حكم واحد لكل هدف — والمقام رياضيًّا</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700"/>
        <w:gridCol w:w="1700"/>
      </w:tblGrid>
      <w:tr>
        <w:trPr>
          <w:tblHeader/>
        </w:trPr>
        <w:tc>
          <w:tcPr>
            <w:tcW w:type="dxa" w:w="17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الحكم</w:t>
            </w:r>
          </w:p>
        </w:tc>
        <w:tc>
          <w:tcPr>
            <w:tcW w:type="dxa" w:w="29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متى</w:t>
            </w:r>
          </w:p>
        </w:tc>
        <w:tc>
          <w:tcPr>
            <w:tcW w:type="dxa" w:w="17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في المقام؟</w:t>
            </w:r>
          </w:p>
        </w:tc>
        <w:tc>
          <w:tcPr>
            <w:tcW w:type="dxa" w:w="17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يُحسب متحقِّقًا؟</w:t>
            </w:r>
          </w:p>
        </w:tc>
      </w:tr>
      <w:tr>
        <w:tc>
          <w:tcPr>
            <w:tcW w:type="dxa" w:w="17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مطابَق</w:t>
            </w:r>
          </w:p>
        </w:tc>
        <w:tc>
          <w:tcPr>
            <w:tcW w:type="dxa" w:w="29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له سطح مبنيّ بالحبّة والمالك نفسيهما</w:t>
            </w:r>
          </w:p>
        </w:tc>
        <w:tc>
          <w:tcPr>
            <w:tcW w:type="dxa" w:w="1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نعم</w:t>
            </w:r>
          </w:p>
        </w:tc>
        <w:tc>
          <w:tcPr>
            <w:tcW w:type="dxa" w:w="1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نعم</w:t>
            </w:r>
          </w:p>
        </w:tc>
      </w:tr>
      <w:tr>
        <w:tc>
          <w:tcPr>
            <w:tcW w:type="dxa" w:w="17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مدموج في غيره</w:t>
            </w:r>
          </w:p>
        </w:tc>
        <w:tc>
          <w:tcPr>
            <w:tcW w:type="dxa" w:w="29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محتواه داخل سطح مبنيّ آخر</w:t>
            </w:r>
          </w:p>
        </w:tc>
        <w:tc>
          <w:tcPr>
            <w:tcW w:type="dxa" w:w="1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نعم</w:t>
            </w:r>
          </w:p>
        </w:tc>
        <w:tc>
          <w:tcPr>
            <w:tcW w:type="dxa" w:w="1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نعم</w:t>
            </w:r>
          </w:p>
        </w:tc>
      </w:tr>
      <w:tr>
        <w:tc>
          <w:tcPr>
            <w:tcW w:type="dxa" w:w="17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تبويب</w:t>
            </w:r>
          </w:p>
        </w:tc>
        <w:tc>
          <w:tcPr>
            <w:tcW w:type="dxa" w:w="29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صار تبويبًا في شاشة أبيه</w:t>
            </w:r>
          </w:p>
        </w:tc>
        <w:tc>
          <w:tcPr>
            <w:tcW w:type="dxa" w:w="1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نعم</w:t>
            </w:r>
          </w:p>
        </w:tc>
        <w:tc>
          <w:tcPr>
            <w:tcW w:type="dxa" w:w="1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نعم</w:t>
            </w:r>
          </w:p>
        </w:tc>
      </w:tr>
      <w:tr>
        <w:tc>
          <w:tcPr>
            <w:tcW w:type="dxa" w:w="17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إسقاط</w:t>
            </w:r>
          </w:p>
        </w:tc>
        <w:tc>
          <w:tcPr>
            <w:tcW w:type="dxa" w:w="29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يُعرض قراءةً من مالك آخر</w:t>
            </w:r>
          </w:p>
        </w:tc>
        <w:tc>
          <w:tcPr>
            <w:tcW w:type="dxa" w:w="1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نعم</w:t>
            </w:r>
          </w:p>
        </w:tc>
        <w:tc>
          <w:tcPr>
            <w:tcW w:type="dxa" w:w="1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نعم</w:t>
            </w:r>
          </w:p>
        </w:tc>
      </w:tr>
      <w:tr>
        <w:tc>
          <w:tcPr>
            <w:tcW w:type="dxa" w:w="17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غير مبنيّ</w:t>
            </w:r>
          </w:p>
        </w:tc>
        <w:tc>
          <w:tcPr>
            <w:tcW w:type="dxa" w:w="29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لا مقابل له على القرص</w:t>
            </w:r>
          </w:p>
        </w:tc>
        <w:tc>
          <w:tcPr>
            <w:tcW w:type="dxa" w:w="1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نعم</w:t>
            </w:r>
          </w:p>
        </w:tc>
        <w:tc>
          <w:tcPr>
            <w:tcW w:type="dxa" w:w="1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لا</w:t>
            </w:r>
          </w:p>
        </w:tc>
      </w:tr>
      <w:tr>
        <w:tc>
          <w:tcPr>
            <w:tcW w:type="dxa" w:w="17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غير منطبق</w:t>
            </w:r>
          </w:p>
        </w:tc>
        <w:tc>
          <w:tcPr>
            <w:tcW w:type="dxa" w:w="29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بقرار مالك أو قاعدة انطباق معتمدة</w:t>
            </w:r>
          </w:p>
        </w:tc>
        <w:tc>
          <w:tcPr>
            <w:tcW w:type="dxa" w:w="1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يخرج بالقرار وحده</w:t>
            </w:r>
          </w:p>
        </w:tc>
        <w:tc>
          <w:tcPr>
            <w:tcW w:type="dxa" w:w="17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w:t>
            </w:r>
          </w:p>
        </w:tc>
      </w:tr>
      <w:tr>
        <w:tc>
          <w:tcPr>
            <w:tcW w:type="dxa" w:w="17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هدف متقاعد</w:t>
            </w:r>
          </w:p>
        </w:tc>
        <w:tc>
          <w:tcPr>
            <w:tcW w:type="dxa" w:w="29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استُبدل بتصميم أحدث موثَّق</w:t>
            </w:r>
          </w:p>
        </w:tc>
        <w:tc>
          <w:tcPr>
            <w:tcW w:type="dxa" w:w="1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يخرج بالبديل وحده</w:t>
            </w:r>
          </w:p>
        </w:tc>
        <w:tc>
          <w:tcPr>
            <w:tcW w:type="dxa" w:w="17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w:t>
            </w:r>
          </w:p>
        </w:tc>
      </w:tr>
    </w:tbl>
    <w:p>
      <w:pPr>
        <w:bidi/>
        <w:spacing w:after="120" w:line="300"/>
        <w:jc w:val="both"/>
      </w:pPr>
      <w:r>
        <w:rPr>
          <w:rFonts w:ascii="Segoe UI" w:cs="Segoe UI" w:eastAsia="Segoe UI" w:hAnsi="Segoe UI"/>
          <w:b/>
          <w:bCs/>
          <w:sz w:val="21"/>
          <w:szCs w:val="21"/>
          <w:rtl/>
        </w:rPr>
        <w:t xml:space="preserve">ومقياسان لا مقياس: </w:t>
      </w:r>
      <w:r>
        <w:rPr>
          <w:rFonts w:ascii="Segoe UI" w:cs="Segoe UI" w:eastAsia="Segoe UI" w:hAnsi="Segoe UI"/>
          <w:sz w:val="21"/>
          <w:szCs w:val="21"/>
          <w:rtl/>
        </w:rPr>
        <w:t xml:space="preserve">«إغلاق قرارات الأهداف» = كل هدف له حكم من السبعة، ومستهدفه ١٠٠٪ · و«تحقّق الأهداف» = المتحقِّق ÷ المنطبق. </w:t>
      </w:r>
      <w:r>
        <w:rPr>
          <w:rFonts w:ascii="Segoe UI" w:cs="Segoe UI" w:eastAsia="Segoe UI" w:hAnsi="Segoe UI"/>
          <w:b/>
          <w:bCs/>
          <w:sz w:val="21"/>
          <w:szCs w:val="21"/>
          <w:rtl/>
        </w:rPr>
        <w:t xml:space="preserve">فقد تكتمل القرارات مئة بالمئة ويبقى عشرون هدفًا حكمُها «غير مبنيّ» — قرارات مكتملة وبناءٌ ناقص، ولا تُخلط النسبتان.</w:t>
      </w:r>
    </w:p>
    <w:p>
      <w:pPr>
        <w:bidi/>
        <w:spacing w:after="120" w:line="300"/>
        <w:jc w:val="both"/>
      </w:pPr>
      <w:r>
        <w:rPr>
          <w:rFonts w:ascii="Segoe UI" w:cs="Segoe UI" w:eastAsia="Segoe UI" w:hAnsi="Segoe UI"/>
          <w:b/>
          <w:bCs/>
          <w:sz w:val="21"/>
          <w:szCs w:val="21"/>
          <w:rtl/>
        </w:rPr>
        <w:t xml:space="preserve">وسجل المراجعة يحمل لكل حكم شاهده: </w:t>
      </w:r>
      <w:r>
        <w:rPr>
          <w:rFonts w:ascii="Segoe UI" w:cs="Segoe UI" w:eastAsia="Segoe UI" w:hAnsi="Segoe UI"/>
          <w:sz w:val="21"/>
          <w:szCs w:val="21"/>
          <w:rtl/>
        </w:rPr>
        <w:t xml:space="preserve">مرجع الدليل · ومصدر القرار · ومعرّف اللقطة التي قيس عليها. فحكمٌ صحيحٌ بلا شاهد لا يُقبل.</w:t>
      </w:r>
    </w:p>
    <w:p>
      <w:pPr>
        <w:pStyle w:val="Heading2"/>
        <w:bidi/>
        <w:spacing w:after="140" w:before="230"/>
        <w:jc w:val="right"/>
      </w:pPr>
      <w:r>
        <w:rPr>
          <w:rFonts w:ascii="Segoe UI" w:cs="Segoe UI" w:eastAsia="Segoe UI" w:hAnsi="Segoe UI"/>
          <w:b/>
          <w:bCs/>
          <w:color w:val="1F3864"/>
          <w:sz w:val="25"/>
          <w:szCs w:val="25"/>
          <w:rtl/>
        </w:rPr>
        <w:t xml:space="preserve">٤·٣ حارس الحكمين المُخرجَين من المقام</w:t>
      </w:r>
    </w:p>
    <w:p>
      <w:pPr>
        <w:bidi/>
        <w:spacing w:after="120" w:line="300"/>
        <w:jc w:val="both"/>
      </w:pPr>
      <w:r>
        <w:rPr>
          <w:rFonts w:ascii="Segoe UI" w:cs="Segoe UI" w:eastAsia="Segoe UI" w:hAnsi="Segoe UI"/>
          <w:sz w:val="21"/>
          <w:szCs w:val="21"/>
          <w:rtl/>
        </w:rPr>
        <w:t xml:space="preserve">حكمان وحدهما يُخرجان الهدف من الحساب: «غير منطبق» و«هدف متقاعد». </w:t>
      </w:r>
      <w:r>
        <w:rPr>
          <w:rFonts w:ascii="Segoe UI" w:cs="Segoe UI" w:eastAsia="Segoe UI" w:hAnsi="Segoe UI"/>
          <w:b/>
          <w:bCs/>
          <w:sz w:val="21"/>
          <w:szCs w:val="21"/>
          <w:rtl/>
        </w:rPr>
        <w:t xml:space="preserve">ومن يملك إخراج هدفٍ من المقام يملك رفع النسبة بلا بناء سطرٍ واحد</w:t>
      </w:r>
      <w:r>
        <w:rPr>
          <w:rFonts w:ascii="Segoe UI" w:cs="Segoe UI" w:eastAsia="Segoe UI" w:hAnsi="Segoe UI"/>
          <w:sz w:val="21"/>
          <w:szCs w:val="21"/>
          <w:rtl/>
        </w:rPr>
        <w:t xml:space="preserve"> — وهي أقدم حيلة في هذا الباب. ولذلك حارسان لا واحد:</w:t>
      </w:r>
    </w:p>
    <w:p>
      <w:pPr>
        <w:pStyle w:val="ListParagraph"/>
        <w:numPr>
          <w:ilvl w:val="0"/>
          <w:numId w:val="2"/>
        </w:numPr>
        <w:bidi/>
        <w:spacing w:after="90" w:line="300"/>
        <w:jc w:val="both"/>
      </w:pPr>
      <w:r>
        <w:rPr>
          <w:rFonts w:ascii="Segoe UI" w:cs="Segoe UI" w:eastAsia="Segoe UI" w:hAnsi="Segoe UI"/>
          <w:b/>
          <w:bCs/>
          <w:sz w:val="21"/>
          <w:szCs w:val="21"/>
          <w:rtl/>
        </w:rPr>
        <w:t xml:space="preserve">الأول — لا يصدر أيٌّ منهما إلا بمرجع قرار مالك موثَّق بتاريخه: </w:t>
      </w:r>
      <w:r>
        <w:rPr>
          <w:rFonts w:ascii="Segoe UI" w:cs="Segoe UI" w:eastAsia="Segoe UI" w:hAnsi="Segoe UI"/>
          <w:sz w:val="21"/>
          <w:szCs w:val="21"/>
          <w:rtl/>
        </w:rPr>
        <w:t xml:space="preserve">ولا يكفي اجتهاد المنفِّذ ولا قاعدة ضمنية.</w:t>
      </w:r>
    </w:p>
    <w:p>
      <w:pPr>
        <w:pStyle w:val="ListParagraph"/>
        <w:numPr>
          <w:ilvl w:val="0"/>
          <w:numId w:val="2"/>
        </w:numPr>
        <w:bidi/>
        <w:spacing w:after="90" w:line="300"/>
        <w:jc w:val="both"/>
      </w:pPr>
      <w:r>
        <w:rPr>
          <w:rFonts w:ascii="Segoe UI" w:cs="Segoe UI" w:eastAsia="Segoe UI" w:hAnsi="Segoe UI"/>
          <w:b/>
          <w:bCs/>
          <w:sz w:val="21"/>
          <w:szCs w:val="21"/>
          <w:rtl/>
        </w:rPr>
        <w:t xml:space="preserve">الثاني — يُعرض عددهما منفصلًا في كل تقرير: </w:t>
      </w:r>
      <w:r>
        <w:rPr>
          <w:rFonts w:ascii="Segoe UI" w:cs="Segoe UI" w:eastAsia="Segoe UI" w:hAnsi="Segoe UI"/>
          <w:sz w:val="21"/>
          <w:szCs w:val="21"/>
          <w:rtl/>
        </w:rPr>
        <w:t xml:space="preserve">أهدافٌ منطبقة · وأهدافٌ خرجت بقرار · وأهدافٌ خرجت ببديل. </w:t>
      </w:r>
      <w:r>
        <w:rPr>
          <w:rFonts w:ascii="Segoe UI" w:cs="Segoe UI" w:eastAsia="Segoe UI" w:hAnsi="Segoe UI"/>
          <w:b/>
          <w:bCs/>
          <w:sz w:val="21"/>
          <w:szCs w:val="21"/>
          <w:rtl/>
        </w:rPr>
        <w:t xml:space="preserve">فيُرى انكماش المقام ولا يُخفى داخل نسبة.</w:t>
      </w:r>
    </w:p>
    <w:p>
      <w:pPr>
        <w:pStyle w:val="Heading2"/>
        <w:bidi/>
        <w:spacing w:after="140" w:before="230"/>
        <w:jc w:val="right"/>
      </w:pPr>
      <w:r>
        <w:rPr>
          <w:rFonts w:ascii="Segoe UI" w:cs="Segoe UI" w:eastAsia="Segoe UI" w:hAnsi="Segoe UI"/>
          <w:b/>
          <w:bCs/>
          <w:color w:val="1F3864"/>
          <w:sz w:val="25"/>
          <w:szCs w:val="25"/>
          <w:rtl/>
        </w:rPr>
        <w:t xml:space="preserve">٤·٤ معايير التبرير المنصّي — لإغلاق أسطح PLATFORM</w:t>
      </w:r>
    </w:p>
    <w:p>
      <w:pPr>
        <w:bidi/>
        <w:spacing w:after="120" w:line="300"/>
        <w:jc w:val="both"/>
      </w:pPr>
      <w:r>
        <w:rPr>
          <w:rFonts w:ascii="Segoe UI" w:cs="Segoe UI" w:eastAsia="Segoe UI" w:hAnsi="Segoe UI"/>
          <w:sz w:val="21"/>
          <w:szCs w:val="21"/>
          <w:rtl/>
        </w:rPr>
        <w:t xml:space="preserve">رمز PLATFORM ملكيةٌ مشروعة في دستورنا لا خطأٌ يُصفَّر — لكنه لا يُقبل بلا تبرير. </w:t>
      </w:r>
      <w:r>
        <w:rPr>
          <w:rFonts w:ascii="Segoe UI" w:cs="Segoe UI" w:eastAsia="Segoe UI" w:hAnsi="Segoe UI"/>
          <w:b/>
          <w:bCs/>
          <w:sz w:val="21"/>
          <w:szCs w:val="21"/>
          <w:rtl/>
        </w:rPr>
        <w:t xml:space="preserve">ويُقبل السطح منصّيًّا مشتركًا بأربعة معًا لا بواحد:</w:t>
      </w:r>
    </w:p>
    <w:p>
      <w:pPr>
        <w:pStyle w:val="ListParagraph"/>
        <w:numPr>
          <w:ilvl w:val="0"/>
          <w:numId w:val="2"/>
        </w:numPr>
        <w:bidi/>
        <w:spacing w:after="90" w:line="300"/>
        <w:jc w:val="both"/>
      </w:pPr>
      <w:r>
        <w:rPr>
          <w:rFonts w:ascii="Segoe UI" w:cs="Segoe UI" w:eastAsia="Segoe UI" w:hAnsi="Segoe UI"/>
          <w:sz w:val="21"/>
          <w:szCs w:val="21"/>
          <w:rtl/>
        </w:rPr>
        <w:t xml:space="preserve">يخدم ثلاث إدارات فأكثر خدمةً فعلية لا محتملة.</w:t>
      </w:r>
    </w:p>
    <w:p>
      <w:pPr>
        <w:pStyle w:val="ListParagraph"/>
        <w:numPr>
          <w:ilvl w:val="0"/>
          <w:numId w:val="2"/>
        </w:numPr>
        <w:bidi/>
        <w:spacing w:after="90" w:line="300"/>
        <w:jc w:val="both"/>
      </w:pPr>
      <w:r>
        <w:rPr>
          <w:rFonts w:ascii="Segoe UI" w:cs="Segoe UI" w:eastAsia="Segoe UI" w:hAnsi="Segoe UI"/>
          <w:sz w:val="21"/>
          <w:szCs w:val="21"/>
          <w:rtl/>
        </w:rPr>
        <w:t xml:space="preserve">لا يملك حقيقة أعمال — يعرض أو ينسّق ولا يكون مصدر حقيقة لكيان.</w:t>
      </w:r>
    </w:p>
    <w:p>
      <w:pPr>
        <w:pStyle w:val="ListParagraph"/>
        <w:numPr>
          <w:ilvl w:val="0"/>
          <w:numId w:val="2"/>
        </w:numPr>
        <w:bidi/>
        <w:spacing w:after="90" w:line="300"/>
        <w:jc w:val="both"/>
      </w:pPr>
      <w:r>
        <w:rPr>
          <w:rFonts w:ascii="Segoe UI" w:cs="Segoe UI" w:eastAsia="Segoe UI" w:hAnsi="Segoe UI"/>
          <w:sz w:val="21"/>
          <w:szCs w:val="21"/>
          <w:rtl/>
        </w:rPr>
        <w:t xml:space="preserve">له مالك تقني مسمّى شخصًا لا وحدةً مبهمة.</w:t>
      </w:r>
    </w:p>
    <w:p>
      <w:pPr>
        <w:pStyle w:val="ListParagraph"/>
        <w:numPr>
          <w:ilvl w:val="0"/>
          <w:numId w:val="2"/>
        </w:numPr>
        <w:bidi/>
        <w:spacing w:after="90" w:line="300"/>
        <w:jc w:val="both"/>
      </w:pPr>
      <w:r>
        <w:rPr>
          <w:rFonts w:ascii="Segoe UI" w:cs="Segoe UI" w:eastAsia="Segoe UI" w:hAnsi="Segoe UI"/>
          <w:sz w:val="21"/>
          <w:szCs w:val="21"/>
          <w:rtl/>
        </w:rPr>
        <w:t xml:space="preserve">مسجَّل في سجل المنصّة بمعرّفه وقاعدة ظهوره.</w:t>
      </w:r>
    </w:p>
    <w:p>
      <w:pPr>
        <w:bidi/>
        <w:spacing w:after="120" w:line="300"/>
        <w:jc w:val="both"/>
      </w:pPr>
      <w:r>
        <w:rPr>
          <w:rFonts w:ascii="Segoe UI" w:cs="Segoe UI" w:eastAsia="Segoe UI" w:hAnsi="Segoe UI"/>
          <w:b/>
          <w:bCs/>
          <w:sz w:val="21"/>
          <w:szCs w:val="21"/>
          <w:rtl/>
        </w:rPr>
        <w:t xml:space="preserve">وما لم يستوفِ الأربعة يعود إلى إدارته من السبع عشرة. </w:t>
      </w:r>
      <w:r>
        <w:rPr>
          <w:rFonts w:ascii="Segoe UI" w:cs="Segoe UI" w:eastAsia="Segoe UI" w:hAnsi="Segoe UI"/>
          <w:sz w:val="21"/>
          <w:szCs w:val="21"/>
          <w:rtl/>
        </w:rPr>
        <w:t xml:space="preserve">وكتابة كلمة «منصّي» في حقلٍ ليست تبريرًا.</w:t>
      </w:r>
    </w:p>
    <w:p>
      <w:pPr>
        <w:pStyle w:val="Heading1"/>
        <w:bidi/>
        <w:spacing w:after="140" w:before="320"/>
        <w:jc w:val="right"/>
      </w:pPr>
      <w:r>
        <w:rPr>
          <w:rFonts w:ascii="Segoe UI" w:cs="Segoe UI" w:eastAsia="Segoe UI" w:hAnsi="Segoe UI"/>
          <w:b/>
          <w:bCs/>
          <w:color w:val="1F3864"/>
          <w:sz w:val="30"/>
          <w:szCs w:val="30"/>
          <w:rtl/>
        </w:rPr>
        <w:t xml:space="preserve">٥ · المطلوب الثاني — المراجعة العكسية بخمسة عشر سؤالًا</w:t>
      </w:r>
    </w:p>
    <w:p>
      <w:pPr>
        <w:bidi/>
        <w:spacing w:after="120" w:line="300"/>
        <w:jc w:val="both"/>
      </w:pPr>
      <w:r>
        <w:rPr>
          <w:rFonts w:ascii="Segoe UI" w:cs="Segoe UI" w:eastAsia="Segoe UI" w:hAnsi="Segoe UI"/>
          <w:b/>
          <w:bCs/>
          <w:sz w:val="21"/>
          <w:szCs w:val="21"/>
          <w:rtl/>
        </w:rPr>
        <w:t xml:space="preserve">تبدأ من المبنيّ وتسأل هل يطابق المُصمَّم — لا من المصمَّم وتسأل هل بُني.</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50"/>
        <w:gridCol w:w="1750"/>
        <w:gridCol w:w="4200"/>
        <w:gridCol w:w="1500"/>
      </w:tblGrid>
      <w:tr>
        <w:trPr>
          <w:tblHeader/>
        </w:trPr>
        <w:tc>
          <w:tcPr>
            <w:tcW w:type="dxa" w:w="55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w:t>
            </w:r>
          </w:p>
        </w:tc>
        <w:tc>
          <w:tcPr>
            <w:tcW w:type="dxa" w:w="175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السؤال</w:t>
            </w:r>
          </w:p>
        </w:tc>
        <w:tc>
          <w:tcPr>
            <w:tcW w:type="dxa" w:w="42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ما يُفحص</w:t>
            </w:r>
          </w:p>
        </w:tc>
        <w:tc>
          <w:tcPr>
            <w:tcW w:type="dxa" w:w="15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الطبقة</w:t>
            </w:r>
          </w:p>
        </w:tc>
      </w:tr>
      <w:tr>
        <w:tc>
          <w:tcPr>
            <w:tcW w:type="dxa" w:w="55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w:t>
            </w:r>
          </w:p>
        </w:tc>
        <w:tc>
          <w:tcPr>
            <w:tcW w:type="dxa" w:w="175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الوجود</w:t>
            </w:r>
          </w:p>
        </w:tc>
        <w:tc>
          <w:tcPr>
            <w:tcW w:type="dxa" w:w="42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كل سطح في الملف موجود ومسجَّل بمعرّف رسمي؟</w:t>
            </w:r>
          </w:p>
        </w:tc>
        <w:tc>
          <w:tcPr>
            <w:tcW w:type="dxa" w:w="1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بنيوي</w:t>
            </w:r>
          </w:p>
        </w:tc>
      </w:tr>
      <w:tr>
        <w:tc>
          <w:tcPr>
            <w:tcW w:type="dxa" w:w="55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٢</w:t>
            </w:r>
          </w:p>
        </w:tc>
        <w:tc>
          <w:tcPr>
            <w:tcW w:type="dxa" w:w="175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الموضع</w:t>
            </w:r>
          </w:p>
        </w:tc>
        <w:tc>
          <w:tcPr>
            <w:tcW w:type="dxa" w:w="42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ترتيبه ومجموعته كما في الملف؟</w:t>
            </w:r>
          </w:p>
        </w:tc>
        <w:tc>
          <w:tcPr>
            <w:tcW w:type="dxa" w:w="1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بنيوي</w:t>
            </w:r>
          </w:p>
        </w:tc>
      </w:tr>
      <w:tr>
        <w:tc>
          <w:tcPr>
            <w:tcW w:type="dxa" w:w="55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٣</w:t>
            </w:r>
          </w:p>
        </w:tc>
        <w:tc>
          <w:tcPr>
            <w:tcW w:type="dxa" w:w="175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الحبّة</w:t>
            </w:r>
          </w:p>
        </w:tc>
        <w:tc>
          <w:tcPr>
            <w:tcW w:type="dxa" w:w="42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حبّة الشاشة كما نصّ الملف؟</w:t>
            </w:r>
          </w:p>
        </w:tc>
        <w:tc>
          <w:tcPr>
            <w:tcW w:type="dxa" w:w="1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بنيوي</w:t>
            </w:r>
          </w:p>
        </w:tc>
      </w:tr>
      <w:tr>
        <w:tc>
          <w:tcPr>
            <w:tcW w:type="dxa" w:w="55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٤</w:t>
            </w:r>
          </w:p>
        </w:tc>
        <w:tc>
          <w:tcPr>
            <w:tcW w:type="dxa" w:w="175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الدورة المستندية</w:t>
            </w:r>
          </w:p>
        </w:tc>
        <w:tc>
          <w:tcPr>
            <w:tcW w:type="dxa" w:w="42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ترتيب الحقول من المعرّف إلى التدقيق؟</w:t>
            </w:r>
          </w:p>
        </w:tc>
        <w:tc>
          <w:tcPr>
            <w:tcW w:type="dxa" w:w="1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بنيوي</w:t>
            </w:r>
          </w:p>
        </w:tc>
      </w:tr>
      <w:tr>
        <w:tc>
          <w:tcPr>
            <w:tcW w:type="dxa" w:w="55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٥</w:t>
            </w:r>
          </w:p>
        </w:tc>
        <w:tc>
          <w:tcPr>
            <w:tcW w:type="dxa" w:w="175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حكم الحقل</w:t>
            </w:r>
          </w:p>
        </w:tc>
        <w:tc>
          <w:tcPr>
            <w:tcW w:type="dxa" w:w="42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المشتق مشتق والمستورد للقراءة والمرجعي من بيته؟</w:t>
            </w:r>
          </w:p>
        </w:tc>
        <w:tc>
          <w:tcPr>
            <w:tcW w:type="dxa" w:w="1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بنيوي</w:t>
            </w:r>
          </w:p>
        </w:tc>
      </w:tr>
      <w:tr>
        <w:tc>
          <w:tcPr>
            <w:tcW w:type="dxa" w:w="55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٦</w:t>
            </w:r>
          </w:p>
        </w:tc>
        <w:tc>
          <w:tcPr>
            <w:tcW w:type="dxa" w:w="175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الملكية ومرجع المصدر</w:t>
            </w:r>
          </w:p>
        </w:tc>
        <w:tc>
          <w:tcPr>
            <w:tcW w:type="dxa" w:w="42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لا يكتب في حقيقة غيره · وكل إسقاط يحمل كيان مصدره وإدارته وخدمته ومفتاح ربطه</w:t>
            </w:r>
          </w:p>
        </w:tc>
        <w:tc>
          <w:tcPr>
            <w:tcW w:type="dxa" w:w="1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بنيوي</w:t>
            </w:r>
          </w:p>
        </w:tc>
      </w:tr>
      <w:tr>
        <w:tc>
          <w:tcPr>
            <w:tcW w:type="dxa" w:w="55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٧</w:t>
            </w:r>
          </w:p>
        </w:tc>
        <w:tc>
          <w:tcPr>
            <w:tcW w:type="dxa" w:w="175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السابق واللاحق</w:t>
            </w:r>
          </w:p>
        </w:tc>
        <w:tc>
          <w:tcPr>
            <w:tcW w:type="dxa" w:w="42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موضعه في السلسلة كما في الملف؟</w:t>
            </w:r>
          </w:p>
        </w:tc>
        <w:tc>
          <w:tcPr>
            <w:tcW w:type="dxa" w:w="1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بنيوي</w:t>
            </w:r>
          </w:p>
        </w:tc>
      </w:tr>
      <w:tr>
        <w:tc>
          <w:tcPr>
            <w:tcW w:type="dxa" w:w="550"/>
            <w:shd w:fill="FFF7E6"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٨</w:t>
            </w:r>
          </w:p>
        </w:tc>
        <w:tc>
          <w:tcPr>
            <w:tcW w:type="dxa" w:w="175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الصلاحية</w:t>
            </w:r>
          </w:p>
        </w:tc>
        <w:tc>
          <w:tcPr>
            <w:tcW w:type="dxa" w:w="420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العرض والإنشاء والتعديل والاعتماد والإغلاق والتصدير محروسة من الخادم؟</w:t>
            </w:r>
          </w:p>
        </w:tc>
        <w:tc>
          <w:tcPr>
            <w:tcW w:type="dxa" w:w="150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إنفاذ</w:t>
            </w:r>
          </w:p>
        </w:tc>
      </w:tr>
      <w:tr>
        <w:tc>
          <w:tcPr>
            <w:tcW w:type="dxa" w:w="550"/>
            <w:shd w:fill="FFF7E6"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٩</w:t>
            </w:r>
          </w:p>
        </w:tc>
        <w:tc>
          <w:tcPr>
            <w:tcW w:type="dxa" w:w="175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آلة الحالة</w:t>
            </w:r>
          </w:p>
        </w:tc>
        <w:tc>
          <w:tcPr>
            <w:tcW w:type="dxa" w:w="420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كل انتقال مسموح مسموح وكل ممنوع ممنوع فعلًا؟</w:t>
            </w:r>
          </w:p>
        </w:tc>
        <w:tc>
          <w:tcPr>
            <w:tcW w:type="dxa" w:w="150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إنفاذ</w:t>
            </w:r>
          </w:p>
        </w:tc>
      </w:tr>
      <w:tr>
        <w:tc>
          <w:tcPr>
            <w:tcW w:type="dxa" w:w="550"/>
            <w:shd w:fill="FFF7E6"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١٠</w:t>
            </w:r>
          </w:p>
        </w:tc>
        <w:tc>
          <w:tcPr>
            <w:tcW w:type="dxa" w:w="175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فصل الواجبات</w:t>
            </w:r>
          </w:p>
        </w:tc>
        <w:tc>
          <w:tcPr>
            <w:tcW w:type="dxa" w:w="420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هل يعتمد المُنشئ نفسَه؟</w:t>
            </w:r>
          </w:p>
        </w:tc>
        <w:tc>
          <w:tcPr>
            <w:tcW w:type="dxa" w:w="150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إنفاذ</w:t>
            </w:r>
          </w:p>
        </w:tc>
      </w:tr>
      <w:tr>
        <w:tc>
          <w:tcPr>
            <w:tcW w:type="dxa" w:w="550"/>
            <w:shd w:fill="FFF7E6"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١١</w:t>
            </w:r>
          </w:p>
        </w:tc>
        <w:tc>
          <w:tcPr>
            <w:tcW w:type="dxa" w:w="175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المستند</w:t>
            </w:r>
          </w:p>
        </w:tc>
        <w:tc>
          <w:tcPr>
            <w:tcW w:type="dxa" w:w="420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هل يُفرض الدليل الملزم أم يُتجاوز؟</w:t>
            </w:r>
          </w:p>
        </w:tc>
        <w:tc>
          <w:tcPr>
            <w:tcW w:type="dxa" w:w="150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إنفاذ</w:t>
            </w:r>
          </w:p>
        </w:tc>
      </w:tr>
      <w:tr>
        <w:tc>
          <w:tcPr>
            <w:tcW w:type="dxa" w:w="550"/>
            <w:shd w:fill="FFF7E6"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١٢</w:t>
            </w:r>
          </w:p>
        </w:tc>
        <w:tc>
          <w:tcPr>
            <w:tcW w:type="dxa" w:w="175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الأحداث والآثار</w:t>
            </w:r>
          </w:p>
        </w:tc>
        <w:tc>
          <w:tcPr>
            <w:tcW w:type="dxa" w:w="420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ما تُصدره عند الانتقال الحاكم ومن يستهلكه؟</w:t>
            </w:r>
          </w:p>
        </w:tc>
        <w:tc>
          <w:tcPr>
            <w:tcW w:type="dxa" w:w="150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إنفاذ</w:t>
            </w:r>
          </w:p>
        </w:tc>
      </w:tr>
      <w:tr>
        <w:tc>
          <w:tcPr>
            <w:tcW w:type="dxa" w:w="550"/>
            <w:shd w:fill="FFF7E6"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١٣</w:t>
            </w:r>
          </w:p>
        </w:tc>
        <w:tc>
          <w:tcPr>
            <w:tcW w:type="dxa" w:w="175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الاستثناء والتصحيح</w:t>
            </w:r>
          </w:p>
        </w:tc>
        <w:tc>
          <w:tcPr>
            <w:tcW w:type="dxa" w:w="420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ماذا بعد الاعتماد؟ وكيف يُعاد الفتح؟</w:t>
            </w:r>
          </w:p>
        </w:tc>
        <w:tc>
          <w:tcPr>
            <w:tcW w:type="dxa" w:w="150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إنفاذ</w:t>
            </w:r>
          </w:p>
        </w:tc>
      </w:tr>
      <w:tr>
        <w:tc>
          <w:tcPr>
            <w:tcW w:type="dxa" w:w="550"/>
            <w:shd w:fill="FFF7E6"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١٤</w:t>
            </w:r>
          </w:p>
        </w:tc>
        <w:tc>
          <w:tcPr>
            <w:tcW w:type="dxa" w:w="175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البيانات التاريخية</w:t>
            </w:r>
          </w:p>
        </w:tc>
        <w:tc>
          <w:tcPr>
            <w:tcW w:type="dxa" w:w="420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هل تمثّل الحبّة نفسها أم حبّة أخرى؟</w:t>
            </w:r>
          </w:p>
        </w:tc>
        <w:tc>
          <w:tcPr>
            <w:tcW w:type="dxa" w:w="150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إنفاذ</w:t>
            </w:r>
          </w:p>
        </w:tc>
      </w:tr>
      <w:tr>
        <w:tc>
          <w:tcPr>
            <w:tcW w:type="dxa" w:w="550"/>
            <w:shd w:fill="FFF7E6"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١٥</w:t>
            </w:r>
          </w:p>
        </w:tc>
        <w:tc>
          <w:tcPr>
            <w:tcW w:type="dxa" w:w="175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الاختبار السالب</w:t>
            </w:r>
          </w:p>
        </w:tc>
        <w:tc>
          <w:tcPr>
            <w:tcW w:type="dxa" w:w="420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هل تفشل المسارات غير المسموحة فعلًا؟</w:t>
            </w:r>
          </w:p>
        </w:tc>
        <w:tc>
          <w:tcPr>
            <w:tcW w:type="dxa" w:w="1500"/>
            <w:shd w:fill="FFF7E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إنفاذ</w:t>
            </w:r>
          </w:p>
        </w:tc>
      </w:tr>
    </w:tbl>
    <w:p>
      <w:pPr>
        <w:pStyle w:val="Heading2"/>
        <w:bidi/>
        <w:spacing w:after="140" w:before="230"/>
        <w:jc w:val="right"/>
      </w:pPr>
      <w:r>
        <w:rPr>
          <w:rFonts w:ascii="Segoe UI" w:cs="Segoe UI" w:eastAsia="Segoe UI" w:hAnsi="Segoe UI"/>
          <w:b/>
          <w:bCs/>
          <w:color w:val="1F3864"/>
          <w:sz w:val="25"/>
          <w:szCs w:val="25"/>
          <w:rtl/>
        </w:rPr>
        <w:t xml:space="preserve">٥·١ قاعدة الجهد — وحدودها</w:t>
      </w:r>
    </w:p>
    <w:p>
      <w:pPr>
        <w:pStyle w:val="ListParagraph"/>
        <w:numPr>
          <w:ilvl w:val="0"/>
          <w:numId w:val="2"/>
        </w:numPr>
        <w:bidi/>
        <w:spacing w:after="90" w:line="300"/>
        <w:jc w:val="both"/>
      </w:pPr>
      <w:r>
        <w:rPr>
          <w:rFonts w:ascii="Segoe UI" w:cs="Segoe UI" w:eastAsia="Segoe UI" w:hAnsi="Segoe UI"/>
          <w:b/>
          <w:bCs/>
          <w:sz w:val="21"/>
          <w:szCs w:val="21"/>
          <w:rtl/>
        </w:rPr>
        <w:t xml:space="preserve">الأسطح المصدرية والمعاملات الحرجة: </w:t>
      </w:r>
      <w:r>
        <w:rPr>
          <w:rFonts w:ascii="Segoe UI" w:cs="Segoe UI" w:eastAsia="Segoe UI" w:hAnsi="Segoe UI"/>
          <w:sz w:val="21"/>
          <w:szCs w:val="21"/>
          <w:rtl/>
        </w:rPr>
        <w:t xml:space="preserve">الخمسة عشر كاملةً.</w:t>
      </w:r>
    </w:p>
    <w:p>
      <w:pPr>
        <w:pStyle w:val="ListParagraph"/>
        <w:numPr>
          <w:ilvl w:val="0"/>
          <w:numId w:val="2"/>
        </w:numPr>
        <w:bidi/>
        <w:spacing w:after="90" w:line="300"/>
        <w:jc w:val="both"/>
      </w:pPr>
      <w:r>
        <w:rPr>
          <w:rFonts w:ascii="Segoe UI" w:cs="Segoe UI" w:eastAsia="Segoe UI" w:hAnsi="Segoe UI"/>
          <w:b/>
          <w:bCs/>
          <w:sz w:val="21"/>
          <w:szCs w:val="21"/>
          <w:rtl/>
        </w:rPr>
        <w:t xml:space="preserve">الإسقاطات واللوحات والمراجع العادية: </w:t>
      </w:r>
      <w:r>
        <w:rPr>
          <w:rFonts w:ascii="Segoe UI" w:cs="Segoe UI" w:eastAsia="Segoe UI" w:hAnsi="Segoe UI"/>
          <w:sz w:val="21"/>
          <w:szCs w:val="21"/>
          <w:rtl/>
        </w:rPr>
        <w:t xml:space="preserve">السبعة الأولى.</w:t>
      </w:r>
    </w:p>
    <w:p>
      <w:pPr>
        <w:pStyle w:val="ListParagraph"/>
        <w:numPr>
          <w:ilvl w:val="0"/>
          <w:numId w:val="2"/>
        </w:numPr>
        <w:bidi/>
        <w:spacing w:after="90" w:line="300"/>
        <w:jc w:val="both"/>
      </w:pPr>
      <w:r>
        <w:rPr>
          <w:rFonts w:ascii="Segoe UI" w:cs="Segoe UI" w:eastAsia="Segoe UI" w:hAnsi="Segoe UI"/>
          <w:b/>
          <w:bCs/>
          <w:color w:val="C00000"/>
          <w:sz w:val="21"/>
          <w:szCs w:val="21"/>
          <w:rtl/>
        </w:rPr>
        <w:t xml:space="preserve">والإسقاط الحسّاس — لوحة رواتب أو أسعار أو حسابات بنكية أو مخاطر: </w:t>
      </w:r>
      <w:r>
        <w:rPr>
          <w:rFonts w:ascii="Segoe UI" w:cs="Segoe UI" w:eastAsia="Segoe UI" w:hAnsi="Segoe UI"/>
          <w:sz w:val="21"/>
          <w:szCs w:val="21"/>
          <w:rtl/>
        </w:rPr>
        <w:t xml:space="preserve">السبعة زائدَ أربعة: صلاحية العرض · وإظهار الحقول الحساسة · ونسب المصدر · واختبار وصول سالب. </w:t>
      </w:r>
      <w:r>
        <w:rPr>
          <w:rFonts w:ascii="Segoe UI" w:cs="Segoe UI" w:eastAsia="Segoe UI" w:hAnsi="Segoe UI"/>
          <w:b/>
          <w:bCs/>
          <w:sz w:val="21"/>
          <w:szCs w:val="21"/>
          <w:rtl/>
        </w:rPr>
        <w:t xml:space="preserve">فكلمة «إسقاط» ليست إعفاءً أمنيًّا.</w:t>
      </w:r>
    </w:p>
    <w:p>
      <w:pPr>
        <w:pStyle w:val="Heading1"/>
        <w:bidi/>
        <w:spacing w:after="140" w:before="320"/>
        <w:jc w:val="right"/>
      </w:pPr>
      <w:r>
        <w:rPr>
          <w:rFonts w:ascii="Segoe UI" w:cs="Segoe UI" w:eastAsia="Segoe UI" w:hAnsi="Segoe UI"/>
          <w:b/>
          <w:bCs/>
          <w:color w:val="1F3864"/>
          <w:sz w:val="30"/>
          <w:szCs w:val="30"/>
          <w:rtl/>
        </w:rPr>
        <w:t xml:space="preserve">٦ · المطلوب الثالث — السايدبار قبل الشاشات</w:t>
      </w:r>
    </w:p>
    <w:p>
      <w:pPr>
        <w:pStyle w:val="ListParagraph"/>
        <w:numPr>
          <w:ilvl w:val="0"/>
          <w:numId w:val="2"/>
        </w:numPr>
        <w:bidi/>
        <w:spacing w:after="90" w:line="300"/>
        <w:jc w:val="both"/>
      </w:pPr>
      <w:r>
        <w:rPr>
          <w:rFonts w:ascii="Segoe UI" w:cs="Segoe UI" w:eastAsia="Segoe UI" w:hAnsi="Segoe UI"/>
          <w:sz w:val="21"/>
          <w:szCs w:val="21"/>
          <w:rtl/>
        </w:rPr>
        <w:t xml:space="preserve">عطِّل ما ليس في الملف بعذر مكتوب ومرجع — ولا حذف صامت.</w:t>
      </w:r>
    </w:p>
    <w:p>
      <w:pPr>
        <w:pStyle w:val="ListParagraph"/>
        <w:numPr>
          <w:ilvl w:val="0"/>
          <w:numId w:val="2"/>
        </w:numPr>
        <w:bidi/>
        <w:spacing w:after="90" w:line="300"/>
        <w:jc w:val="both"/>
      </w:pPr>
      <w:r>
        <w:rPr>
          <w:rFonts w:ascii="Segoe UI" w:cs="Segoe UI" w:eastAsia="Segoe UI" w:hAnsi="Segoe UI"/>
          <w:sz w:val="21"/>
          <w:szCs w:val="21"/>
          <w:rtl/>
        </w:rPr>
        <w:t xml:space="preserve">صحِّح الأسماء المعروضة على التسمية المعتمدة — ولا اسم غير معتمد يُعرض.</w:t>
      </w:r>
    </w:p>
    <w:p>
      <w:pPr>
        <w:pStyle w:val="ListParagraph"/>
        <w:numPr>
          <w:ilvl w:val="0"/>
          <w:numId w:val="2"/>
        </w:numPr>
        <w:bidi/>
        <w:spacing w:after="90" w:line="300"/>
        <w:jc w:val="both"/>
      </w:pPr>
      <w:r>
        <w:rPr>
          <w:rFonts w:ascii="Segoe UI" w:cs="Segoe UI" w:eastAsia="Segoe UI" w:hAnsi="Segoe UI"/>
          <w:sz w:val="21"/>
          <w:szCs w:val="21"/>
          <w:rtl/>
        </w:rPr>
        <w:t xml:space="preserve">صحِّح المجموعات لتطابق مجموعات الملف اسمًا وعددًا.</w:t>
      </w:r>
    </w:p>
    <w:p>
      <w:pPr>
        <w:pStyle w:val="ListParagraph"/>
        <w:numPr>
          <w:ilvl w:val="0"/>
          <w:numId w:val="2"/>
        </w:numPr>
        <w:bidi/>
        <w:spacing w:after="90" w:line="300"/>
        <w:jc w:val="both"/>
      </w:pPr>
      <w:r>
        <w:rPr>
          <w:rFonts w:ascii="Segoe UI" w:cs="Segoe UI" w:eastAsia="Segoe UI" w:hAnsi="Segoe UI"/>
          <w:sz w:val="21"/>
          <w:szCs w:val="21"/>
          <w:rtl/>
        </w:rPr>
        <w:t xml:space="preserve">رتِّب الأسطح على دورة العمل في الملف لا على تاريخ الإضافة.</w:t>
      </w:r>
    </w:p>
    <w:p>
      <w:pPr>
        <w:pStyle w:val="ListParagraph"/>
        <w:numPr>
          <w:ilvl w:val="0"/>
          <w:numId w:val="2"/>
        </w:numPr>
        <w:bidi/>
        <w:spacing w:after="90" w:line="300"/>
        <w:jc w:val="both"/>
      </w:pPr>
      <w:r>
        <w:rPr>
          <w:rFonts w:ascii="Segoe UI" w:cs="Segoe UI" w:eastAsia="Segoe UI" w:hAnsi="Segoe UI"/>
          <w:sz w:val="21"/>
          <w:szCs w:val="21"/>
          <w:rtl/>
        </w:rPr>
        <w:t xml:space="preserve">صحِّح علاقات الأب والتبويب — ولا دمج في أبٍ ليس أبَه المعماري.</w:t>
      </w:r>
    </w:p>
    <w:p>
      <w:pPr>
        <w:pStyle w:val="ListParagraph"/>
        <w:numPr>
          <w:ilvl w:val="0"/>
          <w:numId w:val="2"/>
        </w:numPr>
        <w:bidi/>
        <w:spacing w:after="90" w:line="300"/>
        <w:jc w:val="both"/>
      </w:pPr>
      <w:r>
        <w:rPr>
          <w:rFonts w:ascii="Segoe UI" w:cs="Segoe UI" w:eastAsia="Segoe UI" w:hAnsi="Segoe UI"/>
          <w:sz w:val="21"/>
          <w:szCs w:val="21"/>
          <w:rtl/>
        </w:rPr>
        <w:t xml:space="preserve">صحِّح الظهور بالصلاحية — ولا تُضحَّى الصلاحية لأجل ترتيب أجمل.</w:t>
      </w:r>
    </w:p>
    <w:p>
      <w:pPr>
        <w:pStyle w:val="ListParagraph"/>
        <w:numPr>
          <w:ilvl w:val="0"/>
          <w:numId w:val="2"/>
        </w:numPr>
        <w:bidi/>
        <w:spacing w:after="90" w:line="300"/>
        <w:jc w:val="both"/>
      </w:pPr>
      <w:r>
        <w:rPr>
          <w:rFonts w:ascii="Segoe UI" w:cs="Segoe UI" w:eastAsia="Segoe UI" w:hAnsi="Segoe UI"/>
          <w:sz w:val="21"/>
          <w:szCs w:val="21"/>
          <w:rtl/>
        </w:rPr>
        <w:t xml:space="preserve">اربط الكل بسجل الملاحة المعياري — ولا ترتيب يدويّ موازٍ.</w:t>
      </w:r>
    </w:p>
    <w:p>
      <w:pPr>
        <w:bidi/>
        <w:spacing w:after="120" w:line="300"/>
        <w:jc w:val="both"/>
      </w:pPr>
      <w:r>
        <w:rPr>
          <w:rFonts w:ascii="Segoe UI" w:cs="Segoe UI" w:eastAsia="Segoe UI" w:hAnsi="Segoe UI"/>
          <w:b/>
          <w:bCs/>
          <w:sz w:val="21"/>
          <w:szCs w:val="21"/>
          <w:rtl/>
        </w:rPr>
        <w:t xml:space="preserve">ودليلان لا دليل: </w:t>
      </w:r>
      <w:r>
        <w:rPr>
          <w:rFonts w:ascii="Segoe UI" w:cs="Segoe UI" w:eastAsia="Segoe UI" w:hAnsi="Segoe UI"/>
          <w:sz w:val="21"/>
          <w:szCs w:val="21"/>
          <w:rtl/>
        </w:rPr>
        <w:t xml:space="preserve">معياريٌّ بالوحدات — سبع عشرة إدارة وأربعة رموز خارجها لأن القيادة رئيسٌ ونوابٌ لا كيانٌ واحد · ومعروضٌ بالأدوار ينفع ولا يصلح أساسًا. </w:t>
      </w:r>
      <w:r>
        <w:rPr>
          <w:rFonts w:ascii="Segoe UI" w:cs="Segoe UI" w:eastAsia="Segoe UI" w:hAnsi="Segoe UI"/>
          <w:b/>
          <w:bCs/>
          <w:color w:val="C00000"/>
          <w:sz w:val="21"/>
          <w:szCs w:val="21"/>
          <w:rtl/>
        </w:rPr>
        <w:t xml:space="preserve">والدليل الحالي يخلط بينهما: يعلن تسع عشرة إدارة وفيها «إدارة الصلاحيات» و«أمين المستودع» و«المدير المالي» — وهي أدوار لا إدارات.</w:t>
      </w:r>
    </w:p>
    <w:p>
      <w:pPr>
        <w:pStyle w:val="Heading1"/>
        <w:bidi/>
        <w:spacing w:after="140" w:before="320"/>
        <w:jc w:val="right"/>
      </w:pPr>
      <w:r>
        <w:rPr>
          <w:rFonts w:ascii="Segoe UI" w:cs="Segoe UI" w:eastAsia="Segoe UI" w:hAnsi="Segoe UI"/>
          <w:b/>
          <w:bCs/>
          <w:color w:val="1F3864"/>
          <w:sz w:val="30"/>
          <w:szCs w:val="30"/>
          <w:rtl/>
        </w:rPr>
        <w:t xml:space="preserve">٧ · المطلوب الرابع — تصحيح الشاشة بثمانية عشر خطوة</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900"/>
      </w:tblGrid>
      <w:tr>
        <w:trPr>
          <w:tblHeader/>
        </w:trPr>
        <w:tc>
          <w:tcPr>
            <w:tcW w:type="dxa" w:w="6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w:t>
            </w:r>
          </w:p>
        </w:tc>
        <w:tc>
          <w:tcPr>
            <w:tcW w:type="dxa" w:w="25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الخطوة</w:t>
            </w:r>
          </w:p>
        </w:tc>
        <w:tc>
          <w:tcPr>
            <w:tcW w:type="dxa" w:w="49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المعيار</w:t>
            </w:r>
          </w:p>
        </w:tc>
      </w:tr>
      <w:tr>
        <w:tc>
          <w:tcPr>
            <w:tcW w:type="dxa" w:w="6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w:t>
            </w:r>
          </w:p>
        </w:tc>
        <w:tc>
          <w:tcPr>
            <w:tcW w:type="dxa" w:w="2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تصحيح الحبّة</w:t>
            </w:r>
          </w:p>
        </w:tc>
        <w:tc>
          <w:tcPr>
            <w:tcW w:type="dxa" w:w="49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كما في الملف — ولا سطح يجمع حبّتين</w:t>
            </w:r>
          </w:p>
        </w:tc>
      </w:tr>
      <w:tr>
        <w:tc>
          <w:tcPr>
            <w:tcW w:type="dxa" w:w="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٢</w:t>
            </w:r>
          </w:p>
        </w:tc>
        <w:tc>
          <w:tcPr>
            <w:tcW w:type="dxa" w:w="2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فصل الأم عن البنود</w:t>
            </w:r>
          </w:p>
        </w:tc>
        <w:tc>
          <w:tcPr>
            <w:tcW w:type="dxa" w:w="49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كل علاقة متعددة سجل تابع ذري لا حقل جمعي</w:t>
            </w:r>
          </w:p>
        </w:tc>
      </w:tr>
      <w:tr>
        <w:tc>
          <w:tcPr>
            <w:tcW w:type="dxa" w:w="6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٣</w:t>
            </w:r>
          </w:p>
        </w:tc>
        <w:tc>
          <w:tcPr>
            <w:tcW w:type="dxa" w:w="2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ترتيب الحقول</w:t>
            </w:r>
          </w:p>
        </w:tc>
        <w:tc>
          <w:tcPr>
            <w:tcW w:type="dxa" w:w="49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على الدورة المستندية من المعرّف إلى التدقيق</w:t>
            </w:r>
          </w:p>
        </w:tc>
      </w:tr>
      <w:tr>
        <w:tc>
          <w:tcPr>
            <w:tcW w:type="dxa" w:w="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٤</w:t>
            </w:r>
          </w:p>
        </w:tc>
        <w:tc>
          <w:tcPr>
            <w:tcW w:type="dxa" w:w="2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نزع الملكية الغريبة</w:t>
            </w:r>
          </w:p>
        </w:tc>
        <w:tc>
          <w:tcPr>
            <w:tcW w:type="dxa" w:w="49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ما يكتبه في حقيقة غيره يُنقل إلى مالكه</w:t>
            </w:r>
          </w:p>
        </w:tc>
      </w:tr>
      <w:tr>
        <w:tc>
          <w:tcPr>
            <w:tcW w:type="dxa" w:w="6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٥</w:t>
            </w:r>
          </w:p>
        </w:tc>
        <w:tc>
          <w:tcPr>
            <w:tcW w:type="dxa" w:w="2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إضافة الناقص</w:t>
            </w:r>
          </w:p>
        </w:tc>
        <w:tc>
          <w:tcPr>
            <w:tcW w:type="dxa" w:w="49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كل حقل في الملف يُضاف بحكمه</w:t>
            </w:r>
          </w:p>
        </w:tc>
      </w:tr>
      <w:tr>
        <w:tc>
          <w:tcPr>
            <w:tcW w:type="dxa" w:w="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٦</w:t>
            </w:r>
          </w:p>
        </w:tc>
        <w:tc>
          <w:tcPr>
            <w:tcW w:type="dxa" w:w="2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تحويل المستورد</w:t>
            </w:r>
          </w:p>
        </w:tc>
        <w:tc>
          <w:tcPr>
            <w:tcW w:type="dxa" w:w="49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ما يأتي من إدارة أخرى قراءةٌ لا يُحرَّر</w:t>
            </w:r>
          </w:p>
        </w:tc>
      </w:tr>
      <w:tr>
        <w:tc>
          <w:tcPr>
            <w:tcW w:type="dxa" w:w="6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٧</w:t>
            </w:r>
          </w:p>
        </w:tc>
        <w:tc>
          <w:tcPr>
            <w:tcW w:type="dxa" w:w="2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تحويل المشتق</w:t>
            </w:r>
          </w:p>
        </w:tc>
        <w:tc>
          <w:tcPr>
            <w:tcW w:type="dxa" w:w="49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ما نصّ الملف على اشتقاقه يُحسب ولا يُدخَل</w:t>
            </w:r>
          </w:p>
        </w:tc>
      </w:tr>
      <w:tr>
        <w:tc>
          <w:tcPr>
            <w:tcW w:type="dxa" w:w="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٨</w:t>
            </w:r>
          </w:p>
        </w:tc>
        <w:tc>
          <w:tcPr>
            <w:tcW w:type="dxa" w:w="2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مرجع المصدر</w:t>
            </w:r>
          </w:p>
        </w:tc>
        <w:tc>
          <w:tcPr>
            <w:tcW w:type="dxa" w:w="49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كل إسقاط يحمل كيانه وإدارته وخدمته ومفتاح ربطه — ولا يكفي وسمه إسقاطًا</w:t>
            </w:r>
          </w:p>
        </w:tc>
      </w:tr>
      <w:tr>
        <w:tc>
          <w:tcPr>
            <w:tcW w:type="dxa" w:w="6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٩</w:t>
            </w:r>
          </w:p>
        </w:tc>
        <w:tc>
          <w:tcPr>
            <w:tcW w:type="dxa" w:w="2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ربط المستند</w:t>
            </w:r>
          </w:p>
        </w:tc>
        <w:tc>
          <w:tcPr>
            <w:tcW w:type="dxa" w:w="49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لا اعتماد بلا مستند مسمًّى</w:t>
            </w:r>
          </w:p>
        </w:tc>
      </w:tr>
      <w:tr>
        <w:tc>
          <w:tcPr>
            <w:tcW w:type="dxa" w:w="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١٠</w:t>
            </w:r>
          </w:p>
        </w:tc>
        <w:tc>
          <w:tcPr>
            <w:tcW w:type="dxa" w:w="2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ربط الاعتماد</w:t>
            </w:r>
          </w:p>
        </w:tc>
        <w:tc>
          <w:tcPr>
            <w:tcW w:type="dxa" w:w="49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من محرك السلطة لا منطق محلي</w:t>
            </w:r>
          </w:p>
        </w:tc>
      </w:tr>
      <w:tr>
        <w:tc>
          <w:tcPr>
            <w:tcW w:type="dxa" w:w="6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١١</w:t>
            </w:r>
          </w:p>
        </w:tc>
        <w:tc>
          <w:tcPr>
            <w:tcW w:type="dxa" w:w="2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كتلة التدقيق</w:t>
            </w:r>
          </w:p>
        </w:tc>
        <w:tc>
          <w:tcPr>
            <w:tcW w:type="dxa" w:w="49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المُنشئ والوقت والحالة والمرجع — إلحاقية</w:t>
            </w:r>
          </w:p>
        </w:tc>
      </w:tr>
      <w:tr>
        <w:tc>
          <w:tcPr>
            <w:tcW w:type="dxa" w:w="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١٢</w:t>
            </w:r>
          </w:p>
        </w:tc>
        <w:tc>
          <w:tcPr>
            <w:tcW w:type="dxa" w:w="2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آلة الحالة</w:t>
            </w:r>
          </w:p>
        </w:tc>
        <w:tc>
          <w:tcPr>
            <w:tcW w:type="dxa" w:w="49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حالات وانتقالات محكومة — ولا حقل حالة حرّ</w:t>
            </w:r>
          </w:p>
        </w:tc>
      </w:tr>
      <w:tr>
        <w:tc>
          <w:tcPr>
            <w:tcW w:type="dxa" w:w="6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١٣</w:t>
            </w:r>
          </w:p>
        </w:tc>
        <w:tc>
          <w:tcPr>
            <w:tcW w:type="dxa" w:w="2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جسر دورة العمل</w:t>
            </w:r>
          </w:p>
        </w:tc>
        <w:tc>
          <w:tcPr>
            <w:tcW w:type="dxa" w:w="49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ربط معرّف الشاشة بمرحلتها في سجل الدورة صراحةً لا بالمسار ولا بالاسم · وما لا تنطبق عليه دورة عمل يحمل سبب عدم انطباق معتمدًا بدل مرحلة مصطنعة</w:t>
            </w:r>
          </w:p>
        </w:tc>
      </w:tr>
      <w:tr>
        <w:tc>
          <w:tcPr>
            <w:tcW w:type="dxa" w:w="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١٤</w:t>
            </w:r>
          </w:p>
        </w:tc>
        <w:tc>
          <w:tcPr>
            <w:tcW w:type="dxa" w:w="2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الصلاحيات وإظهار الحقول</w:t>
            </w:r>
          </w:p>
        </w:tc>
        <w:tc>
          <w:tcPr>
            <w:tcW w:type="dxa" w:w="49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كل فعل محروس من الخادم · والحقل الحساس بسياسة إظهاره</w:t>
            </w:r>
          </w:p>
        </w:tc>
      </w:tr>
      <w:tr>
        <w:tc>
          <w:tcPr>
            <w:tcW w:type="dxa" w:w="6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١٥</w:t>
            </w:r>
          </w:p>
        </w:tc>
        <w:tc>
          <w:tcPr>
            <w:tcW w:type="dxa" w:w="2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التحقّق والقوائم المحكومة</w:t>
            </w:r>
          </w:p>
        </w:tc>
        <w:tc>
          <w:tcPr>
            <w:tcW w:type="dxa" w:w="49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كل قائمة من بيتها الواحد · وكل قاعدة تحقّق منفَّذة</w:t>
            </w:r>
          </w:p>
        </w:tc>
      </w:tr>
      <w:tr>
        <w:tc>
          <w:tcPr>
            <w:tcW w:type="dxa" w:w="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١٦</w:t>
            </w:r>
          </w:p>
        </w:tc>
        <w:tc>
          <w:tcPr>
            <w:tcW w:type="dxa" w:w="2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الأحداث والآثار</w:t>
            </w:r>
          </w:p>
        </w:tc>
        <w:tc>
          <w:tcPr>
            <w:tcW w:type="dxa" w:w="49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ما تُصدره عند الانتقال الحاكم بعقد أثر مسجَّل</w:t>
            </w:r>
          </w:p>
        </w:tc>
      </w:tr>
      <w:tr>
        <w:tc>
          <w:tcPr>
            <w:tcW w:type="dxa" w:w="6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١٧</w:t>
            </w:r>
          </w:p>
        </w:tc>
        <w:tc>
          <w:tcPr>
            <w:tcW w:type="dxa" w:w="2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الاستثناء والاختبار السالب</w:t>
            </w:r>
          </w:p>
        </w:tc>
        <w:tc>
          <w:tcPr>
            <w:tcW w:type="dxa" w:w="49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ماذا بعد الاعتماد · والمسار غير المسموح يفشل ويُقيَّد رفضه</w:t>
            </w:r>
          </w:p>
        </w:tc>
      </w:tr>
      <w:tr>
        <w:tc>
          <w:tcPr>
            <w:tcW w:type="dxa" w:w="6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١٨</w:t>
            </w:r>
          </w:p>
        </w:tc>
        <w:tc>
          <w:tcPr>
            <w:tcW w:type="dxa" w:w="2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نقاء اللغة والتحقّق البشري</w:t>
            </w:r>
          </w:p>
        </w:tc>
        <w:tc>
          <w:tcPr>
            <w:tcW w:type="dxa" w:w="49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لا رمز تقني في نصٍّ معروض · ومستخدم حقيقي بصلاحيته يؤدي وظيفة الشاشة ويُوثَّق مروره</w:t>
            </w:r>
          </w:p>
        </w:tc>
      </w:tr>
    </w:tbl>
    <w:p>
      <w:pPr>
        <w:bidi/>
        <w:spacing w:after="120" w:line="300"/>
        <w:jc w:val="both"/>
      </w:pPr>
      <w:r>
        <w:rPr>
          <w:rFonts w:ascii="Segoe UI" w:cs="Segoe UI" w:eastAsia="Segoe UI" w:hAnsi="Segoe UI"/>
          <w:b/>
          <w:bCs/>
          <w:sz w:val="21"/>
          <w:szCs w:val="21"/>
          <w:rtl/>
        </w:rPr>
        <w:t xml:space="preserve">وتمييز لا يُخلط: </w:t>
      </w:r>
      <w:r>
        <w:rPr>
          <w:rFonts w:ascii="Segoe UI" w:cs="Segoe UI" w:eastAsia="Segoe UI" w:hAnsi="Segoe UI"/>
          <w:sz w:val="21"/>
          <w:szCs w:val="21"/>
          <w:rtl/>
        </w:rPr>
        <w:t xml:space="preserve">الخطوة الثامنة عشرة تحقّقٌ بشريٌّ على مستوى الشاشة، ويُطبَّق بدرجات تناسب طبيعة السطح: </w:t>
      </w:r>
      <w:r>
        <w:rPr>
          <w:rFonts w:ascii="Segoe UI" w:cs="Segoe UI" w:eastAsia="Segoe UI" w:hAnsi="Segoe UI"/>
          <w:b/>
          <w:bCs/>
          <w:sz w:val="21"/>
          <w:szCs w:val="21"/>
          <w:rtl/>
        </w:rPr>
        <w:t xml:space="preserve">المعاملة المصدرية أو الحرجة بتحقّق وظيفي كامل · والمعاملة العادية باختبار دورٍ وإجراءٍ أساسي · والإسقاط أو المرجع بتحقّق عرضٍ ووصول.</w:t>
      </w:r>
      <w:r>
        <w:rPr>
          <w:rFonts w:ascii="Segoe UI" w:cs="Segoe UI" w:eastAsia="Segoe UI" w:hAnsi="Segoe UI"/>
          <w:sz w:val="21"/>
          <w:szCs w:val="21"/>
          <w:rtl/>
        </w:rPr>
        <w:t xml:space="preserve"> أمّا الرحلة البشرية الكاملة بين الإدارات حتى الأثر النهائي فهي في RPR-03، ولا يُعدّ أحدهما عن الآخر.</w:t>
      </w:r>
    </w:p>
    <w:p>
      <w:r>
        <w:br w:type="page"/>
      </w:r>
    </w:p>
    <w:p>
      <w:pPr>
        <w:pStyle w:val="Heading1"/>
        <w:bidi/>
        <w:spacing w:after="140" w:before="320"/>
        <w:jc w:val="right"/>
      </w:pPr>
      <w:r>
        <w:rPr>
          <w:rFonts w:ascii="Segoe UI" w:cs="Segoe UI" w:eastAsia="Segoe UI" w:hAnsi="Segoe UI"/>
          <w:b/>
          <w:bCs/>
          <w:color w:val="1F3864"/>
          <w:sz w:val="30"/>
          <w:szCs w:val="30"/>
          <w:rtl/>
        </w:rPr>
        <w:t xml:space="preserve">٨ · المطلوب الخامس — فرز الفائض قبل بناء الناقص</w:t>
      </w:r>
    </w:p>
    <w:p>
      <w:pPr>
        <w:bidi/>
        <w:spacing w:after="120" w:line="300"/>
        <w:jc w:val="both"/>
      </w:pPr>
      <w:r>
        <w:rPr>
          <w:rFonts w:ascii="Segoe UI" w:cs="Segoe UI" w:eastAsia="Segoe UI" w:hAnsi="Segoe UI"/>
          <w:b/>
          <w:bCs/>
          <w:sz w:val="21"/>
          <w:szCs w:val="21"/>
          <w:rtl/>
        </w:rPr>
        <w:t xml:space="preserve">الفائض مئتان وسبعة وستون سطحًا — وليس كله تراثًا حميدًا. </w:t>
      </w:r>
      <w:r>
        <w:rPr>
          <w:rFonts w:ascii="Segoe UI" w:cs="Segoe UI" w:eastAsia="Segoe UI" w:hAnsi="Segoe UI"/>
          <w:sz w:val="21"/>
          <w:szCs w:val="21"/>
          <w:rtl/>
        </w:rPr>
        <w:t xml:space="preserve">وما فيه مصدرٌ مزدوج أو كاتبٌ من إدارة أخرى أساسٌ فاسد يُبنى فوقه.</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800"/>
      </w:tblGrid>
      <w:tr>
        <w:trPr>
          <w:tblHeader/>
        </w:trPr>
        <w:tc>
          <w:tcPr>
            <w:tcW w:type="dxa" w:w="21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الصنف</w:t>
            </w:r>
          </w:p>
        </w:tc>
        <w:tc>
          <w:tcPr>
            <w:tcW w:type="dxa" w:w="31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ما يدخله</w:t>
            </w:r>
          </w:p>
        </w:tc>
        <w:tc>
          <w:tcPr>
            <w:tcW w:type="dxa" w:w="28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متى يُعالَج</w:t>
            </w:r>
          </w:p>
        </w:tc>
      </w:tr>
      <w:tr>
        <w:tc>
          <w:tcPr>
            <w:tcW w:type="dxa" w:w="21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فائض حرج</w:t>
            </w:r>
          </w:p>
        </w:tc>
        <w:tc>
          <w:tcPr>
            <w:tcW w:type="dxa" w:w="31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مصدر حقيقة مزدوج · كاتب من إدارة أخرى · تجاوز حراسة · مالك مجهول يكتب · رمز مالك لا إدارة</w:t>
            </w:r>
          </w:p>
        </w:tc>
        <w:tc>
          <w:tcPr>
            <w:tcW w:type="dxa" w:w="28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قبل بناء أي سطح جديد</w:t>
            </w:r>
          </w:p>
        </w:tc>
      </w:tr>
      <w:tr>
        <w:tc>
          <w:tcPr>
            <w:tcW w:type="dxa" w:w="21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فائض حميد</w:t>
            </w:r>
          </w:p>
        </w:tc>
        <w:tc>
          <w:tcPr>
            <w:tcW w:type="dxa" w:w="31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تقرير قراءة · إسقاط مكرّر · تبويب قديم · مسار مهجور</w:t>
            </w:r>
          </w:p>
        </w:tc>
        <w:tc>
          <w:tcPr>
            <w:tcW w:type="dxa" w:w="28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موجة تصفية لاحقة بحكم موثَّق</w:t>
            </w:r>
          </w:p>
        </w:tc>
      </w:tr>
    </w:tbl>
    <w:p>
      <w:pPr>
        <w:bidi/>
        <w:spacing w:after="120" w:line="300"/>
        <w:jc w:val="both"/>
      </w:pPr>
      <w:r>
        <w:rPr>
          <w:rFonts w:ascii="Segoe UI" w:cs="Segoe UI" w:eastAsia="Segoe UI" w:hAnsi="Segoe UI"/>
          <w:b/>
          <w:bCs/>
          <w:sz w:val="21"/>
          <w:szCs w:val="21"/>
          <w:rtl/>
        </w:rPr>
        <w:t xml:space="preserve">وابدأ بأحكامهم لا من الصفر: </w:t>
      </w:r>
      <w:r>
        <w:rPr>
          <w:rFonts w:ascii="Segoe UI" w:cs="Segoe UI" w:eastAsia="Segoe UI" w:hAnsi="Segoe UI"/>
          <w:sz w:val="21"/>
          <w:szCs w:val="21"/>
          <w:rtl/>
        </w:rPr>
        <w:t xml:space="preserve">سجلهم صنّف مئة وتسعة وخمسين «متقاعدًا» وسبعةً وخمسين «تبويبًا في أبيه». راجع أحكامهم واقبلها أو ارفضها بمبرر — فذلك يوفّر أكثر من ثلث العمل.</w:t>
      </w:r>
    </w:p>
    <w:p>
      <w:pPr>
        <w:pStyle w:val="Heading1"/>
        <w:bidi/>
        <w:spacing w:after="140" w:before="320"/>
        <w:jc w:val="right"/>
      </w:pPr>
      <w:r>
        <w:rPr>
          <w:rFonts w:ascii="Segoe UI" w:cs="Segoe UI" w:eastAsia="Segoe UI" w:hAnsi="Segoe UI"/>
          <w:b/>
          <w:bCs/>
          <w:color w:val="1F3864"/>
          <w:sz w:val="30"/>
          <w:szCs w:val="30"/>
          <w:rtl/>
        </w:rPr>
        <w:t xml:space="preserve">٩ · المطلوب السادس — دفتر الهجرات</w:t>
      </w:r>
    </w:p>
    <w:p>
      <w:pPr>
        <w:bidi/>
        <w:spacing w:after="120" w:line="300"/>
        <w:jc w:val="both"/>
      </w:pPr>
      <w:r>
        <w:rPr>
          <w:rFonts w:ascii="Segoe UI" w:cs="Segoe UI" w:eastAsia="Segoe UI" w:hAnsi="Segoe UI"/>
          <w:sz w:val="21"/>
          <w:szCs w:val="21"/>
          <w:rtl/>
        </w:rPr>
        <w:t xml:space="preserve">ثمانٍ وخمسون هجرة خارج الدفتر · وصفر تسجيل منذ ثلاثة وعشرين أغسطس · وصفر من اثنتين وأربعين تستدعي القاعدة. والقاعدة سليمة تعمل حين تُستدعى — </w:t>
      </w:r>
      <w:r>
        <w:rPr>
          <w:rFonts w:ascii="Segoe UI" w:cs="Segoe UI" w:eastAsia="Segoe UI" w:hAnsi="Segoe UI"/>
          <w:b/>
          <w:bCs/>
          <w:sz w:val="21"/>
          <w:szCs w:val="21"/>
          <w:rtl/>
        </w:rPr>
        <w:t xml:space="preserve">والعطب أن استدعاءها عُرفٌ لا بوابة.</w:t>
      </w:r>
    </w:p>
    <w:p>
      <w:pPr>
        <w:pStyle w:val="ListParagraph"/>
        <w:numPr>
          <w:ilvl w:val="0"/>
          <w:numId w:val="2"/>
        </w:numPr>
        <w:bidi/>
        <w:spacing w:after="90" w:line="300"/>
        <w:jc w:val="both"/>
      </w:pPr>
      <w:r>
        <w:rPr>
          <w:rFonts w:ascii="Segoe UI" w:cs="Segoe UI" w:eastAsia="Segoe UI" w:hAnsi="Segoe UI"/>
          <w:b/>
          <w:bCs/>
          <w:color w:val="C00000"/>
          <w:sz w:val="21"/>
          <w:szCs w:val="21"/>
          <w:rtl/>
        </w:rPr>
        <w:t xml:space="preserve">من اليوم — ولا نافذة ظلّ: </w:t>
      </w:r>
      <w:r>
        <w:rPr>
          <w:rFonts w:ascii="Segoe UI" w:cs="Segoe UI" w:eastAsia="Segoe UI" w:hAnsi="Segoe UI"/>
          <w:sz w:val="21"/>
          <w:szCs w:val="21"/>
          <w:rtl/>
        </w:rPr>
        <w:t xml:space="preserve">رسوبٌ صلب على أي هجرة جديدة لا تسجّل نفسها. ونافذة الظلّ تُقاس فيها الحالات المشروعة التي ستُمنَع خطأً — وهجرةٌ لا تستدعي الدفتر ليس لها حالة مشروعة واحدة.</w:t>
      </w:r>
    </w:p>
    <w:p>
      <w:pPr>
        <w:pStyle w:val="ListParagraph"/>
        <w:numPr>
          <w:ilvl w:val="0"/>
          <w:numId w:val="2"/>
        </w:numPr>
        <w:bidi/>
        <w:spacing w:after="90" w:line="300"/>
        <w:jc w:val="both"/>
      </w:pPr>
      <w:r>
        <w:rPr>
          <w:rFonts w:ascii="Segoe UI" w:cs="Segoe UI" w:eastAsia="Segoe UI" w:hAnsi="Segoe UI"/>
          <w:b/>
          <w:bCs/>
          <w:sz w:val="21"/>
          <w:szCs w:val="21"/>
          <w:rtl/>
        </w:rPr>
        <w:t xml:space="preserve">وللثمانية والخمسين: </w:t>
      </w:r>
      <w:r>
        <w:rPr>
          <w:rFonts w:ascii="Segoe UI" w:cs="Segoe UI" w:eastAsia="Segoe UI" w:hAnsi="Segoe UI"/>
          <w:sz w:val="21"/>
          <w:szCs w:val="21"/>
          <w:rtl/>
        </w:rPr>
        <w:t xml:space="preserve">تسويةٌ تاريخية بأدلتها — تُقيَّد بحالة مثل «مطبَّقة ومتحقَّق منها بالمخطَّط» ولا يُعاد تنفيذها. </w:t>
      </w:r>
      <w:r>
        <w:rPr>
          <w:rFonts w:ascii="Segoe UI" w:cs="Segoe UI" w:eastAsia="Segoe UI" w:hAnsi="Segoe UI"/>
          <w:b/>
          <w:bCs/>
          <w:sz w:val="21"/>
          <w:szCs w:val="21"/>
          <w:rtl/>
        </w:rPr>
        <w:t xml:space="preserve">ولا تبقى هجرةٌ واحدة بلا حالة محكومة في الدفتر.</w:t>
      </w:r>
    </w:p>
    <w:p>
      <w:pPr>
        <w:bidi/>
        <w:spacing w:after="120" w:line="300"/>
        <w:jc w:val="both"/>
      </w:pPr>
      <w:r>
        <w:rPr>
          <w:rFonts w:ascii="Segoe UI" w:cs="Segoe UI" w:eastAsia="Segoe UI" w:hAnsi="Segoe UI"/>
          <w:b/>
          <w:bCs/>
          <w:sz w:val="21"/>
          <w:szCs w:val="21"/>
          <w:rtl/>
        </w:rPr>
        <w:t xml:space="preserve">وملكية هذا العمل هنا لا في RPR-03: </w:t>
      </w:r>
      <w:r>
        <w:rPr>
          <w:rFonts w:ascii="Segoe UI" w:cs="Segoe UI" w:eastAsia="Segoe UI" w:hAnsi="Segoe UI"/>
          <w:sz w:val="21"/>
          <w:szCs w:val="21"/>
          <w:rtl/>
        </w:rPr>
        <w:t xml:space="preserve">هذا الأمر يملك إنشاء البوابة وتسوية الهجرات التاريخية، لأنهما شرطٌ آمنٌ لبناء الشاشات وتصحيحها. </w:t>
      </w:r>
      <w:r>
        <w:rPr>
          <w:rFonts w:ascii="Segoe UI" w:cs="Segoe UI" w:eastAsia="Segoe UI" w:hAnsi="Segoe UI"/>
          <w:b/>
          <w:bCs/>
          <w:sz w:val="21"/>
          <w:szCs w:val="21"/>
          <w:rtl/>
        </w:rPr>
        <w:t xml:space="preserve">وRPR-03 لا يعيده إذا أُغلق بالدليل — يتحقّق أنه بقي مغلقًا على مقامه الجديد ويستعمله في التثبيت من الصفر والاستعادة، ولا يُعاد فتحه إلا بانحدارٍ مقيس.</w:t>
      </w:r>
    </w:p>
    <w:p>
      <w:pPr>
        <w:pStyle w:val="Heading1"/>
        <w:bidi/>
        <w:spacing w:after="140" w:before="320"/>
        <w:jc w:val="right"/>
      </w:pPr>
      <w:r>
        <w:rPr>
          <w:rFonts w:ascii="Segoe UI" w:cs="Segoe UI" w:eastAsia="Segoe UI" w:hAnsi="Segoe UI"/>
          <w:b/>
          <w:bCs/>
          <w:color w:val="1F3864"/>
          <w:sz w:val="30"/>
          <w:szCs w:val="30"/>
          <w:rtl/>
        </w:rPr>
        <w:t xml:space="preserve">١٠ · لقطتان لا لقطة</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3000"/>
      </w:tblGrid>
      <w:tr>
        <w:trPr>
          <w:tblHeader/>
        </w:trPr>
        <w:tc>
          <w:tcPr>
            <w:tcW w:type="dxa" w:w="19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النافذة</w:t>
            </w:r>
          </w:p>
        </w:tc>
        <w:tc>
          <w:tcPr>
            <w:tcW w:type="dxa" w:w="31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ما يجري فيها</w:t>
            </w:r>
          </w:p>
        </w:tc>
        <w:tc>
          <w:tcPr>
            <w:tcW w:type="dxa" w:w="30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شرط دخولها</w:t>
            </w:r>
          </w:p>
        </w:tc>
      </w:tr>
      <w:tr>
        <w:tc>
          <w:tcPr>
            <w:tcW w:type="dxa" w:w="19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اللقطة الأولى — مجمَّدة</w:t>
            </w:r>
          </w:p>
        </w:tc>
        <w:tc>
          <w:tcPr>
            <w:tcW w:type="dxa" w:w="31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توحيد الكون · مصالحة المعرّفات · المراجعة العكسية · فرز الفائض</w:t>
            </w:r>
          </w:p>
        </w:tc>
        <w:tc>
          <w:tcPr>
            <w:tcW w:type="dxa" w:w="30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شجرة نظيفة تمامًا · وبصمة التزام دقيقة</w:t>
            </w:r>
          </w:p>
        </w:tc>
      </w:tr>
      <w:tr>
        <w:tc>
          <w:tcPr>
            <w:tcW w:type="dxa" w:w="19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نافذة الإصلاح</w:t>
            </w:r>
          </w:p>
        </w:tc>
        <w:tc>
          <w:tcPr>
            <w:tcW w:type="dxa" w:w="31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السايدبار ثم الشاشات ثم بناء الناقص</w:t>
            </w:r>
          </w:p>
        </w:tc>
        <w:tc>
          <w:tcPr>
            <w:tcW w:type="dxa" w:w="30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اكتمال المراجعة وإغلاق قياسها</w:t>
            </w:r>
          </w:p>
        </w:tc>
      </w:tr>
      <w:tr>
        <w:tc>
          <w:tcPr>
            <w:tcW w:type="dxa" w:w="19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اللقطة الثانية — مجمَّدة</w:t>
            </w:r>
          </w:p>
        </w:tc>
        <w:tc>
          <w:tcPr>
            <w:tcW w:type="dxa" w:w="31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المصالحة النهائية ومعيار القبول</w:t>
            </w:r>
          </w:p>
        </w:tc>
        <w:tc>
          <w:tcPr>
            <w:tcW w:type="dxa" w:w="30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اكتمال الإصلاح وتوقّف البناء</w:t>
            </w:r>
          </w:p>
        </w:tc>
      </w:tr>
    </w:tbl>
    <w:p>
      <w:pPr>
        <w:bidi/>
        <w:spacing w:after="120" w:line="300"/>
        <w:jc w:val="both"/>
      </w:pPr>
      <w:r>
        <w:rPr>
          <w:rFonts w:ascii="Segoe UI" w:cs="Segoe UI" w:eastAsia="Segoe UI" w:hAnsi="Segoe UI"/>
          <w:b/>
          <w:bCs/>
          <w:sz w:val="21"/>
          <w:szCs w:val="21"/>
          <w:rtl/>
        </w:rPr>
        <w:t xml:space="preserve">وقاعدتان: </w:t>
      </w:r>
      <w:r>
        <w:rPr>
          <w:rFonts w:ascii="Segoe UI" w:cs="Segoe UI" w:eastAsia="Segoe UI" w:hAnsi="Segoe UI"/>
          <w:sz w:val="21"/>
          <w:szCs w:val="21"/>
          <w:rtl/>
        </w:rPr>
        <w:t xml:space="preserve">أدوات القياس نفسها موثَّقة في المستودع فيُعرَف ما الذي قاس · وترتيب اللقطات بالبصمة الدقيقة لا بساعة الحائط، فتواريخ الالتزام غير رتيبة وقد ثبت ذلك بالقياس.</w:t>
      </w:r>
    </w:p>
    <w:p>
      <w:pPr>
        <w:pStyle w:val="Heading1"/>
        <w:bidi/>
        <w:spacing w:after="140" w:before="320"/>
        <w:jc w:val="right"/>
      </w:pPr>
      <w:r>
        <w:rPr>
          <w:rFonts w:ascii="Segoe UI" w:cs="Segoe UI" w:eastAsia="Segoe UI" w:hAnsi="Segoe UI"/>
          <w:b/>
          <w:bCs/>
          <w:color w:val="1F3864"/>
          <w:sz w:val="30"/>
          <w:szCs w:val="30"/>
          <w:rtl/>
        </w:rPr>
        <w:t xml:space="preserve">١١ · المحظورات</w:t>
      </w:r>
    </w:p>
    <w:p>
      <w:pPr>
        <w:pStyle w:val="ListParagraph"/>
        <w:numPr>
          <w:ilvl w:val="0"/>
          <w:numId w:val="2"/>
        </w:numPr>
        <w:bidi/>
        <w:spacing w:after="90" w:line="300"/>
        <w:jc w:val="both"/>
      </w:pPr>
      <w:r>
        <w:rPr>
          <w:rFonts w:ascii="Segoe UI" w:cs="Segoe UI" w:eastAsia="Segoe UI" w:hAnsi="Segoe UI"/>
          <w:sz w:val="21"/>
          <w:szCs w:val="21"/>
          <w:rtl/>
        </w:rPr>
        <w:t xml:space="preserve">لا بناء سطح واحد قبل توحيد الكون ومصالحة المعرّفات — ولا اعتماد لرقم عجزٍ ناتج عن طرح عددين.</w:t>
      </w:r>
    </w:p>
    <w:p>
      <w:pPr>
        <w:pStyle w:val="ListParagraph"/>
        <w:numPr>
          <w:ilvl w:val="0"/>
          <w:numId w:val="2"/>
        </w:numPr>
        <w:bidi/>
        <w:spacing w:after="90" w:line="300"/>
        <w:jc w:val="both"/>
      </w:pPr>
      <w:r>
        <w:rPr>
          <w:rFonts w:ascii="Segoe UI" w:cs="Segoe UI" w:eastAsia="Segoe UI" w:hAnsi="Segoe UI"/>
          <w:sz w:val="21"/>
          <w:szCs w:val="21"/>
          <w:rtl/>
        </w:rPr>
        <w:t xml:space="preserve">لا تثبيت أولوية بناء قبل المصالحة — فترتيب الأسوأ يتغيّر بتغيّر المقام.</w:t>
      </w:r>
    </w:p>
    <w:p>
      <w:pPr>
        <w:pStyle w:val="ListParagraph"/>
        <w:numPr>
          <w:ilvl w:val="0"/>
          <w:numId w:val="2"/>
        </w:numPr>
        <w:bidi/>
        <w:spacing w:after="90" w:line="300"/>
        <w:jc w:val="both"/>
      </w:pPr>
      <w:r>
        <w:rPr>
          <w:rFonts w:ascii="Segoe UI" w:cs="Segoe UI" w:eastAsia="Segoe UI" w:hAnsi="Segoe UI"/>
          <w:sz w:val="21"/>
          <w:szCs w:val="21"/>
          <w:rtl/>
        </w:rPr>
        <w:t xml:space="preserve">لا تحرير يدوي لملف من الحزمة ولا لمصنَّف — التعديل في مصدره ثم يُعاد التوليد.</w:t>
      </w:r>
    </w:p>
    <w:p>
      <w:pPr>
        <w:pStyle w:val="ListParagraph"/>
        <w:numPr>
          <w:ilvl w:val="0"/>
          <w:numId w:val="2"/>
        </w:numPr>
        <w:bidi/>
        <w:spacing w:after="90" w:line="300"/>
        <w:jc w:val="both"/>
      </w:pPr>
      <w:r>
        <w:rPr>
          <w:rFonts w:ascii="Segoe UI" w:cs="Segoe UI" w:eastAsia="Segoe UI" w:hAnsi="Segoe UI"/>
          <w:sz w:val="21"/>
          <w:szCs w:val="21"/>
          <w:rtl/>
        </w:rPr>
        <w:t xml:space="preserve">لا حذف صامت: كل تعطيل بعذر ومرجع وتاريخ.</w:t>
      </w:r>
    </w:p>
    <w:p>
      <w:pPr>
        <w:pStyle w:val="ListParagraph"/>
        <w:numPr>
          <w:ilvl w:val="0"/>
          <w:numId w:val="2"/>
        </w:numPr>
        <w:bidi/>
        <w:spacing w:after="90" w:line="300"/>
        <w:jc w:val="both"/>
      </w:pPr>
      <w:r>
        <w:rPr>
          <w:rFonts w:ascii="Segoe UI" w:cs="Segoe UI" w:eastAsia="Segoe UI" w:hAnsi="Segoe UI"/>
          <w:sz w:val="21"/>
          <w:szCs w:val="21"/>
          <w:rtl/>
        </w:rPr>
        <w:t xml:space="preserve">لا اسم غير معتمد يُعرض للمستخدم · ولا رمز تقني في حقل معياري.</w:t>
      </w:r>
    </w:p>
    <w:p>
      <w:pPr>
        <w:pStyle w:val="ListParagraph"/>
        <w:numPr>
          <w:ilvl w:val="0"/>
          <w:numId w:val="2"/>
        </w:numPr>
        <w:bidi/>
        <w:spacing w:after="90" w:line="300"/>
        <w:jc w:val="both"/>
      </w:pPr>
      <w:r>
        <w:rPr>
          <w:rFonts w:ascii="Segoe UI" w:cs="Segoe UI" w:eastAsia="Segoe UI" w:hAnsi="Segoe UI"/>
          <w:b/>
          <w:bCs/>
          <w:sz w:val="21"/>
          <w:szCs w:val="21"/>
          <w:rtl/>
        </w:rPr>
        <w:t xml:space="preserve">ولا يُسجَّل سطحًا أيُّ مسارٍ تحت مجلد المكتبات الخارجية: </w:t>
      </w:r>
      <w:r>
        <w:rPr>
          <w:rFonts w:ascii="Segoe UI" w:cs="Segoe UI" w:eastAsia="Segoe UI" w:hAnsi="Segoe UI"/>
          <w:sz w:val="21"/>
          <w:szCs w:val="21"/>
          <w:rtl/>
        </w:rPr>
        <w:t xml:space="preserve">قاعدة مانعة دائمة لا معالجة حالتين — فالحالة تُعالَج مرة والقاعدة تمنعها دائمًا.</w:t>
      </w:r>
    </w:p>
    <w:p>
      <w:pPr>
        <w:pStyle w:val="ListParagraph"/>
        <w:numPr>
          <w:ilvl w:val="0"/>
          <w:numId w:val="2"/>
        </w:numPr>
        <w:bidi/>
        <w:spacing w:after="90" w:line="300"/>
        <w:jc w:val="both"/>
      </w:pPr>
      <w:r>
        <w:rPr>
          <w:rFonts w:ascii="Segoe UI" w:cs="Segoe UI" w:eastAsia="Segoe UI" w:hAnsi="Segoe UI"/>
          <w:sz w:val="21"/>
          <w:szCs w:val="21"/>
          <w:rtl/>
        </w:rPr>
        <w:t xml:space="preserve">لا قياس أثناء بناء ولا بناء أثناء قياس.</w:t>
      </w:r>
    </w:p>
    <w:p>
      <w:pPr>
        <w:pStyle w:val="ListParagraph"/>
        <w:numPr>
          <w:ilvl w:val="0"/>
          <w:numId w:val="2"/>
        </w:numPr>
        <w:bidi/>
        <w:spacing w:after="90" w:line="300"/>
        <w:jc w:val="both"/>
      </w:pPr>
      <w:r>
        <w:rPr>
          <w:rFonts w:ascii="Segoe UI" w:cs="Segoe UI" w:eastAsia="Segoe UI" w:hAnsi="Segoe UI"/>
          <w:sz w:val="21"/>
          <w:szCs w:val="21"/>
          <w:rtl/>
        </w:rPr>
        <w:t xml:space="preserve">لا إصدار أساس معتمد وفيه مالك مجهول أو مصدر مزدوج أو كتابة عابرة بلا عقد أو تايم شيت غير محسوم.</w:t>
      </w:r>
    </w:p>
    <w:p>
      <w:pPr>
        <w:pStyle w:val="Heading1"/>
        <w:bidi/>
        <w:spacing w:after="140" w:before="320"/>
        <w:jc w:val="right"/>
      </w:pPr>
      <w:r>
        <w:rPr>
          <w:rFonts w:ascii="Segoe UI" w:cs="Segoe UI" w:eastAsia="Segoe UI" w:hAnsi="Segoe UI"/>
          <w:b/>
          <w:bCs/>
          <w:color w:val="1F3864"/>
          <w:sz w:val="30"/>
          <w:szCs w:val="30"/>
          <w:rtl/>
        </w:rPr>
        <w:t xml:space="preserve">١٢ · معيار قبول RPR-02</w:t>
      </w:r>
    </w:p>
    <w:p>
      <w:pPr>
        <w:bidi/>
        <w:spacing w:after="120" w:line="300"/>
        <w:jc w:val="both"/>
      </w:pPr>
      <w:r>
        <w:rPr>
          <w:rFonts w:ascii="Segoe UI" w:cs="Segoe UI" w:eastAsia="Segoe UI" w:hAnsi="Segoe UI"/>
          <w:b/>
          <w:bCs/>
          <w:sz w:val="21"/>
          <w:szCs w:val="21"/>
          <w:rtl/>
        </w:rPr>
        <w:t xml:space="preserve">معيار قبول هذا الأمر وحده — لا معيار اكتمال إنجاز. وما بقي فمعياره في RPR-03.</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2100"/>
      </w:tblGrid>
      <w:tr>
        <w:trPr>
          <w:tblHeader/>
        </w:trPr>
        <w:tc>
          <w:tcPr>
            <w:tcW w:type="dxa" w:w="44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المقياس</w:t>
            </w:r>
          </w:p>
        </w:tc>
        <w:tc>
          <w:tcPr>
            <w:tcW w:type="dxa" w:w="15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المستهدف</w:t>
            </w:r>
          </w:p>
        </w:tc>
        <w:tc>
          <w:tcPr>
            <w:tcW w:type="dxa" w:w="21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المقيس اليوم</w:t>
            </w:r>
          </w:p>
        </w:tc>
      </w:tr>
      <w:tr>
        <w:tc>
          <w:tcPr>
            <w:tcW w:type="dxa" w:w="44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إغلاق قرارات الأهداف — كل هدف بحكم من السبعة</w:t>
            </w:r>
          </w:p>
        </w:tc>
        <w:tc>
          <w:tcPr>
            <w:tcW w:type="dxa" w:w="1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١٠٠٪</w:t>
            </w:r>
          </w:p>
        </w:tc>
        <w:tc>
          <w:tcPr>
            <w:tcW w:type="dxa" w:w="21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غير مقيس</w:t>
            </w:r>
          </w:p>
        </w:tc>
      </w:tr>
      <w:tr>
        <w:tc>
          <w:tcPr>
            <w:tcW w:type="dxa" w:w="44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تحقّق الأهداف — المتحقِّق ÷ المنطبق</w:t>
            </w:r>
          </w:p>
        </w:tc>
        <w:tc>
          <w:tcPr>
            <w:tcW w:type="dxa" w:w="1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يُعلَن بلا سقف</w:t>
            </w:r>
          </w:p>
        </w:tc>
        <w:tc>
          <w:tcPr>
            <w:tcW w:type="dxa" w:w="21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٨٢٫٦٪ اسميًّا</w:t>
            </w:r>
          </w:p>
        </w:tc>
      </w:tr>
      <w:tr>
        <w:tc>
          <w:tcPr>
            <w:tcW w:type="dxa" w:w="44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مطابقة حقول كل سطح مطابَق لملفه</w:t>
            </w:r>
          </w:p>
        </w:tc>
        <w:tc>
          <w:tcPr>
            <w:tcW w:type="dxa" w:w="1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١٠٠٪</w:t>
            </w:r>
          </w:p>
        </w:tc>
        <w:tc>
          <w:tcPr>
            <w:tcW w:type="dxa" w:w="21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غير مقيس</w:t>
            </w:r>
          </w:p>
        </w:tc>
      </w:tr>
      <w:tr>
        <w:tc>
          <w:tcPr>
            <w:tcW w:type="dxa" w:w="44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مطابقة آلة الحالة لكل معاملة</w:t>
            </w:r>
          </w:p>
        </w:tc>
        <w:tc>
          <w:tcPr>
            <w:tcW w:type="dxa" w:w="1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١٠٠٪</w:t>
            </w:r>
          </w:p>
        </w:tc>
        <w:tc>
          <w:tcPr>
            <w:tcW w:type="dxa" w:w="21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غير مقيس</w:t>
            </w:r>
          </w:p>
        </w:tc>
      </w:tr>
      <w:tr>
        <w:tc>
          <w:tcPr>
            <w:tcW w:type="dxa" w:w="44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اختبار سالب لفصل الواجبات الحرج</w:t>
            </w:r>
          </w:p>
        </w:tc>
        <w:tc>
          <w:tcPr>
            <w:tcW w:type="dxa" w:w="1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١٠٠٪</w:t>
            </w:r>
          </w:p>
        </w:tc>
        <w:tc>
          <w:tcPr>
            <w:tcW w:type="dxa" w:w="21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غير مقيس</w:t>
            </w:r>
          </w:p>
        </w:tc>
      </w:tr>
      <w:tr>
        <w:tc>
          <w:tcPr>
            <w:tcW w:type="dxa" w:w="44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مرجع مصدر صريح لكل إسقاط منطبق</w:t>
            </w:r>
          </w:p>
        </w:tc>
        <w:tc>
          <w:tcPr>
            <w:tcW w:type="dxa" w:w="1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١٠٠٪</w:t>
            </w:r>
          </w:p>
        </w:tc>
        <w:tc>
          <w:tcPr>
            <w:tcW w:type="dxa" w:w="21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غير مقيس</w:t>
            </w:r>
          </w:p>
        </w:tc>
      </w:tr>
      <w:tr>
        <w:tc>
          <w:tcPr>
            <w:tcW w:type="dxa" w:w="4400"/>
            <w:shd w:fill="FCE4D6"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جسر معرّف الشاشة بمرحلة دورة العمل — للمنطبق عليه</w:t>
            </w:r>
          </w:p>
        </w:tc>
        <w:tc>
          <w:tcPr>
            <w:tcW w:type="dxa" w:w="1500"/>
            <w:shd w:fill="FCE4D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١٠٠٪ من المنطبق</w:t>
            </w:r>
          </w:p>
        </w:tc>
        <w:tc>
          <w:tcPr>
            <w:tcW w:type="dxa" w:w="2100"/>
            <w:shd w:fill="FCE4D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لا جسر معلَن</w:t>
            </w:r>
          </w:p>
        </w:tc>
      </w:tr>
      <w:tr>
        <w:tc>
          <w:tcPr>
            <w:tcW w:type="dxa" w:w="44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تطابق ترتيب السايدبار ومجموعاته مع الملف</w:t>
            </w:r>
          </w:p>
        </w:tc>
        <w:tc>
          <w:tcPr>
            <w:tcW w:type="dxa" w:w="1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١٠٠٪</w:t>
            </w:r>
          </w:p>
        </w:tc>
        <w:tc>
          <w:tcPr>
            <w:tcW w:type="dxa" w:w="21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غير مقيس</w:t>
            </w:r>
          </w:p>
        </w:tc>
      </w:tr>
      <w:tr>
        <w:tc>
          <w:tcPr>
            <w:tcW w:type="dxa" w:w="44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أسطح تكتب ومالك حقيقتها مجهول</w:t>
            </w:r>
          </w:p>
        </w:tc>
        <w:tc>
          <w:tcPr>
            <w:tcW w:type="dxa" w:w="1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صفر</w:t>
            </w:r>
          </w:p>
        </w:tc>
        <w:tc>
          <w:tcPr>
            <w:tcW w:type="dxa" w:w="21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غير مقيس</w:t>
            </w:r>
          </w:p>
        </w:tc>
      </w:tr>
      <w:tr>
        <w:tc>
          <w:tcPr>
            <w:tcW w:type="dxa" w:w="44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حقيقة واحدة لها مصدران</w:t>
            </w:r>
          </w:p>
        </w:tc>
        <w:tc>
          <w:tcPr>
            <w:tcW w:type="dxa" w:w="1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صفر</w:t>
            </w:r>
          </w:p>
        </w:tc>
        <w:tc>
          <w:tcPr>
            <w:tcW w:type="dxa" w:w="21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غير مقيس</w:t>
            </w:r>
          </w:p>
        </w:tc>
      </w:tr>
      <w:tr>
        <w:tc>
          <w:tcPr>
            <w:tcW w:type="dxa" w:w="44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كتابة تعبر حدود إدارة بلا عقد</w:t>
            </w:r>
          </w:p>
        </w:tc>
        <w:tc>
          <w:tcPr>
            <w:tcW w:type="dxa" w:w="1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صفر</w:t>
            </w:r>
          </w:p>
        </w:tc>
        <w:tc>
          <w:tcPr>
            <w:tcW w:type="dxa" w:w="21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غير مقيس</w:t>
            </w:r>
          </w:p>
        </w:tc>
      </w:tr>
      <w:tr>
        <w:tc>
          <w:tcPr>
            <w:tcW w:type="dxa" w:w="4400"/>
            <w:shd w:fill="FCE4D6"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هجرات غير مصالَحة مع الدفتر</w:t>
            </w:r>
          </w:p>
        </w:tc>
        <w:tc>
          <w:tcPr>
            <w:tcW w:type="dxa" w:w="1500"/>
            <w:shd w:fill="FCE4D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صفر</w:t>
            </w:r>
          </w:p>
        </w:tc>
        <w:tc>
          <w:tcPr>
            <w:tcW w:type="dxa" w:w="2100"/>
            <w:shd w:fill="FCE4D6"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٥٨</w:t>
            </w:r>
          </w:p>
        </w:tc>
      </w:tr>
      <w:tr>
        <w:tc>
          <w:tcPr>
            <w:tcW w:type="dxa" w:w="44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شاشة PLATFORM بلا تبرير منصّي معتمد</w:t>
            </w:r>
          </w:p>
        </w:tc>
        <w:tc>
          <w:tcPr>
            <w:tcW w:type="dxa" w:w="1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صفر</w:t>
            </w:r>
          </w:p>
        </w:tc>
        <w:tc>
          <w:tcPr>
            <w:tcW w:type="dxa" w:w="21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١٢ تحتاج مراجعة</w:t>
            </w:r>
          </w:p>
        </w:tc>
      </w:tr>
      <w:tr>
        <w:tc>
          <w:tcPr>
            <w:tcW w:type="dxa" w:w="44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ملف مكتبة مسجَّل شاشةً — وقاعدة مانعة مفعَّلة</w:t>
            </w:r>
          </w:p>
        </w:tc>
        <w:tc>
          <w:tcPr>
            <w:tcW w:type="dxa" w:w="1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صفر · مفعَّلة</w:t>
            </w:r>
          </w:p>
        </w:tc>
        <w:tc>
          <w:tcPr>
            <w:tcW w:type="dxa" w:w="21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٢ · لا قاعدة</w:t>
            </w:r>
          </w:p>
        </w:tc>
      </w:tr>
      <w:tr>
        <w:tc>
          <w:tcPr>
            <w:tcW w:type="dxa" w:w="440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أهداف خرجت من المقام بلا مرجع قرار مالك</w:t>
            </w:r>
          </w:p>
        </w:tc>
        <w:tc>
          <w:tcPr>
            <w:tcW w:type="dxa" w:w="15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صفر</w:t>
            </w:r>
          </w:p>
        </w:tc>
        <w:tc>
          <w:tcPr>
            <w:tcW w:type="dxa" w:w="21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غير مقيس</w:t>
            </w:r>
          </w:p>
        </w:tc>
      </w:tr>
      <w:tr>
        <w:tc>
          <w:tcPr>
            <w:tcW w:type="dxa" w:w="440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اسم معروض غير معتمد</w:t>
            </w:r>
          </w:p>
        </w:tc>
        <w:tc>
          <w:tcPr>
            <w:tcW w:type="dxa" w:w="15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صفر</w:t>
            </w:r>
          </w:p>
        </w:tc>
        <w:tc>
          <w:tcPr>
            <w:tcW w:type="dxa" w:w="21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غير مقيس</w:t>
            </w:r>
          </w:p>
        </w:tc>
      </w:tr>
    </w:tbl>
    <w:p>
      <w:pPr>
        <w:bidi/>
        <w:spacing w:after="120" w:line="300"/>
        <w:jc w:val="both"/>
      </w:pPr>
      <w:r>
        <w:rPr>
          <w:rFonts w:ascii="Segoe UI" w:cs="Segoe UI" w:eastAsia="Segoe UI" w:hAnsi="Segoe UI"/>
          <w:b/>
          <w:bCs/>
          <w:sz w:val="21"/>
          <w:szCs w:val="21"/>
          <w:rtl/>
        </w:rPr>
        <w:t xml:space="preserve">وما كان «غير مقيس» فأول واجبك أن تقيسه — فالمقياس الذي لا يُقاس ليس معيارًا بل أمنية.</w:t>
      </w:r>
    </w:p>
    <w:p>
      <w:pPr>
        <w:pStyle w:val="Heading1"/>
        <w:bidi/>
        <w:spacing w:after="140" w:before="320"/>
        <w:jc w:val="right"/>
      </w:pPr>
      <w:r>
        <w:rPr>
          <w:rFonts w:ascii="Segoe UI" w:cs="Segoe UI" w:eastAsia="Segoe UI" w:hAnsi="Segoe UI"/>
          <w:b/>
          <w:bCs/>
          <w:color w:val="1F3864"/>
          <w:sz w:val="30"/>
          <w:szCs w:val="30"/>
          <w:rtl/>
        </w:rPr>
        <w:t xml:space="preserve">١٣ · ترتيب التنفيذ</w:t>
      </w:r>
    </w:p>
    <w:tbl>
      <w:tblPr>
        <w:bidiVisual/>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50"/>
        <w:gridCol w:w="3450"/>
        <w:gridCol w:w="4000"/>
      </w:tblGrid>
      <w:tr>
        <w:trPr>
          <w:tblHeader/>
        </w:trPr>
        <w:tc>
          <w:tcPr>
            <w:tcW w:type="dxa" w:w="55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w:t>
            </w:r>
          </w:p>
        </w:tc>
        <w:tc>
          <w:tcPr>
            <w:tcW w:type="dxa" w:w="345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الخطوة</w:t>
            </w:r>
          </w:p>
        </w:tc>
        <w:tc>
          <w:tcPr>
            <w:tcW w:type="dxa" w:w="4000"/>
            <w:shd w:fill="1F3864" w:color="auto" w:val="clear"/>
            <w:tcMar>
              <w:top w:type="dxa" w:w="55"/>
              <w:left w:type="dxa" w:w="70"/>
              <w:bottom w:type="dxa" w:w="55"/>
              <w:right w:type="dxa" w:w="70"/>
            </w:tcMar>
          </w:tcPr>
          <w:p>
            <w:pPr>
              <w:bidi/>
              <w:spacing w:after="0" w:line="250"/>
              <w:jc w:val="center"/>
            </w:pPr>
            <w:r>
              <w:rPr>
                <w:rFonts w:ascii="Segoe UI" w:cs="Segoe UI" w:eastAsia="Segoe UI" w:hAnsi="Segoe UI"/>
                <w:b/>
                <w:bCs/>
                <w:color w:val="FFFFFF"/>
                <w:sz w:val="15"/>
                <w:szCs w:val="15"/>
                <w:rtl/>
              </w:rPr>
              <w:t xml:space="preserve">لماذا هذا موضعها</w:t>
            </w:r>
          </w:p>
        </w:tc>
      </w:tr>
      <w:tr>
        <w:tc>
          <w:tcPr>
            <w:tcW w:type="dxa" w:w="55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w:t>
            </w:r>
          </w:p>
        </w:tc>
        <w:tc>
          <w:tcPr>
            <w:tcW w:type="dxa" w:w="345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بوابة رسوب فورية لهجرة لا تسجّل نفسها</w:t>
            </w:r>
          </w:p>
        </w:tc>
        <w:tc>
          <w:tcPr>
            <w:tcW w:type="dxa" w:w="40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أوقف النزيف قبل أي عمل — تكرّرت ثلاثًا</w:t>
            </w:r>
          </w:p>
        </w:tc>
      </w:tr>
      <w:tr>
        <w:tc>
          <w:tcPr>
            <w:tcW w:type="dxa" w:w="55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٢</w:t>
            </w:r>
          </w:p>
        </w:tc>
        <w:tc>
          <w:tcPr>
            <w:tcW w:type="dxa" w:w="345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تسوية الثمانية والخمسين التاريخية بحالاتها</w:t>
            </w:r>
          </w:p>
        </w:tc>
        <w:tc>
          <w:tcPr>
            <w:tcW w:type="dxa" w:w="40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لا هجرة بلا حالة محكومة</w:t>
            </w:r>
          </w:p>
        </w:tc>
      </w:tr>
      <w:tr>
        <w:tc>
          <w:tcPr>
            <w:tcW w:type="dxa" w:w="55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٣</w:t>
            </w:r>
          </w:p>
        </w:tc>
        <w:tc>
          <w:tcPr>
            <w:tcW w:type="dxa" w:w="345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تنظيف الشجرة وتجميد اللقطة الأولى</w:t>
            </w:r>
          </w:p>
        </w:tc>
        <w:tc>
          <w:tcPr>
            <w:tcW w:type="dxa" w:w="40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لا يُقاس ما يتغيّر ولا ما لا يُعرف</w:t>
            </w:r>
          </w:p>
        </w:tc>
      </w:tr>
      <w:tr>
        <w:tc>
          <w:tcPr>
            <w:tcW w:type="dxa" w:w="55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٤</w:t>
            </w:r>
          </w:p>
        </w:tc>
        <w:tc>
          <w:tcPr>
            <w:tcW w:type="dxa" w:w="345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توحيد كون الأهداف</w:t>
            </w:r>
          </w:p>
        </w:tc>
        <w:tc>
          <w:tcPr>
            <w:tcW w:type="dxa" w:w="40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لا تُقاس تغطية على كونين</w:t>
            </w:r>
          </w:p>
        </w:tc>
      </w:tr>
      <w:tr>
        <w:tc>
          <w:tcPr>
            <w:tcW w:type="dxa" w:w="55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٥</w:t>
            </w:r>
          </w:p>
        </w:tc>
        <w:tc>
          <w:tcPr>
            <w:tcW w:type="dxa" w:w="345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مصالحة المعرّفات — كل هدف بحكمه وشاهده</w:t>
            </w:r>
          </w:p>
        </w:tc>
        <w:tc>
          <w:tcPr>
            <w:tcW w:type="dxa" w:w="40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المقام الصحيح قبل أي علاج</w:t>
            </w:r>
          </w:p>
        </w:tc>
      </w:tr>
      <w:tr>
        <w:tc>
          <w:tcPr>
            <w:tcW w:type="dxa" w:w="55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٦</w:t>
            </w:r>
          </w:p>
        </w:tc>
        <w:tc>
          <w:tcPr>
            <w:tcW w:type="dxa" w:w="345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المراجعة العكسية بالخمسة عشر سؤالًا</w:t>
            </w:r>
          </w:p>
        </w:tc>
        <w:tc>
          <w:tcPr>
            <w:tcW w:type="dxa" w:w="40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من المبنيّ إلى المصمَّم</w:t>
            </w:r>
          </w:p>
        </w:tc>
      </w:tr>
      <w:tr>
        <w:tc>
          <w:tcPr>
            <w:tcW w:type="dxa" w:w="55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٧</w:t>
            </w:r>
          </w:p>
        </w:tc>
        <w:tc>
          <w:tcPr>
            <w:tcW w:type="dxa" w:w="345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مراجعة عابرة للموجات على الرحلات الست</w:t>
            </w:r>
          </w:p>
        </w:tc>
        <w:tc>
          <w:tcPr>
            <w:tcW w:type="dxa" w:w="40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خطأ التسليم بين مرحلتين لا يظهر داخل واحدة</w:t>
            </w:r>
          </w:p>
        </w:tc>
      </w:tr>
      <w:tr>
        <w:tc>
          <w:tcPr>
            <w:tcW w:type="dxa" w:w="55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٨</w:t>
            </w:r>
          </w:p>
        </w:tc>
        <w:tc>
          <w:tcPr>
            <w:tcW w:type="dxa" w:w="345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فرز الفائض وإصلاح الحرج منه</w:t>
            </w:r>
          </w:p>
        </w:tc>
        <w:tc>
          <w:tcPr>
            <w:tcW w:type="dxa" w:w="40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لا يُبنى فوق تعارض مصدر</w:t>
            </w:r>
          </w:p>
        </w:tc>
      </w:tr>
      <w:tr>
        <w:tc>
          <w:tcPr>
            <w:tcW w:type="dxa" w:w="55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٩</w:t>
            </w:r>
          </w:p>
        </w:tc>
        <w:tc>
          <w:tcPr>
            <w:tcW w:type="dxa" w:w="345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إغلاق قياس اللقطة الأولى وفكّ التجميد</w:t>
            </w:r>
          </w:p>
        </w:tc>
        <w:tc>
          <w:tcPr>
            <w:tcW w:type="dxa" w:w="40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انتهت المراجعة فيبدأ الإصلاح</w:t>
            </w:r>
          </w:p>
        </w:tc>
      </w:tr>
      <w:tr>
        <w:tc>
          <w:tcPr>
            <w:tcW w:type="dxa" w:w="55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١٠</w:t>
            </w:r>
          </w:p>
        </w:tc>
        <w:tc>
          <w:tcPr>
            <w:tcW w:type="dxa" w:w="345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دليلا السايدبار والمصالحة بينهما</w:t>
            </w:r>
          </w:p>
        </w:tc>
        <w:tc>
          <w:tcPr>
            <w:tcW w:type="dxa" w:w="40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الملاحة قبل الشاشة</w:t>
            </w:r>
          </w:p>
        </w:tc>
      </w:tr>
      <w:tr>
        <w:tc>
          <w:tcPr>
            <w:tcW w:type="dxa" w:w="55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١١</w:t>
            </w:r>
          </w:p>
        </w:tc>
        <w:tc>
          <w:tcPr>
            <w:tcW w:type="dxa" w:w="345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تصحيح السايدبار بخطواته السبع</w:t>
            </w:r>
          </w:p>
        </w:tc>
        <w:tc>
          <w:tcPr>
            <w:tcW w:type="dxa" w:w="40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المظهر المرئي لدورة العمل</w:t>
            </w:r>
          </w:p>
        </w:tc>
      </w:tr>
      <w:tr>
        <w:tc>
          <w:tcPr>
            <w:tcW w:type="dxa" w:w="55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١٢</w:t>
            </w:r>
          </w:p>
        </w:tc>
        <w:tc>
          <w:tcPr>
            <w:tcW w:type="dxa" w:w="345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تصحيح الشاشات بخطواتها الثماني عشرة</w:t>
            </w:r>
          </w:p>
        </w:tc>
        <w:tc>
          <w:tcPr>
            <w:tcW w:type="dxa" w:w="40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بعد استقرار الملاحة</w:t>
            </w:r>
          </w:p>
        </w:tc>
      </w:tr>
      <w:tr>
        <w:tc>
          <w:tcPr>
            <w:tcW w:type="dxa" w:w="55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١٣</w:t>
            </w:r>
          </w:p>
        </w:tc>
        <w:tc>
          <w:tcPr>
            <w:tcW w:type="dxa" w:w="345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بناء غير المبنيّ بأولويةٍ تُحسب بعد المصالحة</w:t>
            </w:r>
          </w:p>
        </w:tc>
        <w:tc>
          <w:tcPr>
            <w:tcW w:type="dxa" w:w="40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لا قبلها — فالترتيب يتغيّر بتغيّر المقام</w:t>
            </w:r>
          </w:p>
        </w:tc>
      </w:tr>
      <w:tr>
        <w:tc>
          <w:tcPr>
            <w:tcW w:type="dxa" w:w="55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١٤</w:t>
            </w:r>
          </w:p>
        </w:tc>
        <w:tc>
          <w:tcPr>
            <w:tcW w:type="dxa" w:w="345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حكم الفائض الحميد</w:t>
            </w:r>
          </w:p>
        </w:tc>
        <w:tc>
          <w:tcPr>
            <w:tcW w:type="dxa" w:w="40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التراث لا يُترك بلا حكم</w:t>
            </w:r>
          </w:p>
        </w:tc>
      </w:tr>
      <w:tr>
        <w:tc>
          <w:tcPr>
            <w:tcW w:type="dxa" w:w="55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١٥</w:t>
            </w:r>
          </w:p>
        </w:tc>
        <w:tc>
          <w:tcPr>
            <w:tcW w:type="dxa" w:w="345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تجميد اللقطة الثانية والمصالحة النهائية</w:t>
            </w:r>
          </w:p>
        </w:tc>
        <w:tc>
          <w:tcPr>
            <w:tcW w:type="dxa" w:w="40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قياس على حالة مستقرة</w:t>
            </w:r>
          </w:p>
        </w:tc>
      </w:tr>
      <w:tr>
        <w:tc>
          <w:tcPr>
            <w:tcW w:type="dxa" w:w="550"/>
            <w:shd w:fill="F2F5FA" w:color="auto" w:val="clear"/>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١٦</w:t>
            </w:r>
          </w:p>
        </w:tc>
        <w:tc>
          <w:tcPr>
            <w:tcW w:type="dxa" w:w="345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إعادة إصدار القسم الثالث بالمقام النهائي</w:t>
            </w:r>
          </w:p>
        </w:tc>
        <w:tc>
          <w:tcPr>
            <w:tcW w:type="dxa" w:w="4000"/>
            <w:shd w:fill="F2F5FA" w:color="auto" w:val="clear"/>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الجدول الحالي مؤقت بتصميمه</w:t>
            </w:r>
          </w:p>
        </w:tc>
      </w:tr>
      <w:tr>
        <w:tc>
          <w:tcPr>
            <w:tcW w:type="dxa" w:w="550"/>
            <w:tcMar>
              <w:top w:type="dxa" w:w="55"/>
              <w:left w:type="dxa" w:w="70"/>
              <w:bottom w:type="dxa" w:w="55"/>
              <w:right w:type="dxa" w:w="70"/>
            </w:tcMar>
          </w:tcPr>
          <w:p>
            <w:pPr>
              <w:bidi/>
              <w:spacing w:after="0" w:line="250"/>
              <w:jc w:val="right"/>
            </w:pPr>
            <w:r>
              <w:rPr>
                <w:rFonts w:ascii="Segoe UI" w:cs="Segoe UI" w:eastAsia="Segoe UI" w:hAnsi="Segoe UI"/>
                <w:sz w:val="15"/>
                <w:szCs w:val="15"/>
                <w:rtl/>
              </w:rPr>
              <w:t xml:space="preserve">١٧</w:t>
            </w:r>
          </w:p>
        </w:tc>
        <w:tc>
          <w:tcPr>
            <w:tcW w:type="dxa" w:w="345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قفل معيار قبول RPR-02</w:t>
            </w:r>
          </w:p>
        </w:tc>
        <w:tc>
          <w:tcPr>
            <w:tcW w:type="dxa" w:w="4000"/>
            <w:tcMar>
              <w:top w:type="dxa" w:w="55"/>
              <w:left w:type="dxa" w:w="70"/>
              <w:bottom w:type="dxa" w:w="55"/>
              <w:right w:type="dxa" w:w="70"/>
            </w:tcMar>
          </w:tcPr>
          <w:p>
            <w:pPr>
              <w:bidi/>
              <w:spacing w:after="0" w:line="250"/>
              <w:jc w:val="center"/>
            </w:pPr>
            <w:r>
              <w:rPr>
                <w:rFonts w:ascii="Segoe UI" w:cs="Segoe UI" w:eastAsia="Segoe UI" w:hAnsi="Segoe UI"/>
                <w:sz w:val="15"/>
                <w:szCs w:val="15"/>
                <w:rtl/>
              </w:rPr>
              <w:t xml:space="preserve">ثم ينتقل العمل إلى RPR-03</w:t>
            </w:r>
          </w:p>
        </w:tc>
      </w:tr>
    </w:tbl>
    <w:p>
      <w:pPr>
        <w:pStyle w:val="Heading1"/>
        <w:bidi/>
        <w:spacing w:after="140" w:before="320"/>
        <w:jc w:val="right"/>
      </w:pPr>
      <w:r>
        <w:rPr>
          <w:rFonts w:ascii="Segoe UI" w:cs="Segoe UI" w:eastAsia="Segoe UI" w:hAnsi="Segoe UI"/>
          <w:b/>
          <w:bCs/>
          <w:color w:val="1F3864"/>
          <w:sz w:val="30"/>
          <w:szCs w:val="30"/>
          <w:rtl/>
        </w:rPr>
        <w:t xml:space="preserve">١٤ · المطلوب في ردّك</w:t>
      </w:r>
    </w:p>
    <w:p>
      <w:pPr>
        <w:pStyle w:val="ListParagraph"/>
        <w:numPr>
          <w:ilvl w:val="0"/>
          <w:numId w:val="2"/>
        </w:numPr>
        <w:bidi/>
        <w:spacing w:after="90" w:line="300"/>
        <w:jc w:val="both"/>
      </w:pPr>
      <w:r>
        <w:rPr>
          <w:rFonts w:ascii="Segoe UI" w:cs="Segoe UI" w:eastAsia="Segoe UI" w:hAnsi="Segoe UI"/>
          <w:sz w:val="21"/>
          <w:szCs w:val="21"/>
          <w:rtl/>
        </w:rPr>
        <w:t xml:space="preserve">كون الأهداف الموحَّد: كم هدفًا من ملفاتنا · وكم من سجلكم · وكم مشتركًا.</w:t>
      </w:r>
    </w:p>
    <w:p>
      <w:pPr>
        <w:pStyle w:val="ListParagraph"/>
        <w:numPr>
          <w:ilvl w:val="0"/>
          <w:numId w:val="2"/>
        </w:numPr>
        <w:bidi/>
        <w:spacing w:after="90" w:line="300"/>
        <w:jc w:val="both"/>
      </w:pPr>
      <w:r>
        <w:rPr>
          <w:rFonts w:ascii="Segoe UI" w:cs="Segoe UI" w:eastAsia="Segoe UI" w:hAnsi="Segoe UI"/>
          <w:sz w:val="21"/>
          <w:szCs w:val="21"/>
          <w:rtl/>
        </w:rPr>
        <w:t xml:space="preserve">جدول مصالحة المعرّفات: كل هدف بحكمه من السبعة وشاهده ومعرّف لقطته — وعدد كل حكم.</w:t>
      </w:r>
    </w:p>
    <w:p>
      <w:pPr>
        <w:pStyle w:val="ListParagraph"/>
        <w:numPr>
          <w:ilvl w:val="0"/>
          <w:numId w:val="2"/>
        </w:numPr>
        <w:bidi/>
        <w:spacing w:after="90" w:line="300"/>
        <w:jc w:val="both"/>
      </w:pPr>
      <w:r>
        <w:rPr>
          <w:rFonts w:ascii="Segoe UI" w:cs="Segoe UI" w:eastAsia="Segoe UI" w:hAnsi="Segoe UI"/>
          <w:sz w:val="21"/>
          <w:szCs w:val="21"/>
          <w:rtl/>
        </w:rPr>
        <w:t xml:space="preserve">المقياسان منفصلين: إغلاق قرارات الأهداف · وتحقّق الأهداف.</w:t>
      </w:r>
    </w:p>
    <w:p>
      <w:pPr>
        <w:pStyle w:val="ListParagraph"/>
        <w:numPr>
          <w:ilvl w:val="0"/>
          <w:numId w:val="2"/>
        </w:numPr>
        <w:bidi/>
        <w:spacing w:after="90" w:line="300"/>
        <w:jc w:val="both"/>
      </w:pPr>
      <w:r>
        <w:rPr>
          <w:rFonts w:ascii="Segoe UI" w:cs="Segoe UI" w:eastAsia="Segoe UI" w:hAnsi="Segoe UI"/>
          <w:sz w:val="21"/>
          <w:szCs w:val="21"/>
          <w:rtl/>
        </w:rPr>
        <w:t xml:space="preserve">جدول المراجعة العكسية لكل مرحلة بسبعة عشر عمودًا.</w:t>
      </w:r>
    </w:p>
    <w:p>
      <w:pPr>
        <w:pStyle w:val="ListParagraph"/>
        <w:numPr>
          <w:ilvl w:val="0"/>
          <w:numId w:val="2"/>
        </w:numPr>
        <w:bidi/>
        <w:spacing w:after="90" w:line="300"/>
        <w:jc w:val="both"/>
      </w:pPr>
      <w:r>
        <w:rPr>
          <w:rFonts w:ascii="Segoe UI" w:cs="Segoe UI" w:eastAsia="Segoe UI" w:hAnsi="Segoe UI"/>
          <w:sz w:val="21"/>
          <w:szCs w:val="21"/>
          <w:rtl/>
        </w:rPr>
        <w:t xml:space="preserve">ملخّص لكل رمز نطاقٍ وملكية: مطابق · فرق ترتيب · فرق مجموعة · فرق حبّة · فرق حقول · مخالفة ملكية.</w:t>
      </w:r>
    </w:p>
    <w:p>
      <w:pPr>
        <w:pStyle w:val="ListParagraph"/>
        <w:numPr>
          <w:ilvl w:val="0"/>
          <w:numId w:val="2"/>
        </w:numPr>
        <w:bidi/>
        <w:spacing w:after="90" w:line="300"/>
        <w:jc w:val="both"/>
      </w:pPr>
      <w:r>
        <w:rPr>
          <w:rFonts w:ascii="Segoe UI" w:cs="Segoe UI" w:eastAsia="Segoe UI" w:hAnsi="Segoe UI"/>
          <w:sz w:val="21"/>
          <w:szCs w:val="21"/>
          <w:rtl/>
        </w:rPr>
        <w:t xml:space="preserve">دليلا السايدبار منفصلين ومصالحتهما بفروقها المسمّاة.</w:t>
      </w:r>
    </w:p>
    <w:p>
      <w:pPr>
        <w:pStyle w:val="ListParagraph"/>
        <w:numPr>
          <w:ilvl w:val="0"/>
          <w:numId w:val="2"/>
        </w:numPr>
        <w:bidi/>
        <w:spacing w:after="90" w:line="300"/>
        <w:jc w:val="both"/>
      </w:pPr>
      <w:r>
        <w:rPr>
          <w:rFonts w:ascii="Segoe UI" w:cs="Segoe UI" w:eastAsia="Segoe UI" w:hAnsi="Segoe UI"/>
          <w:sz w:val="21"/>
          <w:szCs w:val="21"/>
          <w:rtl/>
        </w:rPr>
        <w:t xml:space="preserve">الفائض مقسومًا: حرج بحكمه · وحميد بموعد تصفيته.</w:t>
      </w:r>
    </w:p>
    <w:p>
      <w:pPr>
        <w:pStyle w:val="ListParagraph"/>
        <w:numPr>
          <w:ilvl w:val="0"/>
          <w:numId w:val="2"/>
        </w:numPr>
        <w:bidi/>
        <w:spacing w:after="90" w:line="300"/>
        <w:jc w:val="both"/>
      </w:pPr>
      <w:r>
        <w:rPr>
          <w:rFonts w:ascii="Segoe UI" w:cs="Segoe UI" w:eastAsia="Segoe UI" w:hAnsi="Segoe UI"/>
          <w:sz w:val="21"/>
          <w:szCs w:val="21"/>
          <w:rtl/>
        </w:rPr>
        <w:t xml:space="preserve">عدد ما خرج من المقام: بقرار مالك · وببديل موثَّق — كلٌّ بمرجعه.</w:t>
      </w:r>
    </w:p>
    <w:p>
      <w:pPr>
        <w:pStyle w:val="ListParagraph"/>
        <w:numPr>
          <w:ilvl w:val="0"/>
          <w:numId w:val="2"/>
        </w:numPr>
        <w:bidi/>
        <w:spacing w:after="90" w:line="300"/>
        <w:jc w:val="both"/>
      </w:pPr>
      <w:r>
        <w:rPr>
          <w:rFonts w:ascii="Segoe UI" w:cs="Segoe UI" w:eastAsia="Segoe UI" w:hAnsi="Segoe UI"/>
          <w:sz w:val="21"/>
          <w:szCs w:val="21"/>
          <w:rtl/>
        </w:rPr>
        <w:t xml:space="preserve">أسطح PLATFORM الاثنتا عشرة: ما استوفى المعايير الأربعة وما عاد إلى إدارته.</w:t>
      </w:r>
    </w:p>
    <w:p>
      <w:pPr>
        <w:pStyle w:val="ListParagraph"/>
        <w:numPr>
          <w:ilvl w:val="0"/>
          <w:numId w:val="2"/>
        </w:numPr>
        <w:bidi/>
        <w:spacing w:after="90" w:line="300"/>
        <w:jc w:val="both"/>
      </w:pPr>
      <w:r>
        <w:rPr>
          <w:rFonts w:ascii="Segoe UI" w:cs="Segoe UI" w:eastAsia="Segoe UI" w:hAnsi="Segoe UI"/>
          <w:sz w:val="21"/>
          <w:szCs w:val="21"/>
          <w:rtl/>
        </w:rPr>
        <w:t xml:space="preserve">حالة المقاييس الستة عشر في معيار القبول قبل وبعد.</w:t>
      </w:r>
    </w:p>
    <w:p>
      <w:pPr>
        <w:pStyle w:val="ListParagraph"/>
        <w:numPr>
          <w:ilvl w:val="0"/>
          <w:numId w:val="2"/>
        </w:numPr>
        <w:bidi/>
        <w:spacing w:after="90" w:line="300"/>
        <w:jc w:val="both"/>
      </w:pPr>
      <w:r>
        <w:rPr>
          <w:rFonts w:ascii="Segoe UI" w:cs="Segoe UI" w:eastAsia="Segoe UI" w:hAnsi="Segoe UI"/>
          <w:sz w:val="21"/>
          <w:szCs w:val="21"/>
          <w:rtl/>
        </w:rPr>
        <w:t xml:space="preserve">وما لم تستطع قياسه — سمِّه ولا تخمّنه.</w:t>
      </w:r>
    </w:p>
    <w:p>
      <w:pPr>
        <w:pBdr>
          <w:top w:val="single" w:color="1F3864" w:sz="8"/>
        </w:pBdr>
        <w:spacing w:before="400"/>
      </w:pPr>
    </w:p>
    <w:p>
      <w:pPr>
        <w:bidi/>
        <w:spacing w:after="0" w:line="300"/>
        <w:jc w:val="both"/>
      </w:pPr>
      <w:r>
        <w:rPr>
          <w:rFonts w:ascii="Segoe UI" w:cs="Segoe UI" w:eastAsia="Segoe UI" w:hAnsi="Segoe UI"/>
          <w:b/>
          <w:bCs/>
          <w:color w:val="1F3864"/>
          <w:sz w:val="21"/>
          <w:szCs w:val="21"/>
          <w:rtl/>
        </w:rPr>
        <w:t xml:space="preserve">القاعدة الختامية: </w:t>
      </w:r>
      <w:r>
        <w:rPr>
          <w:rFonts w:ascii="Segoe UI" w:cs="Segoe UI" w:eastAsia="Segoe UI" w:hAnsi="Segoe UI"/>
          <w:sz w:val="21"/>
          <w:szCs w:val="21"/>
          <w:rtl/>
        </w:rPr>
        <w:t xml:space="preserve">ما بُني ولم يُطابَق بمعرّفه لا يُعدّ مصحَّحًا · وما طوبق ولم يُمارَس لا يُعدّ مقبولًا · وما قيس أثناء تغيّره لا يُعدّ مقيسًا · وما قيس على وحدات مدموجة لا يُعدّ مقامًا · </w:t>
      </w:r>
      <w:r>
        <w:rPr>
          <w:rFonts w:ascii="Segoe UI" w:cs="Segoe UI" w:eastAsia="Segoe UI" w:hAnsi="Segoe UI"/>
          <w:b/>
          <w:bCs/>
          <w:sz w:val="21"/>
          <w:szCs w:val="21"/>
          <w:rtl/>
        </w:rPr>
        <w:t xml:space="preserve">ونسبةٌ تُخفي نقصًا أسوأ من نقصٍ معلَن.</w:t>
      </w:r>
    </w:p>
    <w:sectPr>
      <w:headerReference w:type="default" r:id="rId7"/>
      <w:footerReference w:type="default" r:id="rId8"/>
      <w:pgSz w:w="11906" w:h="16838" w:orient="portrait"/>
      <w:pgMar w:top="1100" w:right="900" w:bottom="11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44546A"/>
        <w:sz w:val="15"/>
        <w:szCs w:val="15"/>
      </w:rPr>
      <w:t xml:space="preserve">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bidi/>
      <w:jc w:val="right"/>
    </w:pPr>
    <w:r>
      <w:rPr>
        <w:rFonts w:ascii="Segoe UI" w:cs="Segoe UI" w:eastAsia="Segoe UI" w:hAnsi="Segoe UI"/>
        <w:color w:val="44546A"/>
        <w:sz w:val="15"/>
        <w:szCs w:val="15"/>
        <w:rtl/>
      </w:rPr>
      <w:t xml:space="preserve">RPR-02 · v2.3 · إغلاق مطابقة الدليل المعماري للسايدبار والشاشات — إكوبيشن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jc w:val="right"/>
    </w:pPr>
    <w:rPr>
      <w:rFonts w:ascii="Segoe UI" w:cs="Segoe UI" w:eastAsia="Segoe UI" w:hAnsi="Segoe UI"/>
      <w:b/>
      <w:bCs/>
      <w:color w:val="1F3864"/>
      <w:sz w:val="30"/>
      <w:szCs w:val="30"/>
    </w:rPr>
  </w:style>
  <w:style w:type="paragraph" w:styleId="Heading2">
    <w:name w:val="Heading 2"/>
    <w:basedOn w:val="Normal"/>
    <w:next w:val="Normal"/>
    <w:qFormat/>
    <w:pPr>
      <w:spacing w:after="120" w:before="250"/>
      <w:jc w:val="right"/>
    </w:pPr>
    <w:rPr>
      <w:rFonts w:ascii="Segoe UI" w:cs="Segoe UI" w:eastAsia="Segoe UI" w:hAnsi="Segoe U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RPR-02 v2.3 — إغلاق مطابقة الدليل المعماري للسايدبار والشاشات</dc:title>
  <dc:creator>مالك إكوبيشن</dc:creator>
  <cp:lastModifiedBy>Un-named</cp:lastModifiedBy>
  <cp:revision>1</cp:revision>
  <dcterms:created xsi:type="dcterms:W3CDTF">2026-08-29T10:24:39.863Z</dcterms:created>
  <dcterms:modified xsi:type="dcterms:W3CDTF">2026-08-29T10:24:39.877Z</dcterms:modified>
</cp:coreProperties>
</file>

<file path=docProps/custom.xml><?xml version="1.0" encoding="utf-8"?>
<Properties xmlns="http://schemas.openxmlformats.org/officeDocument/2006/custom-properties" xmlns:vt="http://schemas.openxmlformats.org/officeDocument/2006/docPropsVTypes"/>
</file>