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300" w:before="1300"/>
        <w:jc w:val="center"/>
      </w:pPr>
      <w:r>
        <w:rPr>
          <w:rFonts w:ascii="Segoe UI" w:cs="Segoe UI" w:eastAsia="Segoe UI" w:hAnsi="Segoe UI"/>
          <w:b/>
          <w:bCs/>
          <w:color w:val="C00000"/>
          <w:sz w:val="24"/>
          <w:szCs w:val="24"/>
          <w:rtl/>
        </w:rPr>
        <w:t xml:space="preserve">أمر تنفيذي</w:t>
      </w:r>
    </w:p>
    <w:p>
      <w:pPr>
        <w:bidi/>
        <w:spacing w:after="60"/>
        <w:jc w:val="center"/>
      </w:pPr>
      <w:r>
        <w:rPr>
          <w:rFonts w:ascii="Segoe UI" w:cs="Segoe UI" w:eastAsia="Segoe UI" w:hAnsi="Segoe UI"/>
          <w:b/>
          <w:bCs/>
          <w:color w:val="1F3864"/>
          <w:sz w:val="56"/>
          <w:szCs w:val="56"/>
        </w:rPr>
        <w:t xml:space="preserve">RPR-03</w:t>
      </w:r>
    </w:p>
    <w:p>
      <w:pPr>
        <w:bidi/>
        <w:spacing w:after="200"/>
        <w:jc w:val="center"/>
      </w:pPr>
      <w:r>
        <w:rPr>
          <w:rFonts w:ascii="Segoe UI" w:cs="Segoe UI" w:eastAsia="Segoe UI" w:hAnsi="Segoe UI"/>
          <w:b/>
          <w:bCs/>
          <w:color w:val="1F3864"/>
          <w:sz w:val="30"/>
          <w:szCs w:val="30"/>
          <w:rtl/>
        </w:rPr>
        <w:t xml:space="preserve">التكامل والإنفاذ والجاهزية التشغيلية</w:t>
      </w:r>
    </w:p>
    <w:p>
      <w:pPr>
        <w:bidi/>
        <w:spacing w:after="560"/>
        <w:jc w:val="center"/>
      </w:pPr>
      <w:r>
        <w:rPr>
          <w:rFonts w:ascii="Segoe UI" w:cs="Segoe UI" w:eastAsia="Segoe UI" w:hAnsi="Segoe UI"/>
          <w:color w:val="44546A"/>
          <w:sz w:val="23"/>
          <w:szCs w:val="23"/>
          <w:rtl/>
        </w:rPr>
        <w:t xml:space="preserve">من نظامٍ مبنيٍّ يعرف نفسه · إلى نظامٍ يعمل ويمنع ويُثبت</w:t>
      </w:r>
    </w:p>
    <w:tbl>
      <w:tblPr>
        <w:bidiVisual/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700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البند</w:t>
            </w:r>
          </w:p>
        </w:tc>
        <w:tc>
          <w:tcPr>
            <w:tcW w:type="dxa" w:w="5700"/>
            <w:shd w:fill="1F3864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القيمة</w:t>
            </w:r>
          </w:p>
        </w:tc>
      </w:tr>
      <w:tr>
        <w:tc>
          <w:tcPr>
            <w:tcW w:type="dxa" w:w="23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نطاق هذا الأمر</w:t>
            </w:r>
          </w:p>
        </w:tc>
        <w:tc>
          <w:tcPr>
            <w:tcW w:type="dxa" w:w="57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الأحداث · الإنفاذ · الصلاحيات · الرحلات البشرية · الاستعادة · الجاهزية</w:t>
            </w:r>
          </w:p>
        </w:tc>
      </w:tr>
      <w:tr>
        <w:tc>
          <w:tcPr>
            <w:tcW w:type="dxa" w:w="23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ما ليس من نطاقه</w:t>
            </w:r>
          </w:p>
        </w:tc>
        <w:tc>
          <w:tcPr>
            <w:tcW w:type="dxa" w:w="57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مطابقة المعمارية والسايدبار والشاشات — في RPR-02 المستقل</w:t>
            </w:r>
          </w:p>
        </w:tc>
      </w:tr>
      <w:tr>
        <w:tc>
          <w:tcPr>
            <w:tcW w:type="dxa" w:w="23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المرجع الحاكم</w:t>
            </w:r>
          </w:p>
        </w:tc>
        <w:tc>
          <w:tcPr>
            <w:tcW w:type="dxa" w:w="57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الحزمة الشاملة — اثنا عشر ملفًّا · سجل القرارات (١٢٥ قرارًا)</w:t>
            </w:r>
          </w:p>
        </w:tc>
      </w:tr>
      <w:tr>
        <w:tc>
          <w:tcPr>
            <w:tcW w:type="dxa" w:w="23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اللقطة المرجعية</w:t>
            </w:r>
          </w:p>
        </w:tc>
        <w:tc>
          <w:tcPr>
            <w:tcW w:type="dxa" w:w="57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BL-20260828-b5a2cc7f</w:t>
            </w:r>
          </w:p>
        </w:tc>
      </w:tr>
      <w:tr>
        <w:tc>
          <w:tcPr>
            <w:tcW w:type="dxa" w:w="23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العلاقة بـRPR-02</w:t>
            </w:r>
          </w:p>
        </w:tc>
        <w:tc>
          <w:tcPr>
            <w:tcW w:type="dxa" w:w="57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تبدأ فورًا المسارات التي لا تعتمد على إغلاق المطابقة · ويُعاد تثبيت المقام على اللقطة النهائية لـRPR-02 قبل إغلاق ما يعتمد عليها · والحاجز يوقف مساره وحده لا الأمر كله</w:t>
            </w:r>
          </w:p>
        </w:tc>
      </w:tr>
      <w:tr>
        <w:tc>
          <w:tcPr>
            <w:tcW w:type="dxa" w:w="23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الحالة</w:t>
            </w:r>
          </w:p>
        </w:tc>
        <w:tc>
          <w:tcPr>
            <w:tcW w:type="dxa" w:w="57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إلزامي — ولا يصدر أساس معتمد قبل إغلاق بنوده الحاجبة</w:t>
            </w:r>
          </w:p>
        </w:tc>
      </w:tr>
    </w:tbl>
    <w:p>
      <w:r>
        <w:br w:type="page"/>
      </w:r>
    </w:p>
    <w:p>
      <w:pPr>
        <w:pStyle w:val="Heading1"/>
        <w:bidi/>
        <w:spacing w:after="140" w:before="320"/>
        <w:jc w:val="right"/>
      </w:pPr>
      <w:r>
        <w:rPr>
          <w:rFonts w:ascii="Segoe UI" w:cs="Segoe UI" w:eastAsia="Segoe UI" w:hAnsi="Segoe UI"/>
          <w:b/>
          <w:bCs/>
          <w:color w:val="1F3864"/>
          <w:sz w:val="30"/>
          <w:szCs w:val="30"/>
          <w:rtl/>
        </w:rPr>
        <w:t xml:space="preserve">المحتويات</w:t>
      </w:r>
    </w:p>
    <w:sdt>
      <w:sdtPr>
        <w:alias w:val="المحتويات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bidi/>
        <w:spacing w:after="140" w:before="320"/>
        <w:jc w:val="right"/>
      </w:pPr>
      <w:r>
        <w:rPr>
          <w:rFonts w:ascii="Segoe UI" w:cs="Segoe UI" w:eastAsia="Segoe UI" w:hAnsi="Segoe UI"/>
          <w:b/>
          <w:bCs/>
          <w:color w:val="1F3864"/>
          <w:sz w:val="30"/>
          <w:szCs w:val="30"/>
          <w:rtl/>
        </w:rPr>
        <w:t xml:space="preserve">١ · لماذا أمرٌ مستقل</w:t>
      </w:r>
    </w:p>
    <w:p>
      <w:pPr>
        <w:bidi/>
        <w:spacing w:after="12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RPR-02 يسأل: هل الشاشة في مكانها الصحيح؟ وهذا الأمر يسأل سؤالًا آخر تمامًا: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هل يجري العمل فيها فعلًا؟</w:t>
      </w:r>
    </w:p>
    <w:p>
      <w:pPr>
        <w:bidi/>
        <w:spacing w:after="12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والفرق ليس تنظيميًّا بل معياريًّا: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خلط المهمّتين يجعل «مئة بالمئة» في المطابقة يُقرأ اكتمالًا للنظام كله</w:t>
      </w:r>
      <w:r>
        <w:rPr>
          <w:rFonts w:ascii="Segoe UI" w:cs="Segoe UI" w:eastAsia="Segoe UI" w:hAnsi="Segoe UI"/>
          <w:sz w:val="21"/>
          <w:szCs w:val="21"/>
          <w:rtl/>
        </w:rPr>
        <w:t xml:space="preserve"> — وهو ما يمنعه دستورنا: لا نسبة إجمالية واحدة، والمقامات لا تُجمع.</w:t>
      </w:r>
    </w:p>
    <w:p>
      <w:pPr>
        <w:bidi/>
        <w:spacing w:after="12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واللقطة الأخيرة تصف الحالة بدقة: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الهيكل العظمي كامل ومرئيّ، ولم يجرِ فيه الدم بعد.</w:t>
      </w:r>
      <w:r>
        <w:rPr>
          <w:rFonts w:ascii="Segoe UI" w:cs="Segoe UI" w:eastAsia="Segoe UI" w:hAnsi="Segoe UI"/>
          <w:sz w:val="21"/>
          <w:szCs w:val="21"/>
          <w:rtl/>
        </w:rPr>
        <w:t xml:space="preserve"> فالناقل يسلّم بنسبة ٩٩٫٨٨٪ ولا يستهلك أحدٌ منه · وأربع عشرة رحلة اعتماد موصولة ولا تحجب واحدة · ومحطات مبنيّة بصفر صف · وقيدٌ واحد من خمسة آلاف ومئتين وستة وخمسين مرّ عبر بوابته.</w:t>
      </w:r>
    </w:p>
    <w:p>
      <w:pPr>
        <w:bidi/>
        <w:spacing w:after="12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وثلاثة محاور جاهزية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تراجعت</w:t>
      </w:r>
      <w:r>
        <w:rPr>
          <w:rFonts w:ascii="Segoe UI" w:cs="Segoe UI" w:eastAsia="Segoe UI" w:hAnsi="Segoe UI"/>
          <w:sz w:val="21"/>
          <w:szCs w:val="21"/>
          <w:rtl/>
        </w:rPr>
        <w:t xml:space="preserve"> في هذه اللقطة بعد أن كانت خضراء: النشر لانهيار الدفترة · والنسخ والاستعادة لتقادم دليلهما · وقابلية إعادة البناء لانقطاع مسار الهجرات.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وهذا وحده يوجب أمرًا مستقلًّا لا بندًا في ذيل أمرٍ آخر.</w:t>
      </w:r>
    </w:p>
    <w:p>
      <w:pPr>
        <w:pStyle w:val="Heading1"/>
        <w:bidi/>
        <w:spacing w:after="140" w:before="320"/>
        <w:jc w:val="right"/>
      </w:pPr>
      <w:r>
        <w:rPr>
          <w:rFonts w:ascii="Segoe UI" w:cs="Segoe UI" w:eastAsia="Segoe UI" w:hAnsi="Segoe UI"/>
          <w:b/>
          <w:bCs/>
          <w:color w:val="1F3864"/>
          <w:sz w:val="30"/>
          <w:szCs w:val="30"/>
          <w:rtl/>
        </w:rPr>
        <w:t xml:space="preserve">٢ · حالة الجاهزية اليوم — المقام المقيس</w:t>
      </w:r>
    </w:p>
    <w:tbl>
      <w:tblPr>
        <w:bidiVisual/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المحور</w:t>
            </w:r>
          </w:p>
        </w:tc>
        <w:tc>
          <w:tcPr>
            <w:tcW w:type="dxa" w:w="1100"/>
            <w:shd w:fill="1F3864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الحكم</w:t>
            </w:r>
          </w:p>
        </w:tc>
        <w:tc>
          <w:tcPr>
            <w:tcW w:type="dxa" w:w="4700"/>
            <w:shd w:fill="1F3864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السبب المقيس</w:t>
            </w:r>
          </w:p>
        </w:tc>
      </w:tr>
      <w:tr>
        <w:tc>
          <w:tcPr>
            <w:tcW w:type="dxa" w:w="22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الوظيفية</w:t>
            </w:r>
          </w:p>
        </w:tc>
        <w:tc>
          <w:tcPr>
            <w:tcW w:type="dxa" w:w="11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جزئي</w:t>
            </w:r>
          </w:p>
        </w:tc>
        <w:tc>
          <w:tcPr>
            <w:tcW w:type="dxa" w:w="47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المحطات مبنيّة وصفر صف: العروض والفوترة والخزينة ومخالفات الموردين · و٤٦٩ تسوية بصفر مدفوع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الأمن</w:t>
            </w:r>
          </w:p>
        </w:tc>
        <w:tc>
          <w:tcPr>
            <w:tcW w:type="dxa" w:w="11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جزئي</w:t>
            </w:r>
          </w:p>
        </w:tc>
        <w:tc>
          <w:tcPr>
            <w:tcW w:type="dxa" w:w="47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نطاق الأطراف وسجل الرفض مُغلقان · والإنفاذ محجوز و٨٧ قارئ قرار في مسارين</w:t>
            </w:r>
          </w:p>
        </w:tc>
      </w:tr>
      <w:tr>
        <w:tc>
          <w:tcPr>
            <w:tcW w:type="dxa" w:w="22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سلامة البيانات</w:t>
            </w:r>
          </w:p>
        </w:tc>
        <w:tc>
          <w:tcPr>
            <w:tcW w:type="dxa" w:w="11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جزئي</w:t>
            </w:r>
          </w:p>
        </w:tc>
        <w:tc>
          <w:tcPr>
            <w:tcW w:type="dxa" w:w="47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القيد متوازن بفرق صفر · وقرار مقام التايم شيت معلَّق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تجربة المستخدم</w:t>
            </w:r>
          </w:p>
        </w:tc>
        <w:tc>
          <w:tcPr>
            <w:tcW w:type="dxa" w:w="11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جزئي</w:t>
            </w:r>
          </w:p>
        </w:tc>
        <w:tc>
          <w:tcPr>
            <w:tcW w:type="dxa" w:w="47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تسع بوابات ذهبية من عشر · والاعتماد صفر من عشر</w:t>
            </w:r>
          </w:p>
        </w:tc>
      </w:tr>
      <w:tr>
        <w:tc>
          <w:tcPr>
            <w:tcW w:type="dxa" w:w="22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التشغيل</w:t>
            </w:r>
          </w:p>
        </w:tc>
        <w:tc>
          <w:tcPr>
            <w:tcW w:type="dxa" w:w="11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أحمر</w:t>
            </w:r>
          </w:p>
        </w:tc>
        <w:tc>
          <w:tcPr>
            <w:tcW w:type="dxa" w:w="47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صرف العملة متوقف ستة عشر يومًا · ونافذة الظلّ صفر</w:t>
            </w:r>
          </w:p>
        </w:tc>
      </w:tr>
      <w:tr>
        <w:tc>
          <w:tcPr>
            <w:tcW w:type="dxa" w:w="22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النشر</w:t>
            </w:r>
          </w:p>
        </w:tc>
        <w:tc>
          <w:tcPr>
            <w:tcW w:type="dxa" w:w="11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أحمر — تراجع</w:t>
            </w:r>
          </w:p>
        </w:tc>
        <w:tc>
          <w:tcPr>
            <w:tcW w:type="dxa" w:w="47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ثمانٍ وخمسون هجرة خارج الدفتر · وصفر قيد خلال الجولة</w:t>
            </w:r>
          </w:p>
        </w:tc>
      </w:tr>
      <w:tr>
        <w:tc>
          <w:tcPr>
            <w:tcW w:type="dxa" w:w="22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النسخ والاستعادة</w:t>
            </w:r>
          </w:p>
        </w:tc>
        <w:tc>
          <w:tcPr>
            <w:tcW w:type="dxa" w:w="11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جزئي — تقادم</w:t>
            </w:r>
          </w:p>
        </w:tc>
        <w:tc>
          <w:tcPr>
            <w:tcW w:type="dxa" w:w="47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أُثبتا على ٦٣٩ جدولًا والنظام اليوم ٩٥٢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المراقبة</w:t>
            </w:r>
          </w:p>
        </w:tc>
        <w:tc>
          <w:tcPr>
            <w:tcW w:type="dxa" w:w="11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جزئي</w:t>
            </w:r>
          </w:p>
        </w:tc>
        <w:tc>
          <w:tcPr>
            <w:tcW w:type="dxa" w:w="47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العتبات تصيح · وإنذار الناقل معطَّل</w:t>
            </w:r>
          </w:p>
        </w:tc>
      </w:tr>
      <w:tr>
        <w:tc>
          <w:tcPr>
            <w:tcW w:type="dxa" w:w="22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إعادة البناء عن بُعد</w:t>
            </w:r>
          </w:p>
        </w:tc>
        <w:tc>
          <w:tcPr>
            <w:tcW w:type="dxa" w:w="11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أحمر — تراجع</w:t>
            </w:r>
          </w:p>
        </w:tc>
        <w:tc>
          <w:tcPr>
            <w:tcW w:type="dxa" w:w="47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التثبيت أُثبت على مخطَّط أقدم · والدفترة انهارت فالمسار غير مضمون</w:t>
            </w:r>
          </w:p>
        </w:tc>
      </w:tr>
    </w:tbl>
    <w:p>
      <w:pPr>
        <w:bidi/>
        <w:spacing w:after="120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ولا نسبة إجمالية لهذه المحاور. </w:t>
      </w:r>
      <w:r>
        <w:rPr>
          <w:rFonts w:ascii="Segoe UI" w:cs="Segoe UI" w:eastAsia="Segoe UI" w:hAnsi="Segoe UI"/>
          <w:sz w:val="21"/>
          <w:szCs w:val="21"/>
          <w:rtl/>
        </w:rPr>
        <w:t xml:space="preserve">ثلاثة حمراء وخمسة جزئية وصفرٌ أخضر — والحكم: غير جاهز، ويُقرأ محورًا محورًا.</w:t>
      </w:r>
    </w:p>
    <w:p>
      <w:r>
        <w:br w:type="page"/>
      </w:r>
    </w:p>
    <w:p>
      <w:pPr>
        <w:pStyle w:val="Heading1"/>
        <w:bidi/>
        <w:spacing w:after="140" w:before="320"/>
        <w:jc w:val="right"/>
      </w:pPr>
      <w:r>
        <w:rPr>
          <w:rFonts w:ascii="Segoe UI" w:cs="Segoe UI" w:eastAsia="Segoe UI" w:hAnsi="Segoe UI"/>
          <w:b/>
          <w:bCs/>
          <w:color w:val="1F3864"/>
          <w:sz w:val="30"/>
          <w:szCs w:val="30"/>
          <w:rtl/>
        </w:rPr>
        <w:t xml:space="preserve">٢·١ خطوة صفر — إعادة تثبيت المقام</w:t>
      </w:r>
    </w:p>
    <w:p>
      <w:pPr>
        <w:bidi/>
        <w:spacing w:after="12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أرقام هذا الأمر مقيسة على لقطة BL-20260828 — وهي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خط أساسٍ تاريخيّ لا حالةٌ راهنة</w:t>
      </w:r>
      <w:r>
        <w:rPr>
          <w:rFonts w:ascii="Segoe UI" w:cs="Segoe UI" w:eastAsia="Segoe UI" w:hAnsi="Segoe UI"/>
          <w:sz w:val="21"/>
          <w:szCs w:val="21"/>
          <w:rtl/>
        </w:rPr>
        <w:t xml:space="preserve">. فأمر المراجعة الشاملة وأمر إغلاق المطابقة سيغيّران النظام قبل استكمال هذا الأمر: ستُبنى أسطح، وتُصحَّح ملكيات، وتُوحَّد أسطحٌ منصّية، ويُقفَل دفتر الهجرات.</w:t>
      </w:r>
    </w:p>
    <w:p>
      <w:pPr>
        <w:bidi/>
        <w:spacing w:after="120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فبعد إغلاق اللقطة النهائية لـRPR-02: تُعاد قياس مقامات هذا الأمر كلها على لقطةٍ جديدة، </w:t>
      </w:r>
      <w:r>
        <w:rPr>
          <w:rFonts w:ascii="Segoe UI" w:cs="Segoe UI" w:eastAsia="Segoe UI" w:hAnsi="Segoe UI"/>
          <w:sz w:val="21"/>
          <w:szCs w:val="21"/>
          <w:rtl/>
        </w:rPr>
        <w:t xml:space="preserve">ويظهر معرّف تلك اللقطة في كل تقرير. ولا يُحتجّ برقمٍ من الخط الأساس بوصفه حالةً راهنة.</w:t>
      </w:r>
    </w:p>
    <w:tbl>
      <w:tblPr>
        <w:bidiVisual/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6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الرقم في هذا الأمر</w:t>
            </w:r>
          </w:p>
        </w:tc>
        <w:tc>
          <w:tcPr>
            <w:tcW w:type="dxa" w:w="4600"/>
            <w:shd w:fill="1F3864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حاله</w:t>
            </w:r>
          </w:p>
        </w:tc>
      </w:tr>
      <w:tr>
        <w:tc>
          <w:tcPr>
            <w:tcW w:type="dxa" w:w="34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٥٨ هجرة خارج الدفتر</w:t>
            </w:r>
          </w:p>
        </w:tc>
        <w:tc>
          <w:tcPr>
            <w:tcW w:type="dxa" w:w="46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خط أساس — أُغلق بعده بالبوابة · يُعاد قياسه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٨٧ قارئ قرار صلاحية</w:t>
            </w:r>
          </w:p>
        </w:tc>
        <w:tc>
          <w:tcPr>
            <w:tcW w:type="dxa" w:w="46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خط أساس — يُعاد قياسه بعد التوحيد</w:t>
            </w:r>
          </w:p>
        </w:tc>
      </w:tr>
      <w:tr>
        <w:tc>
          <w:tcPr>
            <w:tcW w:type="dxa" w:w="34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١٢ سطح PLATFORM</w:t>
            </w:r>
          </w:p>
        </w:tc>
        <w:tc>
          <w:tcPr>
            <w:tcW w:type="dxa" w:w="46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خط أساس — يُعاد قياسه بعد تطبيق معايير المنصّة الأربعة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مستهلك واحد متوقّف</w:t>
            </w:r>
          </w:p>
        </w:tc>
        <w:tc>
          <w:tcPr>
            <w:tcW w:type="dxa" w:w="46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خط أساس — يُعاد قياسه بمراقبة صحة المستهلكين</w:t>
            </w:r>
          </w:p>
        </w:tc>
      </w:tr>
      <w:tr>
        <w:tc>
          <w:tcPr>
            <w:tcW w:type="dxa" w:w="34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١٬٦٤٤ قيدًا يدويًّا</w:t>
            </w:r>
          </w:p>
        </w:tc>
        <w:tc>
          <w:tcPr>
            <w:tcW w:type="dxa" w:w="46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خط أساس — يُعاد قياسه بعد التصنيف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٢٦ رسالة ميتة</w:t>
            </w:r>
          </w:p>
        </w:tc>
        <w:tc>
          <w:tcPr>
            <w:tcW w:type="dxa" w:w="46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خط أساس — يُعاد قياسه بعد الحكم على كلٍّ</w:t>
            </w:r>
          </w:p>
        </w:tc>
      </w:tr>
    </w:tbl>
    <w:p>
      <w:pPr>
        <w:pStyle w:val="Heading1"/>
        <w:bidi/>
        <w:spacing w:after="140" w:before="320"/>
        <w:jc w:val="right"/>
      </w:pPr>
      <w:r>
        <w:rPr>
          <w:rFonts w:ascii="Segoe UI" w:cs="Segoe UI" w:eastAsia="Segoe UI" w:hAnsi="Segoe UI"/>
          <w:b/>
          <w:bCs/>
          <w:color w:val="1F3864"/>
          <w:sz w:val="30"/>
          <w:szCs w:val="30"/>
          <w:rtl/>
        </w:rPr>
        <w:t xml:space="preserve">٣ · المطلوب الأول — استعادة ما انهار قبل بناء ما ينقص</w:t>
      </w:r>
    </w:p>
    <w:p>
      <w:pPr>
        <w:bidi/>
        <w:spacing w:after="12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ثلاثة محاور كانت خضراء وصارت حمراء. واستعادتها تسبق كل شيء —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فالبناء فوق أساسٍ انهار يضاعف الانهيار ولا يعالجه.</w:t>
      </w:r>
    </w:p>
    <w:p>
      <w:pPr>
        <w:pStyle w:val="Heading2"/>
        <w:bidi/>
        <w:spacing w:after="140" w:before="230"/>
        <w:jc w:val="right"/>
      </w:pPr>
      <w:r>
        <w:rPr>
          <w:rFonts w:ascii="Segoe UI" w:cs="Segoe UI" w:eastAsia="Segoe UI" w:hAnsi="Segoe UI"/>
          <w:b/>
          <w:bCs/>
          <w:color w:val="1F3864"/>
          <w:sz w:val="25"/>
          <w:szCs w:val="25"/>
          <w:rtl/>
        </w:rPr>
        <w:t xml:space="preserve">٣·١ دفتر الهجرات — تحقّقٌ لا إعادة</w:t>
      </w:r>
    </w:p>
    <w:p>
      <w:pPr>
        <w:bidi/>
        <w:spacing w:after="120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إنشاء البوابة وتسوية الهجرات التاريخية يملكهما RPR-02 لا هذا الأمر. </w:t>
      </w:r>
      <w:r>
        <w:rPr>
          <w:rFonts w:ascii="Segoe UI" w:cs="Segoe UI" w:eastAsia="Segoe UI" w:hAnsi="Segoe UI"/>
          <w:sz w:val="21"/>
          <w:szCs w:val="21"/>
          <w:rtl/>
        </w:rPr>
        <w:t xml:space="preserve">فإن كانا مغلقَين بالدليل فلا يُعادان — ويقتصر عملك هنا على التحقّق من بقائهما مغلقَين على المقام الجديد، واستعمالهما في التثبيت من الصفر والاستعادة.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ولا يُعاد فتح الفجوة إلا بانحدارٍ مقيس.</w:t>
      </w:r>
    </w:p>
    <w:p>
      <w:pPr>
        <w:bidi/>
        <w:spacing w:after="120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وما يلي وصفُ الحكم النافذ للتذكير لا تكليفٌ بإعادته: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both"/>
      </w:pPr>
      <w:r>
        <w:rPr>
          <w:rFonts w:ascii="Segoe UI" w:cs="Segoe UI" w:eastAsia="Segoe UI" w:hAnsi="Segoe UI"/>
          <w:b/>
          <w:bCs/>
          <w:color w:val="C00000"/>
          <w:sz w:val="21"/>
          <w:szCs w:val="21"/>
          <w:rtl/>
        </w:rPr>
        <w:t xml:space="preserve">بوابة رسوب فورية — ولا نافذة ظلّ: </w:t>
      </w:r>
      <w:r>
        <w:rPr>
          <w:rFonts w:ascii="Segoe UI" w:cs="Segoe UI" w:eastAsia="Segoe UI" w:hAnsi="Segoe UI"/>
          <w:sz w:val="21"/>
          <w:szCs w:val="21"/>
          <w:rtl/>
        </w:rPr>
        <w:t xml:space="preserve">أي هجرة لا تسجّل نفسها ترسُب على بوابة التكامل. ونافذة الظلّ تُقاس فيها الحالات المشروعة التي ستُمنَع خطأً — وهجرةٌ لا تستدعي الدفتر ليس لها حالة مشروعة واحدة.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تسوية الثمانية والخمسين: </w:t>
      </w:r>
      <w:r>
        <w:rPr>
          <w:rFonts w:ascii="Segoe UI" w:cs="Segoe UI" w:eastAsia="Segoe UI" w:hAnsi="Segoe UI"/>
          <w:sz w:val="21"/>
          <w:szCs w:val="21"/>
          <w:rtl/>
        </w:rPr>
        <w:t xml:space="preserve">تُقيَّد بحالة «مطبَّقة ومتحقَّق منها بالمخطَّط» ولا يُعاد تنفيذها.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ولا تبقى هجرةٌ واحدة بلا حالة محكومة.</w:t>
      </w:r>
    </w:p>
    <w:p>
      <w:pPr>
        <w:pStyle w:val="Heading2"/>
        <w:bidi/>
        <w:spacing w:after="140" w:before="230"/>
        <w:jc w:val="right"/>
      </w:pPr>
      <w:r>
        <w:rPr>
          <w:rFonts w:ascii="Segoe UI" w:cs="Segoe UI" w:eastAsia="Segoe UI" w:hAnsi="Segoe UI"/>
          <w:b/>
          <w:bCs/>
          <w:color w:val="1F3864"/>
          <w:sz w:val="25"/>
          <w:szCs w:val="25"/>
          <w:rtl/>
        </w:rPr>
        <w:t xml:space="preserve">٣·٢ النسخ والاستعادة وإعادة البناء</w:t>
      </w:r>
    </w:p>
    <w:p>
      <w:pPr>
        <w:bidi/>
        <w:spacing w:after="120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الدليل صحيح بتاريخه ولا يُقرأ حاضرًا: </w:t>
      </w:r>
      <w:r>
        <w:rPr>
          <w:rFonts w:ascii="Segoe UI" w:cs="Segoe UI" w:eastAsia="Segoe UI" w:hAnsi="Segoe UI"/>
          <w:sz w:val="21"/>
          <w:szCs w:val="21"/>
          <w:rtl/>
        </w:rPr>
        <w:t xml:space="preserve">أُثبت على ستمئة وتسعة وثلاثين جدولًا والنظام اليوم تسعمئة واثنان وخمسون. فيُعاد التمرين كاملًا على المخطَّط الحالي بثلاثة أدلة: زمن الاستعادة الفعلي · ونقطة الاستعادة الفعلية · وسلامة البيانات المستعادة بمطابقة عيّنة.</w:t>
      </w:r>
    </w:p>
    <w:p>
      <w:pPr>
        <w:bidi/>
        <w:spacing w:after="120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وتثبيت من الصفر على مخطَّط اليوم: </w:t>
      </w:r>
      <w:r>
        <w:rPr>
          <w:rFonts w:ascii="Segoe UI" w:cs="Segoe UI" w:eastAsia="Segoe UI" w:hAnsi="Segoe UI"/>
          <w:sz w:val="21"/>
          <w:szCs w:val="21"/>
          <w:rtl/>
        </w:rPr>
        <w:t xml:space="preserve">بيئة نظيفة ← تشغيل الهجرات بترتيبها ← بذر أدنى ← إقلاع ناجح —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وبلا هذا لا يُقال «قابل لإعادة البناء».</w:t>
      </w:r>
    </w:p>
    <w:p>
      <w:pPr>
        <w:pStyle w:val="Heading1"/>
        <w:bidi/>
        <w:spacing w:after="140" w:before="320"/>
        <w:jc w:val="right"/>
      </w:pPr>
      <w:r>
        <w:rPr>
          <w:rFonts w:ascii="Segoe UI" w:cs="Segoe UI" w:eastAsia="Segoe UI" w:hAnsi="Segoe UI"/>
          <w:b/>
          <w:bCs/>
          <w:color w:val="1F3864"/>
          <w:sz w:val="30"/>
          <w:szCs w:val="30"/>
          <w:rtl/>
        </w:rPr>
        <w:t xml:space="preserve">٤ · المطلوب الثاني — الأحداث والآثار</w:t>
      </w:r>
    </w:p>
    <w:p>
      <w:pPr>
        <w:bidi/>
        <w:spacing w:after="12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ثمانية وخمسون نوع حدث منتَج، وصفرٌ له مستهلك أعمال —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عبر خمس لقطات متتالية. والناقل سليم: واحد وعشرون ألفًا وخمسمئة وستٌّ وأربعون واقعة بتسليم ٩٩٫٨٨٪ وصفر يتيم. فالمشكلة ليست في الناقل بل في أن أحدًا لا يستمع.</w:t>
      </w:r>
    </w:p>
    <w:p>
      <w:pPr>
        <w:pStyle w:val="Heading2"/>
        <w:bidi/>
        <w:spacing w:after="140" w:before="230"/>
        <w:jc w:val="right"/>
      </w:pPr>
      <w:r>
        <w:rPr>
          <w:rFonts w:ascii="Segoe UI" w:cs="Segoe UI" w:eastAsia="Segoe UI" w:hAnsi="Segoe UI"/>
          <w:b/>
          <w:bCs/>
          <w:color w:val="1F3864"/>
          <w:sz w:val="25"/>
          <w:szCs w:val="25"/>
          <w:rtl/>
        </w:rPr>
        <w:t xml:space="preserve">٤·١ المقام الصحيح — أحداث أعمال لا ثمانية وخمسين</w:t>
      </w:r>
    </w:p>
    <w:p>
      <w:pPr>
        <w:bidi/>
        <w:spacing w:after="12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الحدث التدقيقي لا يحتاج مستهلك أعمال — يحقّق غرضه الرقابي بوجوده.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فالمقام: أحد عشر حدث أعمال يستلزم أثرًا، وسبعة وأربعون تدقيقيًّا.</w:t>
      </w:r>
      <w:r>
        <w:rPr>
          <w:rFonts w:ascii="Segoe UI" w:cs="Segoe UI" w:eastAsia="Segoe UI" w:hAnsi="Segoe UI"/>
          <w:sz w:val="21"/>
          <w:szCs w:val="21"/>
          <w:rtl/>
        </w:rPr>
        <w:t xml:space="preserve"> وطلب مستهلك لكل واحد من الثمانية والخمسين هدفٌ لا يُبلَغ ولا ينبغي.</w:t>
      </w:r>
    </w:p>
    <w:p>
      <w:pPr>
        <w:pStyle w:val="Heading2"/>
        <w:bidi/>
        <w:spacing w:after="140" w:before="230"/>
        <w:jc w:val="right"/>
      </w:pPr>
      <w:r>
        <w:rPr>
          <w:rFonts w:ascii="Segoe UI" w:cs="Segoe UI" w:eastAsia="Segoe UI" w:hAnsi="Segoe UI"/>
          <w:b/>
          <w:bCs/>
          <w:color w:val="1F3864"/>
          <w:sz w:val="25"/>
          <w:szCs w:val="25"/>
          <w:rtl/>
        </w:rPr>
        <w:t xml:space="preserve">٤·٢ الترتيب الملزم</w:t>
      </w:r>
    </w:p>
    <w:tbl>
      <w:tblPr>
        <w:bidiVisual/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#</w:t>
            </w:r>
          </w:p>
        </w:tc>
        <w:tc>
          <w:tcPr>
            <w:tcW w:type="dxa" w:w="3200"/>
            <w:shd w:fill="1F3864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الخطوة</w:t>
            </w:r>
          </w:p>
        </w:tc>
        <w:tc>
          <w:tcPr>
            <w:tcW w:type="dxa" w:w="4200"/>
            <w:shd w:fill="1F3864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المعيار</w:t>
            </w:r>
          </w:p>
        </w:tc>
      </w:tr>
      <w:tr>
        <w:tc>
          <w:tcPr>
            <w:tcW w:type="dxa" w:w="6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١</w:t>
            </w:r>
          </w:p>
        </w:tc>
        <w:tc>
          <w:tcPr>
            <w:tcW w:type="dxa" w:w="32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تصنيف الأنواع الثمانية والخمسين</w:t>
            </w:r>
          </w:p>
        </w:tc>
        <w:tc>
          <w:tcPr>
            <w:tcW w:type="dxa" w:w="42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حدث أعمال يستلزم أثرًا · أو تدقيقيّ · أو مهمل يُتقاعد — بحكم موثَّق لكلٍّ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٢</w:t>
            </w:r>
          </w:p>
        </w:tc>
        <w:tc>
          <w:tcPr>
            <w:tcW w:type="dxa" w:w="32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حدث واحد كامل من طرفَيه</w:t>
            </w:r>
          </w:p>
        </w:tc>
        <w:tc>
          <w:tcPr>
            <w:tcW w:type="dxa" w:w="42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مُنتِج ← ناقل ← مستهلك ← أثر تجاري مقيس عند المستهلك — لا وصول رسالة</w:t>
            </w:r>
          </w:p>
        </w:tc>
      </w:tr>
      <w:tr>
        <w:tc>
          <w:tcPr>
            <w:tcW w:type="dxa" w:w="6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٣</w:t>
            </w:r>
          </w:p>
        </w:tc>
        <w:tc>
          <w:tcPr>
            <w:tcW w:type="dxa" w:w="32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عقد أثر مسجَّل لكل مستهلك</w:t>
            </w:r>
          </w:p>
        </w:tc>
        <w:tc>
          <w:tcPr>
            <w:tcW w:type="dxa" w:w="42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الحمولة ومفتاح منع التكرار وسياسة الإعادة وسلوك الفشل وأثر التدقيق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٤</w:t>
            </w:r>
          </w:p>
        </w:tc>
        <w:tc>
          <w:tcPr>
            <w:tcW w:type="dxa" w:w="32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إثبات عدم التكرار</w:t>
            </w:r>
          </w:p>
        </w:tc>
        <w:tc>
          <w:tcPr>
            <w:tcW w:type="dxa" w:w="42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إرسال الحدث نفسه مرتين ينتج أثرًا واحدًا — يُختبر لا يُفترض</w:t>
            </w:r>
          </w:p>
        </w:tc>
      </w:tr>
      <w:tr>
        <w:tc>
          <w:tcPr>
            <w:tcW w:type="dxa" w:w="6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٥</w:t>
            </w:r>
          </w:p>
        </w:tc>
        <w:tc>
          <w:tcPr>
            <w:tcW w:type="dxa" w:w="32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إثبات الفشل المعلن</w:t>
            </w:r>
          </w:p>
        </w:tc>
        <w:tc>
          <w:tcPr>
            <w:tcW w:type="dxa" w:w="42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مستهلك يفشل عمدًا: يظهر في صف الفاشل ولا يختفي صامتًا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٦</w:t>
            </w:r>
          </w:p>
        </w:tc>
        <w:tc>
          <w:tcPr>
            <w:tcW w:type="dxa" w:w="32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بقية أحداث الأعمال</w:t>
            </w:r>
          </w:p>
        </w:tc>
        <w:tc>
          <w:tcPr>
            <w:tcW w:type="dxa" w:w="42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بعد نجاح الأول — فالطريق يُفتح مرة ثم يتكرر</w:t>
            </w:r>
          </w:p>
        </w:tc>
      </w:tr>
    </w:tbl>
    <w:p>
      <w:pPr>
        <w:bidi/>
        <w:spacing w:after="120" w:line="300"/>
        <w:jc w:val="both"/>
      </w:pPr>
      <w:r>
        <w:rPr>
          <w:rFonts w:ascii="Segoe UI" w:cs="Segoe UI" w:eastAsia="Segoe UI" w:hAnsi="Segoe UI"/>
          <w:b/>
          <w:bCs/>
          <w:color w:val="C00000"/>
          <w:sz w:val="21"/>
          <w:szCs w:val="21"/>
          <w:rtl/>
        </w:rPr>
        <w:t xml:space="preserve">وبندٌ مستقل لا يُدمج: </w:t>
      </w:r>
      <w:r>
        <w:rPr>
          <w:rFonts w:ascii="Segoe UI" w:cs="Segoe UI" w:eastAsia="Segoe UI" w:hAnsi="Segoe UI"/>
          <w:sz w:val="21"/>
          <w:szCs w:val="21"/>
          <w:rtl/>
        </w:rPr>
        <w:t xml:space="preserve">مستهلك صرف العملة قائم ومتوقّف ستة عشر يومًا عند مؤشر ثابت.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وهذا ليس «حدثًا بلا مستهلك» بل عطبَ تشغيل في مستهلك حيّ</w:t>
      </w:r>
      <w:r>
        <w:rPr>
          <w:rFonts w:ascii="Segoe UI" w:cs="Segoe UI" w:eastAsia="Segoe UI" w:hAnsi="Segoe UI"/>
          <w:sz w:val="21"/>
          <w:szCs w:val="21"/>
          <w:rtl/>
        </w:rPr>
        <w:t xml:space="preserve"> — فيُعالَج بمراقبة صحة المستهلكين: آخر تقدّم لكل مستهلك، وإنذار عند توقّف يتجاوز حدًّا معلنًا.</w:t>
      </w:r>
    </w:p>
    <w:p>
      <w:r>
        <w:br w:type="page"/>
      </w:r>
    </w:p>
    <w:p>
      <w:pPr>
        <w:pStyle w:val="Heading1"/>
        <w:bidi/>
        <w:spacing w:after="140" w:before="320"/>
        <w:jc w:val="right"/>
      </w:pPr>
      <w:r>
        <w:rPr>
          <w:rFonts w:ascii="Segoe UI" w:cs="Segoe UI" w:eastAsia="Segoe UI" w:hAnsi="Segoe UI"/>
          <w:b/>
          <w:bCs/>
          <w:color w:val="1F3864"/>
          <w:sz w:val="30"/>
          <w:szCs w:val="30"/>
          <w:rtl/>
        </w:rPr>
        <w:t xml:space="preserve">٥ · المطلوب الثالث — الاعتماد: من المراقبة إلى المنع</w:t>
      </w:r>
    </w:p>
    <w:p>
      <w:pPr>
        <w:bidi/>
        <w:spacing w:after="12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أربع عشرة رحلة موصولة وعشرة مواضع بوابة — والبوابة تُسجّل ولا تحجب، ونافذة الظلّ صفر.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أي أن النظام يعرف من يجب أن يعتمد ولا يمنع من لا يملك.</w:t>
      </w:r>
    </w:p>
    <w:p>
      <w:pPr>
        <w:bidi/>
        <w:spacing w:after="120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والتسلسل ملزم ولا يُختصر: </w:t>
      </w:r>
    </w:p>
    <w:tbl>
      <w:tblPr>
        <w:bidiVisual/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48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#</w:t>
            </w:r>
          </w:p>
        </w:tc>
        <w:tc>
          <w:tcPr>
            <w:tcW w:type="dxa" w:w="2600"/>
            <w:shd w:fill="1F3864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المرحلة</w:t>
            </w:r>
          </w:p>
        </w:tc>
        <w:tc>
          <w:tcPr>
            <w:tcW w:type="dxa" w:w="4800"/>
            <w:shd w:fill="1F3864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شرط الانتقال منها</w:t>
            </w:r>
          </w:p>
        </w:tc>
      </w:tr>
      <w:tr>
        <w:tc>
          <w:tcPr>
            <w:tcW w:type="dxa" w:w="6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١</w:t>
            </w:r>
          </w:p>
        </w:tc>
        <w:tc>
          <w:tcPr>
            <w:tcW w:type="dxa" w:w="26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صدور القيم العددية</w:t>
            </w:r>
          </w:p>
        </w:tc>
        <w:tc>
          <w:tcPr>
            <w:tcW w:type="dxa" w:w="48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حدود الاعتماد لكل قاعدة ونوع معاملة وعملة — وبلا رقمٍ واحد منها لا تُشغَّل نافذة ولا يُنفَّذ منع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٢</w:t>
            </w:r>
          </w:p>
        </w:tc>
        <w:tc>
          <w:tcPr>
            <w:tcW w:type="dxa" w:w="26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نافذة الظلّ</w:t>
            </w:r>
          </w:p>
        </w:tc>
        <w:tc>
          <w:tcPr>
            <w:tcW w:type="dxa" w:w="48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تعمل البوابة وتسجّل ما كانت ستمنعه ولا تمنع — مدة معلنة لا مفتوحة</w:t>
            </w:r>
          </w:p>
        </w:tc>
      </w:tr>
      <w:tr>
        <w:tc>
          <w:tcPr>
            <w:tcW w:type="dxa" w:w="6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٣</w:t>
            </w:r>
          </w:p>
        </w:tc>
        <w:tc>
          <w:tcPr>
            <w:tcW w:type="dxa" w:w="26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قياس النافذة بأربعة مقاييس</w:t>
            </w:r>
          </w:p>
        </w:tc>
        <w:tc>
          <w:tcPr>
            <w:tcW w:type="dxa" w:w="48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منعٌ خاطئ لحالة مشروعة · وسماحٌ خاطئ لحالة ممنوعة · وخطأ في تحديد الدور المعتمِد · ومحاولات التفاف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٤</w:t>
            </w:r>
          </w:p>
        </w:tc>
        <w:tc>
          <w:tcPr>
            <w:tcW w:type="dxa" w:w="26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إصلاح ما كشفته</w:t>
            </w:r>
          </w:p>
        </w:tc>
        <w:tc>
          <w:tcPr>
            <w:tcW w:type="dxa" w:w="48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ولا يُنتقل بوجود منعٍ خاطئ واحد بلا تفسير</w:t>
            </w:r>
          </w:p>
        </w:tc>
      </w:tr>
      <w:tr>
        <w:tc>
          <w:tcPr>
            <w:tcW w:type="dxa" w:w="6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٥</w:t>
            </w:r>
          </w:p>
        </w:tc>
        <w:tc>
          <w:tcPr>
            <w:tcW w:type="dxa" w:w="26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الإنفاذ</w:t>
            </w:r>
          </w:p>
        </w:tc>
        <w:tc>
          <w:tcPr>
            <w:tcW w:type="dxa" w:w="48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البوابة تحجب — ويُقاس أثرها في الأيام الأولى</w:t>
            </w:r>
          </w:p>
        </w:tc>
      </w:tr>
    </w:tbl>
    <w:p>
      <w:pPr>
        <w:bidi/>
        <w:spacing w:after="120" w:line="300"/>
        <w:jc w:val="both"/>
      </w:pPr>
      <w:r>
        <w:rPr>
          <w:rFonts w:ascii="Segoe UI" w:cs="Segoe UI" w:eastAsia="Segoe UI" w:hAnsi="Segoe UI"/>
          <w:b/>
          <w:bCs/>
          <w:color w:val="C00000"/>
          <w:sz w:val="21"/>
          <w:szCs w:val="21"/>
          <w:rtl/>
        </w:rPr>
        <w:t xml:space="preserve">وتنبيه لازم: </w:t>
      </w:r>
      <w:r>
        <w:rPr>
          <w:rFonts w:ascii="Segoe UI" w:cs="Segoe UI" w:eastAsia="Segoe UI" w:hAnsi="Segoe UI"/>
          <w:sz w:val="21"/>
          <w:szCs w:val="21"/>
          <w:rtl/>
        </w:rPr>
        <w:t xml:space="preserve">الخطوة الأولى ليست عندك بل عندي —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حدود الاعتماد أول القرارات المفتوحة في سجلنا، وما لم تصدر تبقى أربع عشرة رحلة في وضع المراقبة إلى الأبد.</w:t>
      </w:r>
    </w:p>
    <w:p>
      <w:pPr>
        <w:pStyle w:val="Heading1"/>
        <w:bidi/>
        <w:spacing w:after="140" w:before="320"/>
        <w:jc w:val="right"/>
      </w:pPr>
      <w:r>
        <w:rPr>
          <w:rFonts w:ascii="Segoe UI" w:cs="Segoe UI" w:eastAsia="Segoe UI" w:hAnsi="Segoe UI"/>
          <w:b/>
          <w:bCs/>
          <w:color w:val="1F3864"/>
          <w:sz w:val="30"/>
          <w:szCs w:val="30"/>
          <w:rtl/>
        </w:rPr>
        <w:t xml:space="preserve">٦ · المطلوب الرابع — الصلاحيات: مساران وقرارٌ واحد</w:t>
      </w:r>
    </w:p>
    <w:p>
      <w:pPr>
        <w:bidi/>
        <w:spacing w:after="12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القوالب تحكم الدخول و`role_permissions` تبني القائمة —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وسبعة وثمانون قارئ قرار في مسارين</w:t>
      </w:r>
      <w:r>
        <w:rPr>
          <w:rFonts w:ascii="Segoe UI" w:cs="Segoe UI" w:eastAsia="Segoe UI" w:hAnsi="Segoe UI"/>
          <w:sz w:val="21"/>
          <w:szCs w:val="21"/>
          <w:rtl/>
        </w:rPr>
        <w:t xml:space="preserve">. ومسارٌ مزدوج للصلاحية أخطر من مسارٍ ضعيف: فقد يظهر البند ويُمنع الفعل، أو يُخفى البند ويُسمح الفعل بالرابط المباشر.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وحّد قرار الصلاحية في مصدر واحد يُستدعى من الخادم — والقائمة تُشتق منه لا تُبنى موازيةً له.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واختبر التفافًا: افتح الرابط المباشر لسطحٍ لا يظهر في قائمة الدور — فإن عمل فالمنع تجميليّ لا حقيقي.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واختبر الحقول الحساسة: دورٌ يرى الشاشة ولا يرى حقلًا فيها — يُثبَت بالقياس لا بالسياسة.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وأغلق الأسطح الاثنتي عشرة المملوكة لرمزٍ لا إدارة بمعايير المنصّة الأربعة: تخدم ثلاث إدارات فأكثر · ولا تملك حقيقة أعمال · ولها مالك تقني مسمّى · ومسجَّلة في سجل المنصّة.</w:t>
      </w:r>
    </w:p>
    <w:p>
      <w:pPr>
        <w:pStyle w:val="Heading1"/>
        <w:bidi/>
        <w:spacing w:after="140" w:before="320"/>
        <w:jc w:val="right"/>
      </w:pPr>
      <w:r>
        <w:rPr>
          <w:rFonts w:ascii="Segoe UI" w:cs="Segoe UI" w:eastAsia="Segoe UI" w:hAnsi="Segoe UI"/>
          <w:b/>
          <w:bCs/>
          <w:color w:val="1F3864"/>
          <w:sz w:val="30"/>
          <w:szCs w:val="30"/>
          <w:rtl/>
        </w:rPr>
        <w:t xml:space="preserve">٧ · المطلوب الخامس — الرحلات البشرية الست</w:t>
      </w:r>
    </w:p>
    <w:p>
      <w:pPr>
        <w:bidi/>
        <w:spacing w:after="120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المحطة الناجحة منفردةً لا تثبت الرحلة. </w:t>
      </w:r>
      <w:r>
        <w:rPr>
          <w:rFonts w:ascii="Segoe UI" w:cs="Segoe UI" w:eastAsia="Segoe UI" w:hAnsi="Segoe UI"/>
          <w:sz w:val="21"/>
          <w:szCs w:val="21"/>
          <w:rtl/>
        </w:rPr>
        <w:t xml:space="preserve">والمطلوب ستّ رحلات كاملة، كلٌّ من أول معاملة إلى آخر أثر مالي، بمستخدمين حقيقيين بصلاحياتهم — وحيث يلزم فصل الواجبات فثلاثة أشخاص لا ثلاثة أدوار في حساب واحد.</w:t>
      </w:r>
    </w:p>
    <w:tbl>
      <w:tblPr>
        <w:bidiVisual/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2000"/>
      </w:tblGrid>
      <w:tr>
        <w:trPr>
          <w:tblHeader/>
        </w:trPr>
        <w:tc>
          <w:tcPr>
            <w:tcW w:type="dxa" w:w="1800"/>
            <w:shd w:fill="1F3864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الرحلة</w:t>
            </w:r>
          </w:p>
        </w:tc>
        <w:tc>
          <w:tcPr>
            <w:tcW w:type="dxa" w:w="4200"/>
            <w:shd w:fill="1F3864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المسار</w:t>
            </w:r>
          </w:p>
        </w:tc>
        <w:tc>
          <w:tcPr>
            <w:tcW w:type="dxa" w:w="2000"/>
            <w:shd w:fill="1F3864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ما تُثبته</w:t>
            </w:r>
          </w:p>
        </w:tc>
      </w:tr>
      <w:tr>
        <w:tc>
          <w:tcPr>
            <w:tcW w:type="dxa" w:w="18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الإيراد</w:t>
            </w:r>
          </w:p>
        </w:tc>
        <w:tc>
          <w:tcPr>
            <w:tcW w:type="dxa" w:w="42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فرصة ← عرض ← عقد ← تشغيل ← ساعات ← اعتماد ← مطالبة ← فاتورة ← تحصيل ← قيد</w:t>
            </w:r>
          </w:p>
        </w:tc>
        <w:tc>
          <w:tcPr>
            <w:tcW w:type="dxa" w:w="20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العروض والفوترة — وهما اليوم صفر صف</w:t>
            </w:r>
          </w:p>
        </w:tc>
      </w:tr>
      <w:tr>
        <w:tc>
          <w:tcPr>
            <w:tcW w:type="dxa" w:w="18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المورد</w:t>
            </w:r>
          </w:p>
        </w:tc>
        <w:tc>
          <w:tcPr>
            <w:tcW w:type="dxa" w:w="42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احتياج ← ترشيح ← عقد ← تغطية ← أداء ← إقفال ← استحقاق ← طلب دفع ← تنفيذ ← تخصيص</w:t>
            </w:r>
          </w:p>
        </w:tc>
        <w:tc>
          <w:tcPr>
            <w:tcW w:type="dxa" w:w="20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التسوية والدفع — و٤٦٩ تسوية بصفر مدفوع</w:t>
            </w:r>
          </w:p>
        </w:tc>
      </w:tr>
      <w:tr>
        <w:tc>
          <w:tcPr>
            <w:tcW w:type="dxa" w:w="18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المشتريات</w:t>
            </w:r>
          </w:p>
        </w:tc>
        <w:tc>
          <w:tcPr>
            <w:tcW w:type="dxa" w:w="42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طلب ← حزمة ← عروض ← ترسية ← أمر ← استلام ← مطابقة ثلاثية ← ذمم ← دفع</w:t>
            </w:r>
          </w:p>
        </w:tc>
        <w:tc>
          <w:tcPr>
            <w:tcW w:type="dxa" w:w="20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المطابقة بوابةً للفاتورة</w:t>
            </w:r>
          </w:p>
        </w:tc>
      </w:tr>
      <w:tr>
        <w:tc>
          <w:tcPr>
            <w:tcW w:type="dxa" w:w="18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العطل</w:t>
            </w:r>
          </w:p>
        </w:tc>
        <w:tc>
          <w:tcPr>
            <w:tcW w:type="dxa" w:w="42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توقف ← بلاغ ← أمر ← قطع ← إصلاح ← شهادة ← عودة الحالة ← تقطيع المسؤولية</w:t>
            </w:r>
          </w:p>
        </w:tc>
        <w:tc>
          <w:tcPr>
            <w:tcW w:type="dxa" w:w="20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بوابة عودة الأصل وتقطيع الساعات</w:t>
            </w:r>
          </w:p>
        </w:tc>
      </w:tr>
      <w:tr>
        <w:tc>
          <w:tcPr>
            <w:tcW w:type="dxa" w:w="18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العامل</w:t>
            </w:r>
          </w:p>
        </w:tc>
        <w:tc>
          <w:tcPr>
            <w:tcW w:type="dxa" w:w="42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احتياج ← تخصيص ← تايم شيت ← أداء ← مسيّر ← قيد ← صرف ← تسوية</w:t>
            </w:r>
          </w:p>
        </w:tc>
        <w:tc>
          <w:tcPr>
            <w:tcW w:type="dxa" w:w="20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تسلسل الموارد ثم المالية ثم الخزينة</w:t>
            </w:r>
          </w:p>
        </w:tc>
      </w:tr>
      <w:tr>
        <w:tc>
          <w:tcPr>
            <w:tcW w:type="dxa" w:w="18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القرار</w:t>
            </w:r>
          </w:p>
        </w:tc>
        <w:tc>
          <w:tcPr>
            <w:tcW w:type="dxa" w:w="42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طلب ← رفع بقاعدة ← صندوق الرئيس ← قرار ← ارتداد للسجل الأصلي ← متابعة</w:t>
            </w:r>
          </w:p>
        </w:tc>
        <w:tc>
          <w:tcPr>
            <w:tcW w:type="dxa" w:w="20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أن القرار حدثٌ لا نسخة معاملة</w:t>
            </w:r>
          </w:p>
        </w:tc>
      </w:tr>
    </w:tbl>
    <w:p>
      <w:pPr>
        <w:pStyle w:val="Heading2"/>
        <w:bidi/>
        <w:spacing w:after="140" w:before="230"/>
        <w:jc w:val="right"/>
      </w:pPr>
      <w:r>
        <w:rPr>
          <w:rFonts w:ascii="Segoe UI" w:cs="Segoe UI" w:eastAsia="Segoe UI" w:hAnsi="Segoe UI"/>
          <w:b/>
          <w:bCs/>
          <w:color w:val="1F3864"/>
          <w:sz w:val="25"/>
          <w:szCs w:val="25"/>
          <w:rtl/>
        </w:rPr>
        <w:t xml:space="preserve">٧·١ مصفوفة تغطية النطاقات</w:t>
      </w:r>
    </w:p>
    <w:p>
      <w:pPr>
        <w:bidi/>
        <w:spacing w:after="120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الرحلات الست حدٌّ أدنى لا كونٌ كامل: </w:t>
      </w:r>
      <w:r>
        <w:rPr>
          <w:rFonts w:ascii="Segoe UI" w:cs="Segoe UI" w:eastAsia="Segoe UI" w:hAnsi="Segoe UI"/>
          <w:sz w:val="21"/>
          <w:szCs w:val="21"/>
          <w:rtl/>
        </w:rPr>
        <w:t xml:space="preserve">فالتمويل والتحصيل والموقع والمخازن والمخاطر والحوكمة والمراجعة الداخلية قد تظهر جزئيًّا فيها بلا تغطيةٍ صريحة.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ولا تلزم سبع عشرة رحلة — تلزم مصفوفة تغطية.</w:t>
      </w:r>
    </w:p>
    <w:p>
      <w:pPr>
        <w:bidi/>
        <w:spacing w:after="12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لكل نطاقٍ من DEP-01 إلى DEP-17 ولكل وحدةٍ خارج التعداد، سطرٌ يبيّن: الرحلة التي تمارسه · والتسليم الوارد إليه · والتسليم الصادر منه · والمعاملة المصدرية فيه · والدليل النهائي.</w:t>
      </w:r>
    </w:p>
    <w:p>
      <w:pPr>
        <w:bidi/>
        <w:spacing w:after="120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والقبول: </w:t>
      </w:r>
      <w:r>
        <w:rPr>
          <w:rFonts w:ascii="Segoe UI" w:cs="Segoe UI" w:eastAsia="Segoe UI" w:hAnsi="Segoe UI"/>
          <w:sz w:val="21"/>
          <w:szCs w:val="21"/>
          <w:rtl/>
        </w:rPr>
        <w:t xml:space="preserve">كل نطاقٍ منطبق ظهر في رحلةٍ واحدة على الأقل، أو له سبب عدم انطباقٍ معتمد.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ولا نطاقَ بلا سطرٍ في المصفوفة.</w:t>
      </w:r>
    </w:p>
    <w:p>
      <w:pPr>
        <w:bidi/>
        <w:spacing w:after="120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ومع كل رحلة مسارٌ سالبٌ بشريّ: </w:t>
      </w:r>
      <w:r>
        <w:rPr>
          <w:rFonts w:ascii="Segoe UI" w:cs="Segoe UI" w:eastAsia="Segoe UI" w:hAnsi="Segoe UI"/>
          <w:sz w:val="21"/>
          <w:szCs w:val="21"/>
          <w:rtl/>
        </w:rPr>
        <w:t xml:space="preserve">يحاول المستخدم فعلًا خارج صلاحيته فيُمنَع، وتُقيَّد محاولته في سجل المحاولات الممنوعة.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فرحلةٌ نجحت كلها ولم يُختبر منعُها لم تُثبت شيئًا عن الحراسة.</w:t>
      </w:r>
    </w:p>
    <w:p>
      <w:r>
        <w:br w:type="page"/>
      </w:r>
    </w:p>
    <w:p>
      <w:pPr>
        <w:pStyle w:val="Heading1"/>
        <w:bidi/>
        <w:spacing w:after="140" w:before="320"/>
        <w:jc w:val="right"/>
      </w:pPr>
      <w:r>
        <w:rPr>
          <w:rFonts w:ascii="Segoe UI" w:cs="Segoe UI" w:eastAsia="Segoe UI" w:hAnsi="Segoe UI"/>
          <w:b/>
          <w:bCs/>
          <w:color w:val="1F3864"/>
          <w:sz w:val="30"/>
          <w:szCs w:val="30"/>
          <w:rtl/>
        </w:rPr>
        <w:t xml:space="preserve">٨ · المطلوب السادس — القيود والمحطات الصامتة</w:t>
      </w:r>
    </w:p>
    <w:p>
      <w:pPr>
        <w:pStyle w:val="Heading2"/>
        <w:bidi/>
        <w:spacing w:after="140" w:before="230"/>
        <w:jc w:val="right"/>
      </w:pPr>
      <w:r>
        <w:rPr>
          <w:rFonts w:ascii="Segoe UI" w:cs="Segoe UI" w:eastAsia="Segoe UI" w:hAnsi="Segoe UI"/>
          <w:b/>
          <w:bCs/>
          <w:color w:val="1F3864"/>
          <w:sz w:val="25"/>
          <w:szCs w:val="25"/>
          <w:rtl/>
        </w:rPr>
        <w:t xml:space="preserve">٨·١ القيود</w:t>
      </w:r>
    </w:p>
    <w:p>
      <w:pPr>
        <w:bidi/>
        <w:spacing w:after="12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حدثٌ واحد من خمسة آلاف ومئتين وستة وخمسين مرّ عبر بوابة القيد · وألفٌ وستمئة وأربعة وأربعون قيدًا يدويًّا بلا حدث مصدري.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والقيد نفسه متوازن بفرق صفر — فالمحاسبة سليمة والمصدر ليس كذلك.</w:t>
      </w:r>
    </w:p>
    <w:p>
      <w:pPr>
        <w:bidi/>
        <w:spacing w:after="120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والقاعدة ليست «كل قيد يدوي استثناء»: </w:t>
      </w:r>
      <w:r>
        <w:rPr>
          <w:rFonts w:ascii="Segoe UI" w:cs="Segoe UI" w:eastAsia="Segoe UI" w:hAnsi="Segoe UI"/>
          <w:sz w:val="21"/>
          <w:szCs w:val="21"/>
          <w:rtl/>
        </w:rPr>
        <w:t xml:space="preserve">فالتسويات وقيود الإقفال وإعادة التبويب والاستحقاقات قيود مشروعة بطبيعتها. والقاعدة الصحيحة: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ما يولّده النظام يحمل مرجع حدثه · وما يُنشئه محاسب يحمل نوع مصدره ومستنده وسببه ومُعِدّه ومعتمِده وفترته ومرجع تدقيقه · والاستثناء هو قيدٌ يدويّ بلا مصدر ولا مبرر ولا اعتماد.</w:t>
      </w:r>
    </w:p>
    <w:p>
      <w:pPr>
        <w:bidi/>
        <w:spacing w:after="12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ولا تعارض مع مادتنا «لا كاتب بشري للأستاذ»: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فتلك تحكم من يكتب — المحرّك وحده — لا هل توجد تسوية. المحاسب يُعِدّ والمحرّك يُرحّل.</w:t>
      </w:r>
    </w:p>
    <w:p>
      <w:pPr>
        <w:pStyle w:val="Heading2"/>
        <w:bidi/>
        <w:spacing w:after="140" w:before="230"/>
        <w:jc w:val="right"/>
      </w:pPr>
      <w:r>
        <w:rPr>
          <w:rFonts w:ascii="Segoe UI" w:cs="Segoe UI" w:eastAsia="Segoe UI" w:hAnsi="Segoe UI"/>
          <w:b/>
          <w:bCs/>
          <w:color w:val="1F3864"/>
          <w:sz w:val="25"/>
          <w:szCs w:val="25"/>
          <w:rtl/>
        </w:rPr>
        <w:t xml:space="preserve">٨·٢ المحطات الصامتة</w:t>
      </w:r>
    </w:p>
    <w:p>
      <w:pPr>
        <w:bidi/>
        <w:spacing w:after="12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العروض والفوترة والخزينة ومخالفات الموردين مبنيّة بصفر صف عبر ثلاث لقطات. والبناء الذي لم يُمارَس مرة واحدة لا يُعرف أصحيح هو أم لا. فتُمرَّر كلٌّ منها ضمن رحلتها لا منفردة — ومعاملةٌ واحدة حقيقية تكفي لفتح الطريق.</w:t>
      </w:r>
    </w:p>
    <w:p>
      <w:pPr>
        <w:pStyle w:val="Heading1"/>
        <w:bidi/>
        <w:spacing w:after="140" w:before="320"/>
        <w:jc w:val="right"/>
      </w:pPr>
      <w:r>
        <w:rPr>
          <w:rFonts w:ascii="Segoe UI" w:cs="Segoe UI" w:eastAsia="Segoe UI" w:hAnsi="Segoe UI"/>
          <w:b/>
          <w:bCs/>
          <w:color w:val="1F3864"/>
          <w:sz w:val="30"/>
          <w:szCs w:val="30"/>
          <w:rtl/>
        </w:rPr>
        <w:t xml:space="preserve">٩ · المطلوب السابع — المراقبة والشاشات الذهبية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صحة المستهلكين: </w:t>
      </w:r>
      <w:r>
        <w:rPr>
          <w:rFonts w:ascii="Segoe UI" w:cs="Segoe UI" w:eastAsia="Segoe UI" w:hAnsi="Segoe UI"/>
          <w:sz w:val="21"/>
          <w:szCs w:val="21"/>
          <w:rtl/>
        </w:rPr>
        <w:t xml:space="preserve">آخر تقدّم لكل مستهلك · وإنذار عند توقّف يتجاوز حدًّا معلنًا · وإنذار الناقل مُفعَّل لا معطَّل.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الرسائل الميتة: </w:t>
      </w:r>
      <w:r>
        <w:rPr>
          <w:rFonts w:ascii="Segoe UI" w:cs="Segoe UI" w:eastAsia="Segoe UI" w:hAnsi="Segoe UI"/>
          <w:sz w:val="21"/>
          <w:szCs w:val="21"/>
          <w:rtl/>
        </w:rPr>
        <w:t xml:space="preserve">ستٌّ وعشرون اليوم — لكلٍّ سببها وقرارها: تُعاد أو تُعوَّض أو تُغلق بمبرر.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الشاشات الذهبية: </w:t>
      </w:r>
      <w:r>
        <w:rPr>
          <w:rFonts w:ascii="Segoe UI" w:cs="Segoe UI" w:eastAsia="Segoe UI" w:hAnsi="Segoe UI"/>
          <w:sz w:val="21"/>
          <w:szCs w:val="21"/>
          <w:rtl/>
        </w:rPr>
        <w:t xml:space="preserve">عشرٌ مسجَّلة وتسع بوابات موضوعية — والاعتماد صفر من عشر.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وتُعتمد بعد رحلتها البشرية لا قبلها.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الاستجابة وإتاحة الوصول — طبقتان لا واحدة: </w:t>
      </w:r>
      <w:r>
        <w:rPr>
          <w:rFonts w:ascii="Segoe UI" w:cs="Segoe UI" w:eastAsia="Segoe UI" w:hAnsi="Segoe UI"/>
          <w:sz w:val="21"/>
          <w:szCs w:val="21"/>
          <w:rtl/>
        </w:rPr>
        <w:t xml:space="preserve">مسحٌ آليٌّ بنيويٌّ لكل سطحٍ قابلٍ للعرض (تجاوز الإطار · منفذ العرض · تسميات مفقودة · بنية إتاحةٍ أساسية) · </w:t>
      </w:r>
      <w:r>
        <w:rPr>
          <w:rFonts w:ascii="Segoe UI" w:cs="Segoe UI" w:eastAsia="Segoe UI" w:hAnsi="Segoe UI"/>
          <w:sz w:val="21"/>
          <w:szCs w:val="21"/>
          <w:rtl/>
        </w:rPr>
        <w:t xml:space="preserve">ومراجعةٌ يدويةٌ عميقة للشاشات الذهبية العشر (مكتب · لوحيّ · هاتف · لوحة مفاتيح · تباين · قابلية استعمال).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فالعشر عيّنةٌ عميقة لا دليلٌ وحيدٌ على ستمئة شاشة.</w:t>
      </w:r>
    </w:p>
    <w:p>
      <w:pPr>
        <w:pStyle w:val="Heading1"/>
        <w:bidi/>
        <w:spacing w:after="140" w:before="320"/>
        <w:jc w:val="right"/>
      </w:pPr>
      <w:r>
        <w:rPr>
          <w:rFonts w:ascii="Segoe UI" w:cs="Segoe UI" w:eastAsia="Segoe UI" w:hAnsi="Segoe UI"/>
          <w:b/>
          <w:bCs/>
          <w:color w:val="1F3864"/>
          <w:sz w:val="30"/>
          <w:szCs w:val="30"/>
          <w:rtl/>
        </w:rPr>
        <w:t xml:space="preserve">١٠ · معيار قبول RPR-03</w:t>
      </w:r>
    </w:p>
    <w:p>
      <w:pPr>
        <w:bidi/>
        <w:spacing w:after="120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معيار قبول هذا الأمر وحده — لا معيار اكتمال إنجاز. ومطابقة المعمارية معيارها في RPR-02.</w:t>
      </w:r>
    </w:p>
    <w:tbl>
      <w:tblPr>
        <w:bidiVisual/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500"/>
        <w:gridCol w:w="2100"/>
      </w:tblGrid>
      <w:tr>
        <w:trPr>
          <w:tblHeader/>
        </w:trPr>
        <w:tc>
          <w:tcPr>
            <w:tcW w:type="dxa" w:w="4400"/>
            <w:shd w:fill="1F3864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المقياس</w:t>
            </w:r>
          </w:p>
        </w:tc>
        <w:tc>
          <w:tcPr>
            <w:tcW w:type="dxa" w:w="1500"/>
            <w:shd w:fill="1F3864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المستهدف</w:t>
            </w:r>
          </w:p>
        </w:tc>
        <w:tc>
          <w:tcPr>
            <w:tcW w:type="dxa" w:w="2100"/>
            <w:shd w:fill="1F3864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المقيس اليوم</w:t>
            </w:r>
          </w:p>
        </w:tc>
      </w:tr>
      <w:tr>
        <w:tc>
          <w:tcPr>
            <w:tcW w:type="dxa" w:w="44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هجرات غير مصالَحة مع الدفتر</w:t>
            </w:r>
          </w:p>
        </w:tc>
        <w:tc>
          <w:tcPr>
            <w:tcW w:type="dxa" w:w="15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صفر</w:t>
            </w:r>
          </w:p>
        </w:tc>
        <w:tc>
          <w:tcPr>
            <w:tcW w:type="dxa" w:w="21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٥٨</w:t>
            </w:r>
          </w:p>
        </w:tc>
      </w:tr>
      <w:tr>
        <w:tc>
          <w:tcPr>
            <w:tcW w:type="dxa" w:w="44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بوابة ترسُب على هجرة لا تسجّل نفسها</w:t>
            </w:r>
          </w:p>
        </w:tc>
        <w:tc>
          <w:tcPr>
            <w:tcW w:type="dxa" w:w="15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مفعَّلة</w:t>
            </w:r>
          </w:p>
        </w:tc>
        <w:tc>
          <w:tcPr>
            <w:tcW w:type="dxa" w:w="21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لا توجد</w:t>
            </w:r>
          </w:p>
        </w:tc>
      </w:tr>
      <w:tr>
        <w:tc>
          <w:tcPr>
            <w:tcW w:type="dxa" w:w="44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أحداث أعمال بلا عقد مستهلك فعّال</w:t>
            </w:r>
          </w:p>
        </w:tc>
        <w:tc>
          <w:tcPr>
            <w:tcW w:type="dxa" w:w="15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صفر</w:t>
            </w:r>
          </w:p>
        </w:tc>
        <w:tc>
          <w:tcPr>
            <w:tcW w:type="dxa" w:w="21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١١ من ١١</w:t>
            </w:r>
          </w:p>
        </w:tc>
      </w:tr>
      <w:tr>
        <w:tc>
          <w:tcPr>
            <w:tcW w:type="dxa" w:w="44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مستهلك متوقّف بلا إنذار</w:t>
            </w:r>
          </w:p>
        </w:tc>
        <w:tc>
          <w:tcPr>
            <w:tcW w:type="dxa" w:w="15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صفر</w:t>
            </w:r>
          </w:p>
        </w:tc>
        <w:tc>
          <w:tcPr>
            <w:tcW w:type="dxa" w:w="21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١ متوقّف ١٦ يومًا</w:t>
            </w:r>
          </w:p>
        </w:tc>
      </w:tr>
      <w:tr>
        <w:tc>
          <w:tcPr>
            <w:tcW w:type="dxa" w:w="44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نافذة ظلّ للاعتماد مقيسة بمقاييسها الأربعة</w:t>
            </w:r>
          </w:p>
        </w:tc>
        <w:tc>
          <w:tcPr>
            <w:tcW w:type="dxa" w:w="15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منفَّذة</w:t>
            </w:r>
          </w:p>
        </w:tc>
        <w:tc>
          <w:tcPr>
            <w:tcW w:type="dxa" w:w="21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صفر</w:t>
            </w:r>
          </w:p>
        </w:tc>
      </w:tr>
      <w:tr>
        <w:tc>
          <w:tcPr>
            <w:tcW w:type="dxa" w:w="44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رحلات اعتماد تحجب فعلًا</w:t>
            </w:r>
          </w:p>
        </w:tc>
        <w:tc>
          <w:tcPr>
            <w:tcW w:type="dxa" w:w="15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١٤ من ١٤</w:t>
            </w:r>
          </w:p>
        </w:tc>
        <w:tc>
          <w:tcPr>
            <w:tcW w:type="dxa" w:w="21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صفر — وضع مراقبة</w:t>
            </w:r>
          </w:p>
        </w:tc>
      </w:tr>
      <w:tr>
        <w:tc>
          <w:tcPr>
            <w:tcW w:type="dxa" w:w="44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مسارات قرار الصلاحية</w:t>
            </w:r>
          </w:p>
        </w:tc>
        <w:tc>
          <w:tcPr>
            <w:tcW w:type="dxa" w:w="15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واحد</w:t>
            </w:r>
          </w:p>
        </w:tc>
        <w:tc>
          <w:tcPr>
            <w:tcW w:type="dxa" w:w="21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مساران · ٨٧ قارئًا</w:t>
            </w:r>
          </w:p>
        </w:tc>
      </w:tr>
      <w:tr>
        <w:tc>
          <w:tcPr>
            <w:tcW w:type="dxa" w:w="44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أسطح PLATFORM بلا تبرير منصّي معتمد</w:t>
            </w:r>
          </w:p>
        </w:tc>
        <w:tc>
          <w:tcPr>
            <w:tcW w:type="dxa" w:w="15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صفر</w:t>
            </w:r>
          </w:p>
        </w:tc>
        <w:tc>
          <w:tcPr>
            <w:tcW w:type="dxa" w:w="21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١٢ تحتاج مراجعة</w:t>
            </w:r>
          </w:p>
        </w:tc>
      </w:tr>
      <w:tr>
        <w:tc>
          <w:tcPr>
            <w:tcW w:type="dxa" w:w="44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رحلات بشرية كاملة بمسارها السالب</w:t>
            </w:r>
          </w:p>
        </w:tc>
        <w:tc>
          <w:tcPr>
            <w:tcW w:type="dxa" w:w="15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٦ من ٦</w:t>
            </w:r>
          </w:p>
        </w:tc>
        <w:tc>
          <w:tcPr>
            <w:tcW w:type="dxa" w:w="21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صفر</w:t>
            </w:r>
          </w:p>
        </w:tc>
      </w:tr>
      <w:tr>
        <w:tc>
          <w:tcPr>
            <w:tcW w:type="dxa" w:w="44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محطات مبنيّة بصفر صف</w:t>
            </w:r>
          </w:p>
        </w:tc>
        <w:tc>
          <w:tcPr>
            <w:tcW w:type="dxa" w:w="15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صفر</w:t>
            </w:r>
          </w:p>
        </w:tc>
        <w:tc>
          <w:tcPr>
            <w:tcW w:type="dxa" w:w="21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٤ محطات · ٤٦٩ تسوية</w:t>
            </w:r>
          </w:p>
        </w:tc>
      </w:tr>
      <w:tr>
        <w:tc>
          <w:tcPr>
            <w:tcW w:type="dxa" w:w="44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قيود يدوية بلا مصدر ولا مبرر ولا اعتماد</w:t>
            </w:r>
          </w:p>
        </w:tc>
        <w:tc>
          <w:tcPr>
            <w:tcW w:type="dxa" w:w="15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صفر</w:t>
            </w:r>
          </w:p>
        </w:tc>
        <w:tc>
          <w:tcPr>
            <w:tcW w:type="dxa" w:w="21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غير مصنَّف</w:t>
            </w:r>
          </w:p>
        </w:tc>
      </w:tr>
      <w:tr>
        <w:tc>
          <w:tcPr>
            <w:tcW w:type="dxa" w:w="44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تمرين استعادة على المخطَّط الحالي</w:t>
            </w:r>
          </w:p>
        </w:tc>
        <w:tc>
          <w:tcPr>
            <w:tcW w:type="dxa" w:w="15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ناجح بمحضره</w:t>
            </w:r>
          </w:p>
        </w:tc>
        <w:tc>
          <w:tcPr>
            <w:tcW w:type="dxa" w:w="21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دليل متقادم</w:t>
            </w:r>
          </w:p>
        </w:tc>
      </w:tr>
      <w:tr>
        <w:tc>
          <w:tcPr>
            <w:tcW w:type="dxa" w:w="44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تثبيت من الصفر على المخطَّط الحالي</w:t>
            </w:r>
          </w:p>
        </w:tc>
        <w:tc>
          <w:tcPr>
            <w:tcW w:type="dxa" w:w="15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ناجح</w:t>
            </w:r>
          </w:p>
        </w:tc>
        <w:tc>
          <w:tcPr>
            <w:tcW w:type="dxa" w:w="21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دليل متقادم</w:t>
            </w:r>
          </w:p>
        </w:tc>
      </w:tr>
      <w:tr>
        <w:tc>
          <w:tcPr>
            <w:tcW w:type="dxa" w:w="44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شاشات ذهبية معتمدة</w:t>
            </w:r>
          </w:p>
        </w:tc>
        <w:tc>
          <w:tcPr>
            <w:tcW w:type="dxa" w:w="15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١٠ من ١٠</w:t>
            </w:r>
          </w:p>
        </w:tc>
        <w:tc>
          <w:tcPr>
            <w:tcW w:type="dxa" w:w="21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صفر</w:t>
            </w:r>
          </w:p>
        </w:tc>
      </w:tr>
      <w:tr>
        <w:tc>
          <w:tcPr>
            <w:tcW w:type="dxa" w:w="44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مسح بنيويّ آليّ للأسطح القابلة للعرض</w:t>
            </w:r>
          </w:p>
        </w:tc>
        <w:tc>
          <w:tcPr>
            <w:tcW w:type="dxa" w:w="15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منفَّذ</w:t>
            </w:r>
          </w:p>
        </w:tc>
        <w:tc>
          <w:tcPr>
            <w:tcW w:type="dxa" w:w="21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غير منفَّذ</w:t>
            </w:r>
          </w:p>
        </w:tc>
      </w:tr>
      <w:tr>
        <w:tc>
          <w:tcPr>
            <w:tcW w:type="dxa" w:w="44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مراجعة يدوية عميقة للشاشات الذهبية العشر</w:t>
            </w:r>
          </w:p>
        </w:tc>
        <w:tc>
          <w:tcPr>
            <w:tcW w:type="dxa" w:w="15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١٠ من ١٠</w:t>
            </w:r>
          </w:p>
        </w:tc>
        <w:tc>
          <w:tcPr>
            <w:tcW w:type="dxa" w:w="21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صفر</w:t>
            </w:r>
          </w:p>
        </w:tc>
      </w:tr>
      <w:tr>
        <w:tc>
          <w:tcPr>
            <w:tcW w:type="dxa" w:w="44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رسائل ميتة بلا حكم</w:t>
            </w:r>
          </w:p>
        </w:tc>
        <w:tc>
          <w:tcPr>
            <w:tcW w:type="dxa" w:w="15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صفر</w:t>
            </w:r>
          </w:p>
        </w:tc>
        <w:tc>
          <w:tcPr>
            <w:tcW w:type="dxa" w:w="21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٢٦ بلا حكم</w:t>
            </w:r>
          </w:p>
        </w:tc>
      </w:tr>
      <w:tr>
        <w:tc>
          <w:tcPr>
            <w:tcW w:type="dxa" w:w="44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مستهلكون حرجون متوقّفون</w:t>
            </w:r>
          </w:p>
        </w:tc>
        <w:tc>
          <w:tcPr>
            <w:tcW w:type="dxa" w:w="15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صفر</w:t>
            </w:r>
          </w:p>
        </w:tc>
        <w:tc>
          <w:tcPr>
            <w:tcW w:type="dxa" w:w="21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١</w:t>
            </w:r>
          </w:p>
        </w:tc>
      </w:tr>
      <w:tr>
        <w:tc>
          <w:tcPr>
            <w:tcW w:type="dxa" w:w="44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إخفاقات حرجة في جدولة المهام</w:t>
            </w:r>
          </w:p>
        </w:tc>
        <w:tc>
          <w:tcPr>
            <w:tcW w:type="dxa" w:w="15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صفر</w:t>
            </w:r>
          </w:p>
        </w:tc>
        <w:tc>
          <w:tcPr>
            <w:tcW w:type="dxa" w:w="2100"/>
            <w:shd w:fill="FCE4D6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غير مقيس</w:t>
            </w:r>
          </w:p>
        </w:tc>
      </w:tr>
    </w:tbl>
    <w:p>
      <w:pPr>
        <w:bidi/>
        <w:spacing w:after="120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تسعة عشر مقياسًا — وكلها حمراء اليوم. </w:t>
      </w:r>
      <w:r>
        <w:rPr>
          <w:rFonts w:ascii="Segoe UI" w:cs="Segoe UI" w:eastAsia="Segoe UI" w:hAnsi="Segoe UI"/>
          <w:sz w:val="21"/>
          <w:szCs w:val="21"/>
          <w:rtl/>
        </w:rPr>
        <w:t xml:space="preserve">وهذا هو الفرق بين نظامٍ يعرف نفسه ونظامٍ يعمل.</w:t>
      </w:r>
    </w:p>
    <w:p>
      <w:pPr>
        <w:pStyle w:val="Heading1"/>
        <w:bidi/>
        <w:spacing w:after="140" w:before="320"/>
        <w:jc w:val="right"/>
      </w:pPr>
      <w:r>
        <w:rPr>
          <w:rFonts w:ascii="Segoe UI" w:cs="Segoe UI" w:eastAsia="Segoe UI" w:hAnsi="Segoe UI"/>
          <w:b/>
          <w:bCs/>
          <w:color w:val="1F3864"/>
          <w:sz w:val="30"/>
          <w:szCs w:val="30"/>
          <w:rtl/>
        </w:rPr>
        <w:t xml:space="preserve">١١ · مسارات التنفيذ الستة</w:t>
      </w:r>
    </w:p>
    <w:p>
      <w:pPr>
        <w:bidi/>
        <w:spacing w:after="120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لا يُنفَّذ هذا الأمر خطًّا واحدًا. </w:t>
      </w:r>
      <w:r>
        <w:rPr>
          <w:rFonts w:ascii="Segoe UI" w:cs="Segoe UI" w:eastAsia="Segoe UI" w:hAnsi="Segoe UI"/>
          <w:sz w:val="21"/>
          <w:szCs w:val="21"/>
          <w:rtl/>
        </w:rPr>
        <w:t xml:space="preserve">فالخطّ الواحد يجعل حاجزًا في منتصفه يوقف كل ما بعده — وهو التوقف الذي وُضع أمر المراجعة الشاملة لمنعه.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والقاعدة: الحاجز يوقف مساره وحده لا الأمر كله.</w:t>
      </w:r>
    </w:p>
    <w:tbl>
      <w:tblPr>
        <w:bidiVisual/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32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المسار</w:t>
            </w:r>
          </w:p>
        </w:tc>
        <w:tc>
          <w:tcPr>
            <w:tcW w:type="dxa" w:w="3300"/>
            <w:shd w:fill="1F3864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ما فيه</w:t>
            </w:r>
          </w:p>
        </w:tc>
        <w:tc>
          <w:tcPr>
            <w:tcW w:type="dxa" w:w="3200"/>
            <w:shd w:fill="1F3864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تبعيته وحاجزه</w:t>
            </w:r>
          </w:p>
        </w:tc>
      </w:tr>
      <w:tr>
        <w:tc>
          <w:tcPr>
            <w:tcW w:type="dxa" w:w="15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أ · استعادة المنصّة</w:t>
            </w:r>
          </w:p>
        </w:tc>
        <w:tc>
          <w:tcPr>
            <w:tcW w:type="dxa" w:w="33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دفتر الهجرات وبوابته · وتسوية التاريخية · والنسخ والاستعادة · والتثبيت من الصفر</w:t>
            </w:r>
          </w:p>
        </w:tc>
        <w:tc>
          <w:tcPr>
            <w:tcW w:type="dxa" w:w="32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بلا حاجز — يبدأ فورًا</w:t>
            </w:r>
          </w:p>
        </w:tc>
      </w:tr>
      <w:tr>
        <w:tc>
          <w:tcPr>
            <w:tcW w:type="dxa" w:w="15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ب · تكامل الأحداث</w:t>
            </w:r>
          </w:p>
        </w:tc>
        <w:tc>
          <w:tcPr>
            <w:tcW w:type="dxa" w:w="33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تصنيف الأنواع · ومراقبة صحة المستهلكين · ومستهلك صرف العملة · وحدث أعمالٍ كامل · ثم البقية · والرسائل الميتة</w:t>
            </w:r>
          </w:p>
        </w:tc>
        <w:tc>
          <w:tcPr>
            <w:tcW w:type="dxa" w:w="32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بلا حاجز — يبدأ فورًا</w:t>
            </w:r>
          </w:p>
        </w:tc>
      </w:tr>
      <w:tr>
        <w:tc>
          <w:tcPr>
            <w:tcW w:type="dxa" w:w="15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ج · الصلاحيات</w:t>
            </w:r>
          </w:p>
        </w:tc>
        <w:tc>
          <w:tcPr>
            <w:tcW w:type="dxa" w:w="33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توحيد قرار الصلاحية · واختبار الالتفاف بالرابط المباشر · وإظهار الحقول الحساسة · وحسم أسطح PLATFORM</w:t>
            </w:r>
          </w:p>
        </w:tc>
        <w:tc>
          <w:tcPr>
            <w:tcW w:type="dxa" w:w="32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بلا حاجز — ويسبق المسار د</w:t>
            </w:r>
          </w:p>
        </w:tc>
      </w:tr>
      <w:tr>
        <w:tc>
          <w:tcPr>
            <w:tcW w:type="dxa" w:w="15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د · إنفاذ الاعتماد</w:t>
            </w:r>
          </w:p>
        </w:tc>
        <w:tc>
          <w:tcPr>
            <w:tcW w:type="dxa" w:w="33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بناء المحرك · وصحة التوجيه وتحديد الدور المعتمِد · ثم نافذة الظلّ · ثم قياسها · ثم الإنفاذ</w:t>
            </w:r>
          </w:p>
        </w:tc>
        <w:tc>
          <w:tcPr>
            <w:tcW w:type="dxa" w:w="32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يعتمد على ج · وحاجزه القيم في مرحلتَي الظلّ والإنفاذ وحدهما</w:t>
            </w:r>
          </w:p>
        </w:tc>
      </w:tr>
      <w:tr>
        <w:tc>
          <w:tcPr>
            <w:tcW w:type="dxa" w:w="15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هـ · الرحلات البشرية</w:t>
            </w:r>
          </w:p>
        </w:tc>
        <w:tc>
          <w:tcPr>
            <w:tcW w:type="dxa" w:w="33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ما لا يعتمد على الإنفاذ يُنفَّذ ويُقاس · والإغلاق النهائي بعد نفاذ الاعتماد</w:t>
            </w:r>
          </w:p>
        </w:tc>
        <w:tc>
          <w:tcPr>
            <w:tcW w:type="dxa" w:w="32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يعتمد على أ وب وج · وإغلاقه على د</w:t>
            </w:r>
          </w:p>
        </w:tc>
      </w:tr>
      <w:tr>
        <w:tc>
          <w:tcPr>
            <w:tcW w:type="dxa" w:w="15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right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و · جاهزية الإنتاج</w:t>
            </w:r>
          </w:p>
        </w:tc>
        <w:tc>
          <w:tcPr>
            <w:tcW w:type="dxa" w:w="33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تصنيف القيود اليدوية · والشاشات الذهبية · والاستجابة وإتاحة الوصول · والإصدار</w:t>
            </w:r>
          </w:p>
        </w:tc>
        <w:tc>
          <w:tcPr>
            <w:tcW w:type="dxa" w:w="3200"/>
            <w:shd w:fill="F2F5FA" w:color="auto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bidi/>
              <w:spacing w:after="0" w:line="250"/>
              <w:jc w:val="center"/>
            </w:pPr>
            <w:r>
              <w:rPr>
                <w:rFonts w:ascii="Segoe UI" w:cs="Segoe UI" w:eastAsia="Segoe UI" w:hAnsi="Segoe UI"/>
                <w:sz w:val="15"/>
                <w:szCs w:val="15"/>
                <w:rtl/>
              </w:rPr>
              <w:t xml:space="preserve">يعتمد على هـ</w:t>
            </w:r>
          </w:p>
        </w:tc>
      </w:tr>
    </w:tbl>
    <w:p>
      <w:pPr>
        <w:bidi/>
        <w:spacing w:after="120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وتنبيه على المسار الرابع: </w:t>
      </w:r>
      <w:r>
        <w:rPr>
          <w:rFonts w:ascii="Segoe UI" w:cs="Segoe UI" w:eastAsia="Segoe UI" w:hAnsi="Segoe UI"/>
          <w:sz w:val="21"/>
          <w:szCs w:val="21"/>
          <w:rtl/>
        </w:rPr>
        <w:t xml:space="preserve">بناء المحرك والتحقّق من صحة التوجيه ومن تحديد الدور المعتمِد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لا يحتاج قيمةً واحدة</w:t>
      </w:r>
      <w:r>
        <w:rPr>
          <w:rFonts w:ascii="Segoe UI" w:cs="Segoe UI" w:eastAsia="Segoe UI" w:hAnsi="Segoe UI"/>
          <w:sz w:val="21"/>
          <w:szCs w:val="21"/>
          <w:rtl/>
        </w:rPr>
        <w:t xml:space="preserve"> — فالقيم تلزم لقياس ما سيُمنَع لا لبناء ما يمنع. فامضِ فيه إلى حدّ نافذة الظلّ،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ولا يُعدّ المسار موقوفًا قبل بلوغ ذلك الحدّ.</w:t>
      </w:r>
    </w:p>
    <w:p>
      <w:pPr>
        <w:bidi/>
        <w:spacing w:after="120" w:line="300"/>
        <w:jc w:val="both"/>
      </w:pP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وترتيب البدء: </w:t>
      </w:r>
      <w:r>
        <w:rPr>
          <w:rFonts w:ascii="Segoe UI" w:cs="Segoe UI" w:eastAsia="Segoe UI" w:hAnsi="Segoe UI"/>
          <w:sz w:val="21"/>
          <w:szCs w:val="21"/>
          <w:rtl/>
        </w:rPr>
        <w:t xml:space="preserve">أ وب وج معًا · ثم د إلى حدّ الظلّ · ثم هـ · ثم و.</w:t>
      </w:r>
    </w:p>
    <w:p>
      <w:pPr>
        <w:pStyle w:val="Heading1"/>
        <w:bidi/>
        <w:spacing w:after="140" w:before="320"/>
        <w:jc w:val="right"/>
      </w:pPr>
      <w:r>
        <w:rPr>
          <w:rFonts w:ascii="Segoe UI" w:cs="Segoe UI" w:eastAsia="Segoe UI" w:hAnsi="Segoe UI"/>
          <w:b/>
          <w:bCs/>
          <w:color w:val="1F3864"/>
          <w:sz w:val="30"/>
          <w:szCs w:val="30"/>
          <w:rtl/>
        </w:rPr>
        <w:t xml:space="preserve">١٢ · المحظورات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لا إنفاذ لبوابة اعتماد قبل صدور القيم وقياس نافذة الظلّ.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لا إعلان «حدث مستهلَك» بوصول رسالة — بل بأثر تجاري مقيس عند المستهلك.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لا إغلاق رسالة ميتة بلا سبب وقرار.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لا اعتماد شاشة ذهبية قبل رحلتها البشرية.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لا إعلان محور جاهزية أخضر بدليلٍ أُثبت على مخطَّط أقدم.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لا تصنيف قيد يدوي استثناءً لمجرد أنه يدوي — ولا قبوله بلا مصدر ومبرر واعتماد.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ولا يصدر أساس معتمد وفيه محورُ جاهزيةٍ أحمر بلا قرار مالك موثَّق.</w:t>
      </w:r>
    </w:p>
    <w:p>
      <w:pPr>
        <w:pStyle w:val="Heading1"/>
        <w:bidi/>
        <w:spacing w:after="140" w:before="320"/>
        <w:jc w:val="right"/>
      </w:pPr>
      <w:r>
        <w:rPr>
          <w:rFonts w:ascii="Segoe UI" w:cs="Segoe UI" w:eastAsia="Segoe UI" w:hAnsi="Segoe UI"/>
          <w:b/>
          <w:bCs/>
          <w:color w:val="1F3864"/>
          <w:sz w:val="30"/>
          <w:szCs w:val="30"/>
          <w:rtl/>
        </w:rPr>
        <w:t xml:space="preserve">١٣ · المطلوب في ردّك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تصنيف الأنواع الثمانية والخمسين: أعمال · تدقيقيّ · مهمل — بحكم لكلٍّ.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دليل الحدث الأول الكامل: المُنتِج والمستهلك والأثر المقيس ونتيجة اختبار التكرار والفشل.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تقرير نافذة الظلّ بمقاييسها الأربعة قبل أي إنفاذ.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نتيجة اختبار الالتفاف على الرابط المباشر — لكل دور وعيّنة أسطح.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أدلة الرحلات الست: من أدّاها بصلاحيته · وما الأثر المالي النهائي · ونتيجة مسارها السالب.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محضرا الاستعادة والتثبيت على المخطَّط الحالي بأرقامهما.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تصنيف القيود اليدوية الألف وستمئة وأربعة وأربعين.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حالة المقاييس التسعة عشر قبل وبعد.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both"/>
      </w:pPr>
      <w:r>
        <w:rPr>
          <w:rFonts w:ascii="Segoe UI" w:cs="Segoe UI" w:eastAsia="Segoe UI" w:hAnsi="Segoe UI"/>
          <w:sz w:val="21"/>
          <w:szCs w:val="21"/>
          <w:rtl/>
        </w:rPr>
        <w:t xml:space="preserve">وما لم تستطع قياسه — سمِّه ولا تخمّنه.</w:t>
      </w:r>
    </w:p>
    <w:p>
      <w:pPr>
        <w:pBdr>
          <w:top w:val="single" w:color="1F3864" w:sz="8"/>
        </w:pBdr>
        <w:spacing w:before="400"/>
      </w:pPr>
    </w:p>
    <w:p>
      <w:pPr>
        <w:bidi/>
        <w:spacing w:after="0" w:line="300"/>
        <w:jc w:val="both"/>
      </w:pPr>
      <w:r>
        <w:rPr>
          <w:rFonts w:ascii="Segoe UI" w:cs="Segoe UI" w:eastAsia="Segoe UI" w:hAnsi="Segoe UI"/>
          <w:b/>
          <w:bCs/>
          <w:color w:val="1F3864"/>
          <w:sz w:val="21"/>
          <w:szCs w:val="21"/>
          <w:rtl/>
        </w:rPr>
        <w:t xml:space="preserve">القاعدة الختامية: </w:t>
      </w:r>
      <w:r>
        <w:rPr>
          <w:rFonts w:ascii="Segoe UI" w:cs="Segoe UI" w:eastAsia="Segoe UI" w:hAnsi="Segoe UI"/>
          <w:sz w:val="21"/>
          <w:szCs w:val="21"/>
          <w:rtl/>
        </w:rPr>
        <w:t xml:space="preserve">الرسالة التي وصلت ولم تُحدث أثرًا لم تُستهلَك · والبوابة التي تسجّل ولا تمنع لم تُنفَّذ · والمحطة التي لم تمرّ بها معاملة واحدة لم تُختبَر · والدليل الذي أُثبت على مخطَّط أقدم لا يُقرأ حاضرًا · </w:t>
      </w:r>
      <w:r>
        <w:rPr>
          <w:rFonts w:ascii="Segoe UI" w:cs="Segoe UI" w:eastAsia="Segoe UI" w:hAnsi="Segoe UI"/>
          <w:b/>
          <w:bCs/>
          <w:sz w:val="21"/>
          <w:szCs w:val="21"/>
          <w:rtl/>
        </w:rPr>
        <w:t xml:space="preserve">ونظامٌ يعرف نفسه ولا يعمل ليس جاهزًا مهما اكتملت خرائطه.</w:t>
      </w:r>
    </w:p>
    <w:sectPr>
      <w:headerReference w:type="default" r:id="rId7"/>
      <w:footerReference w:type="default" r:id="rId8"/>
      <w:pgSz w:w="11906" w:h="16838" w:orient="portrait"/>
      <w:pgMar w:top="1100" w:right="900" w:bottom="11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Segoe UI" w:cs="Segoe UI" w:eastAsia="Segoe UI" w:hAnsi="Segoe UI"/>
        <w:color w:val="44546A"/>
        <w:sz w:val="15"/>
        <w:szCs w:val="15"/>
      </w:rPr>
      <w:t xml:space="preserve">صفحة </w:t>
      <w:fldChar w:fldCharType="begin"/>
      <w:instrText xml:space="preserve">PAGE</w:instrText>
      <w:fldChar w:fldCharType="separate"/>
      <w:fldChar w:fldCharType="end"/>
      <w:t xml:space="preserve"> من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  <w:bidi/>
      <w:jc w:val="right"/>
    </w:pPr>
    <w:r>
      <w:rPr>
        <w:rFonts w:ascii="Segoe UI" w:cs="Segoe UI" w:eastAsia="Segoe UI" w:hAnsi="Segoe UI"/>
        <w:color w:val="44546A"/>
        <w:sz w:val="15"/>
        <w:szCs w:val="15"/>
        <w:rtl/>
      </w:rPr>
      <w:t xml:space="preserve">RPR-03 · أمر التكامل والإنفاذ والجاهزية التشغيلية — إكوبيشن · نظام إنجاز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start"/>
      <w:pPr>
        <w:ind w:star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jc w:val="right"/>
    </w:pPr>
    <w:rPr>
      <w:rFonts w:ascii="Segoe UI" w:cs="Segoe UI" w:eastAsia="Segoe UI" w:hAnsi="Segoe U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50"/>
      <w:jc w:val="right"/>
    </w:pPr>
    <w:rPr>
      <w:rFonts w:ascii="Segoe UI" w:cs="Segoe UI" w:eastAsia="Segoe UI" w:hAnsi="Segoe UI"/>
      <w:b/>
      <w:bCs/>
      <w:color w:val="1F386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RPR-03 — أمر التكامل والإنفاذ والجاهزية التشغيلية</dc:title>
  <dc:creator>مالك إكوبيشن</dc:creator>
  <cp:lastModifiedBy>Un-named</cp:lastModifiedBy>
  <cp:revision>1</cp:revision>
  <dcterms:created xsi:type="dcterms:W3CDTF">2026-08-29T10:24:40.376Z</dcterms:created>
  <dcterms:modified xsi:type="dcterms:W3CDTF">2026-08-29T10:24:40.376Z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