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60" w:before="1100"/>
        <w:jc w:val="center"/>
      </w:pPr>
      <w:r>
        <w:rPr>
          <w:rFonts w:ascii="Segoe UI" w:cs="Segoe UI" w:eastAsia="Segoe UI" w:hAnsi="Segoe UI"/>
          <w:b/>
          <w:bCs/>
          <w:color w:val="C00000"/>
          <w:sz w:val="24"/>
          <w:szCs w:val="24"/>
          <w:rtl/>
        </w:rPr>
        <w:t xml:space="preserve">أمر تنفيذي</w:t>
      </w:r>
    </w:p>
    <w:p>
      <w:pPr>
        <w:bidi/>
        <w:spacing w:after="60"/>
        <w:jc w:val="center"/>
      </w:pPr>
      <w:r>
        <w:rPr>
          <w:rFonts w:ascii="Segoe UI" w:cs="Segoe UI" w:eastAsia="Segoe UI" w:hAnsi="Segoe UI"/>
          <w:b/>
          <w:bCs/>
          <w:color w:val="1F3864"/>
          <w:sz w:val="54"/>
          <w:szCs w:val="54"/>
        </w:rPr>
        <w:t xml:space="preserve">AMD-01</w:t>
      </w:r>
    </w:p>
    <w:p>
      <w:pPr>
        <w:bidi/>
        <w:spacing w:after="190"/>
        <w:jc w:val="center"/>
      </w:pPr>
      <w:r>
        <w:rPr>
          <w:rFonts w:ascii="Segoe UI" w:cs="Segoe UI" w:eastAsia="Segoe UI" w:hAnsi="Segoe UI"/>
          <w:b/>
          <w:bCs/>
          <w:color w:val="1F3864"/>
          <w:sz w:val="30"/>
          <w:szCs w:val="30"/>
          <w:rtl/>
        </w:rPr>
        <w:t xml:space="preserve">المراجعة العكسية الشاملة واستعادة التنفيذ</w:t>
      </w:r>
    </w:p>
    <w:p>
      <w:pPr>
        <w:bidi/>
        <w:spacing w:after="520"/>
        <w:jc w:val="center"/>
      </w:pPr>
      <w:r>
        <w:rPr>
          <w:rFonts w:ascii="Segoe UI" w:cs="Segoe UI" w:eastAsia="Segoe UI" w:hAnsi="Segoe UI"/>
          <w:color w:val="44546A"/>
          <w:sz w:val="22"/>
          <w:szCs w:val="22"/>
          <w:rtl/>
        </w:rPr>
        <w:t xml:space="preserve">على الحزمة المؤسسية كاملة · وعلى ما نُفِّذ منها · وعلى ما توقّف ولماذا</w:t>
      </w:r>
    </w:p>
    <w:tbl>
      <w:tblPr>
        <w:bidiVisual/>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200"/>
        <w:gridCol w:w="5800"/>
      </w:tblGrid>
      <w:tr>
        <w:trPr>
          <w:tblHeader/>
        </w:trPr>
        <w:tc>
          <w:tcPr>
            <w:tcW w:type="dxa" w:w="2200"/>
            <w:shd w:fill="1F3864" w:color="auto" w:val="clear"/>
            <w:tcMar>
              <w:top w:type="dxa" w:w="55"/>
              <w:left w:type="dxa" w:w="75"/>
              <w:bottom w:type="dxa" w:w="55"/>
              <w:right w:type="dxa" w:w="75"/>
            </w:tcMar>
          </w:tcPr>
          <w:p>
            <w:pPr>
              <w:bidi/>
              <w:spacing w:after="0" w:line="255"/>
              <w:jc w:val="center"/>
            </w:pPr>
            <w:r>
              <w:rPr>
                <w:rFonts w:ascii="Segoe UI" w:cs="Segoe UI" w:eastAsia="Segoe UI" w:hAnsi="Segoe UI"/>
                <w:b/>
                <w:bCs/>
                <w:color w:val="FFFFFF"/>
                <w:sz w:val="16"/>
                <w:szCs w:val="16"/>
                <w:rtl/>
              </w:rPr>
              <w:t xml:space="preserve">البند</w:t>
            </w:r>
          </w:p>
        </w:tc>
        <w:tc>
          <w:tcPr>
            <w:tcW w:type="dxa" w:w="5800"/>
            <w:shd w:fill="1F3864" w:color="auto" w:val="clear"/>
            <w:tcMar>
              <w:top w:type="dxa" w:w="55"/>
              <w:left w:type="dxa" w:w="75"/>
              <w:bottom w:type="dxa" w:w="55"/>
              <w:right w:type="dxa" w:w="75"/>
            </w:tcMar>
          </w:tcPr>
          <w:p>
            <w:pPr>
              <w:bidi/>
              <w:spacing w:after="0" w:line="255"/>
              <w:jc w:val="center"/>
            </w:pPr>
            <w:r>
              <w:rPr>
                <w:rFonts w:ascii="Segoe UI" w:cs="Segoe UI" w:eastAsia="Segoe UI" w:hAnsi="Segoe UI"/>
                <w:b/>
                <w:bCs/>
                <w:color w:val="FFFFFF"/>
                <w:sz w:val="16"/>
                <w:szCs w:val="16"/>
                <w:rtl/>
              </w:rPr>
              <w:t xml:space="preserve">القيمة</w:t>
            </w:r>
          </w:p>
        </w:tc>
      </w:tr>
      <w:tr>
        <w:tc>
          <w:tcPr>
            <w:tcW w:type="dxa" w:w="22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نطاق الأمر</w:t>
            </w:r>
          </w:p>
        </w:tc>
        <w:tc>
          <w:tcPr>
            <w:tcW w:type="dxa" w:w="58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الحزمة كاملة — الملفات الاثنا عشر · وقرارات المالك · والتعديلات اللاحقة · وما نُفِّذ فعلًا</w:t>
            </w:r>
          </w:p>
        </w:tc>
      </w:tr>
      <w:tr>
        <w:tc>
          <w:tcPr>
            <w:tcW w:type="dxa" w:w="22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غايته</w:t>
            </w:r>
          </w:p>
        </w:tc>
        <w:tc>
          <w:tcPr>
            <w:tcW w:type="dxa" w:w="58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مطابقة المنفَّذ بالمرجع إدارةً إدارة · وإزالة الحواجز غير الصحيحة · وتحديد نقطة استئناف لكل إدارة</w:t>
            </w:r>
          </w:p>
        </w:tc>
      </w:tr>
      <w:tr>
        <w:tc>
          <w:tcPr>
            <w:tcW w:type="dxa" w:w="22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ما لا يُعاد</w:t>
            </w:r>
          </w:p>
        </w:tc>
        <w:tc>
          <w:tcPr>
            <w:tcW w:type="dxa" w:w="58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ما ثبتت صحته بالدليل — لا يُعاد تنفيذه</w:t>
            </w:r>
          </w:p>
        </w:tc>
      </w:tr>
      <w:tr>
        <w:tc>
          <w:tcPr>
            <w:tcW w:type="dxa" w:w="22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ما لا يُسأل عنه</w:t>
            </w:r>
          </w:p>
        </w:tc>
        <w:tc>
          <w:tcPr>
            <w:tcW w:type="dxa" w:w="58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قرارٌ سبق حسمه — لا يُرفع ثانيةً</w:t>
            </w:r>
          </w:p>
        </w:tc>
      </w:tr>
      <w:tr>
        <w:tc>
          <w:tcPr>
            <w:tcW w:type="dxa" w:w="22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علاقته بما سبق</w:t>
            </w:r>
          </w:p>
        </w:tc>
        <w:tc>
          <w:tcPr>
            <w:tcW w:type="dxa" w:w="58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يعلو على كل أمر سابق عند التعارض · والنافذ من أوامر الإغلاق: RPR-02 v2.3 وRPR-03</w:t>
            </w:r>
          </w:p>
        </w:tc>
      </w:tr>
      <w:tr>
        <w:tc>
          <w:tcPr>
            <w:tcW w:type="dxa" w:w="22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الحالة</w:t>
            </w:r>
          </w:p>
        </w:tc>
        <w:tc>
          <w:tcPr>
            <w:tcW w:type="dxa" w:w="58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إلزامي · ولا يُعلَن إغلاق أي مرحلة قبل مراجعتها عكسيًّا</w:t>
            </w:r>
          </w:p>
        </w:tc>
      </w:tr>
    </w:tbl>
    <w:p>
      <w:r>
        <w:br w:type="page"/>
      </w:r>
    </w:p>
    <w:p>
      <w:pPr>
        <w:pStyle w:val="Heading1"/>
        <w:bidi/>
        <w:spacing w:after="130" w:before="300"/>
        <w:jc w:val="right"/>
      </w:pPr>
      <w:r>
        <w:rPr>
          <w:rFonts w:ascii="Segoe UI" w:cs="Segoe UI" w:eastAsia="Segoe UI" w:hAnsi="Segoe UI"/>
          <w:b/>
          <w:bCs/>
          <w:color w:val="1F3864"/>
          <w:sz w:val="29"/>
          <w:szCs w:val="29"/>
          <w:rtl/>
        </w:rPr>
        <w:t xml:space="preserve">المحتويات</w:t>
      </w:r>
    </w:p>
    <w:sdt>
      <w:sdtPr>
        <w:alias w:val="المحتويات"/>
      </w:sdtPr>
      <w:sdtContent>
        <w:p>
          <w:r>
            <w:fldChar w:fldCharType="begin" w:dirty="true"/>
            <w:instrText xml:space="preserve">TOC \h \o "1-2"</w:instrText>
            <w:fldChar w:fldCharType="separate"/>
          </w:r>
        </w:p>
        <w:p>
          <w:r>
            <w:fldChar w:fldCharType="end"/>
          </w:r>
        </w:p>
      </w:sdtContent>
    </w:sdt>
    <w:p>
      <w:r>
        <w:br w:type="page"/>
      </w:r>
    </w:p>
    <w:p>
      <w:pPr>
        <w:pStyle w:val="Heading1"/>
        <w:bidi/>
        <w:spacing w:after="130" w:before="300"/>
        <w:jc w:val="right"/>
      </w:pPr>
      <w:r>
        <w:rPr>
          <w:rFonts w:ascii="Segoe UI" w:cs="Segoe UI" w:eastAsia="Segoe UI" w:hAnsi="Segoe UI"/>
          <w:b/>
          <w:bCs/>
          <w:color w:val="1F3864"/>
          <w:sz w:val="29"/>
          <w:szCs w:val="29"/>
          <w:rtl/>
        </w:rPr>
        <w:t xml:space="preserve">١ · الغرض</w:t>
      </w:r>
    </w:p>
    <w:p>
      <w:pPr>
        <w:bidi/>
        <w:spacing w:after="110" w:line="300"/>
        <w:jc w:val="both"/>
      </w:pPr>
      <w:r>
        <w:rPr>
          <w:rFonts w:ascii="Segoe UI" w:cs="Segoe UI" w:eastAsia="Segoe UI" w:hAnsi="Segoe UI"/>
          <w:b/>
          <w:bCs/>
          <w:sz w:val="21"/>
          <w:szCs w:val="21"/>
          <w:rtl/>
        </w:rPr>
        <w:t xml:space="preserve">لا يُقرأ هذا الأمر تعديلًا محدودًا على ملفين، ولا معالجةً لأسئلةٍ ظهرت في جلسة. </w:t>
      </w:r>
      <w:r>
        <w:rPr>
          <w:rFonts w:ascii="Segoe UI" w:cs="Segoe UI" w:eastAsia="Segoe UI" w:hAnsi="Segoe UI"/>
          <w:sz w:val="21"/>
          <w:szCs w:val="21"/>
          <w:rtl/>
        </w:rPr>
        <w:t xml:space="preserve">هو مراجعة عكسية شاملة لكل ما اعتُمد ونُفِّذ في برنامج إصلاح إنجاز.</w:t>
      </w:r>
    </w:p>
    <w:p>
      <w:pPr>
        <w:bidi/>
        <w:spacing w:after="110" w:line="300"/>
        <w:jc w:val="both"/>
      </w:pPr>
      <w:r>
        <w:rPr>
          <w:rFonts w:ascii="Segoe UI" w:cs="Segoe UI" w:eastAsia="Segoe UI" w:hAnsi="Segoe UI"/>
          <w:sz w:val="21"/>
          <w:szCs w:val="21"/>
          <w:rtl/>
        </w:rPr>
        <w:t xml:space="preserve">والمطلوب: الرجوع إلى الحزمة الحاكمة كاملةً وقرارات المالك والتعديلات اللاحقة، ثم مطابقة ما نُفِّذ فعلًا بها </w:t>
      </w:r>
      <w:r>
        <w:rPr>
          <w:rFonts w:ascii="Segoe UI" w:cs="Segoe UI" w:eastAsia="Segoe UI" w:hAnsi="Segoe UI"/>
          <w:b/>
          <w:bCs/>
          <w:sz w:val="21"/>
          <w:szCs w:val="21"/>
          <w:rtl/>
        </w:rPr>
        <w:t xml:space="preserve">إدارةً إدارة ومتطلبًا متطلبًا</w:t>
      </w:r>
      <w:r>
        <w:rPr>
          <w:rFonts w:ascii="Segoe UI" w:cs="Segoe UI" w:eastAsia="Segoe UI" w:hAnsi="Segoe UI"/>
          <w:sz w:val="21"/>
          <w:szCs w:val="21"/>
          <w:rtl/>
        </w:rPr>
        <w:t xml:space="preserve">، وتصحيح كل انحرافٍ أو تطبيقٍ قديم أو قرارٍ لم يُرحَّل أو تعارضٍ تسبَّب في توقّف التنفيذ.</w:t>
      </w:r>
    </w:p>
    <w:p>
      <w:pPr>
        <w:bidi/>
        <w:spacing w:after="110" w:line="300"/>
        <w:jc w:val="both"/>
      </w:pPr>
      <w:r>
        <w:rPr>
          <w:rFonts w:ascii="Segoe UI" w:cs="Segoe UI" w:eastAsia="Segoe UI" w:hAnsi="Segoe UI"/>
          <w:b/>
          <w:bCs/>
          <w:sz w:val="21"/>
          <w:szCs w:val="21"/>
          <w:rtl/>
        </w:rPr>
        <w:t xml:space="preserve">ولا يُعاد تنفيذ ما ثبتت صحته · ولا يُرفع سؤالٌ سبق حسمه · ولا تبقى إدارةٌ متوقفة بسبب قيمةٍ تشغيلية أو قرارٍ لا ينطبق على مرحلة البناء.</w:t>
      </w:r>
    </w:p>
    <w:p>
      <w:pPr>
        <w:bidi/>
        <w:spacing w:after="110" w:line="300"/>
        <w:jc w:val="both"/>
      </w:pPr>
      <w:r>
        <w:rPr>
          <w:rFonts w:ascii="Segoe UI" w:cs="Segoe UI" w:eastAsia="Segoe UI" w:hAnsi="Segoe UI"/>
          <w:sz w:val="21"/>
          <w:szCs w:val="21"/>
          <w:rtl/>
        </w:rPr>
        <w:t xml:space="preserve">وبعد المصالحة يُحدَّد لكل إدارة آخر متطلبٍ مغلقٍ بالدليل وأول متطلبٍ مفتوح، </w:t>
      </w:r>
      <w:r>
        <w:rPr>
          <w:rFonts w:ascii="Segoe UI" w:cs="Segoe UI" w:eastAsia="Segoe UI" w:hAnsi="Segoe UI"/>
          <w:b/>
          <w:bCs/>
          <w:sz w:val="21"/>
          <w:szCs w:val="21"/>
          <w:rtl/>
        </w:rPr>
        <w:t xml:space="preserve">ويُستأنف التنفيذ من تلك النقطة</w:t>
      </w:r>
      <w:r>
        <w:rPr>
          <w:rFonts w:ascii="Segoe UI" w:cs="Segoe UI" w:eastAsia="Segoe UI" w:hAnsi="Segoe UI"/>
          <w:sz w:val="21"/>
          <w:szCs w:val="21"/>
          <w:rtl/>
        </w:rPr>
        <w:t xml:space="preserve"> وفق ترتيب الموجات والبوابات الحاكمة.</w:t>
      </w:r>
    </w:p>
    <w:p>
      <w:pPr>
        <w:bidi/>
        <w:spacing w:after="110" w:line="300"/>
        <w:jc w:val="both"/>
      </w:pPr>
      <w:r>
        <w:rPr>
          <w:rFonts w:ascii="Segoe UI" w:cs="Segoe UI" w:eastAsia="Segoe UI" w:hAnsi="Segoe UI"/>
          <w:b/>
          <w:bCs/>
          <w:sz w:val="21"/>
          <w:szCs w:val="21"/>
          <w:rtl/>
        </w:rPr>
        <w:t xml:space="preserve">وسبب هذا الأمر مقيس لا مُقدَّر: </w:t>
      </w:r>
      <w:r>
        <w:rPr>
          <w:rFonts w:ascii="Segoe UI" w:cs="Segoe UI" w:eastAsia="Segoe UI" w:hAnsi="Segoe UI"/>
          <w:sz w:val="21"/>
          <w:szCs w:val="21"/>
          <w:rtl/>
        </w:rPr>
        <w:t xml:space="preserve">التنفيذ توقّف مرارًا لا لصعوبة العمل بل لتعارضٍ بين ملفٍ وآخر، أو قرارٍ حُسم ولم يُرحَّل إلى سجله، أو بوابةٍ طُبِّقت على ما لا تنطبق عليه، أو دورٍ عُومل معاملة إدارة. </w:t>
      </w:r>
      <w:r>
        <w:rPr>
          <w:rFonts w:ascii="Segoe UI" w:cs="Segoe UI" w:eastAsia="Segoe UI" w:hAnsi="Segoe UI"/>
          <w:b/>
          <w:bCs/>
          <w:sz w:val="21"/>
          <w:szCs w:val="21"/>
          <w:rtl/>
        </w:rPr>
        <w:t xml:space="preserve">ومعالجة السؤال الظاهر اليوم لا تمنع ظهور مثله غدًا — والعلاج مطابقةٌ شاملة مرة واحدة.</w:t>
      </w:r>
    </w:p>
    <w:p>
      <w:pPr>
        <w:pStyle w:val="Heading2"/>
        <w:bidi/>
        <w:spacing w:after="130" w:before="200"/>
        <w:jc w:val="right"/>
      </w:pPr>
      <w:r>
        <w:rPr>
          <w:rFonts w:ascii="Segoe UI" w:cs="Segoe UI" w:eastAsia="Segoe UI" w:hAnsi="Segoe UI"/>
          <w:b/>
          <w:bCs/>
          <w:color w:val="1F3864"/>
          <w:sz w:val="24"/>
          <w:szCs w:val="24"/>
          <w:rtl/>
        </w:rPr>
        <w:t xml:space="preserve">١·١ سلسلة إصدارات أمر الإغلاق — أيّها النافذ</w:t>
      </w:r>
    </w:p>
    <w:p>
      <w:pPr>
        <w:bidi/>
        <w:spacing w:after="110" w:line="300"/>
        <w:jc w:val="both"/>
      </w:pPr>
      <w:r>
        <w:rPr>
          <w:rFonts w:ascii="Segoe UI" w:cs="Segoe UI" w:eastAsia="Segoe UI" w:hAnsi="Segoe UI"/>
          <w:b/>
          <w:bCs/>
          <w:sz w:val="21"/>
          <w:szCs w:val="21"/>
          <w:rtl/>
        </w:rPr>
        <w:t xml:space="preserve">لأمر إغلاق المطابقة ثلاث نسخ متتابعة، </w:t>
      </w:r>
      <w:r>
        <w:rPr>
          <w:rFonts w:ascii="Segoe UI" w:cs="Segoe UI" w:eastAsia="Segoe UI" w:hAnsi="Segoe UI"/>
          <w:sz w:val="21"/>
          <w:szCs w:val="21"/>
          <w:rtl/>
        </w:rPr>
        <w:t xml:space="preserve">والنافذ آخرها وحده:</w:t>
      </w:r>
    </w:p>
    <w:tbl>
      <w:tblPr>
        <w:bidiVisual/>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2900"/>
      </w:tblGrid>
      <w:tr>
        <w:trPr>
          <w:tblHeader/>
        </w:trPr>
        <w:tc>
          <w:tcPr>
            <w:tcW w:type="dxa" w:w="1700"/>
            <w:shd w:fill="1F3864" w:color="auto" w:val="clear"/>
            <w:tcMar>
              <w:top w:type="dxa" w:w="55"/>
              <w:left w:type="dxa" w:w="75"/>
              <w:bottom w:type="dxa" w:w="55"/>
              <w:right w:type="dxa" w:w="75"/>
            </w:tcMar>
          </w:tcPr>
          <w:p>
            <w:pPr>
              <w:bidi/>
              <w:spacing w:after="0" w:line="255"/>
              <w:jc w:val="center"/>
            </w:pPr>
            <w:r>
              <w:rPr>
                <w:rFonts w:ascii="Segoe UI" w:cs="Segoe UI" w:eastAsia="Segoe UI" w:hAnsi="Segoe UI"/>
                <w:b/>
                <w:bCs/>
                <w:color w:val="FFFFFF"/>
                <w:sz w:val="16"/>
                <w:szCs w:val="16"/>
                <w:rtl/>
              </w:rPr>
              <w:t xml:space="preserve">الإصدار</w:t>
            </w:r>
          </w:p>
        </w:tc>
        <w:tc>
          <w:tcPr>
            <w:tcW w:type="dxa" w:w="3400"/>
            <w:shd w:fill="1F3864" w:color="auto" w:val="clear"/>
            <w:tcMar>
              <w:top w:type="dxa" w:w="55"/>
              <w:left w:type="dxa" w:w="75"/>
              <w:bottom w:type="dxa" w:w="55"/>
              <w:right w:type="dxa" w:w="75"/>
            </w:tcMar>
          </w:tcPr>
          <w:p>
            <w:pPr>
              <w:bidi/>
              <w:spacing w:after="0" w:line="255"/>
              <w:jc w:val="center"/>
            </w:pPr>
            <w:r>
              <w:rPr>
                <w:rFonts w:ascii="Segoe UI" w:cs="Segoe UI" w:eastAsia="Segoe UI" w:hAnsi="Segoe UI"/>
                <w:b/>
                <w:bCs/>
                <w:color w:val="FFFFFF"/>
                <w:sz w:val="16"/>
                <w:szCs w:val="16"/>
                <w:rtl/>
              </w:rPr>
              <w:t xml:space="preserve">ما فيه</w:t>
            </w:r>
          </w:p>
        </w:tc>
        <w:tc>
          <w:tcPr>
            <w:tcW w:type="dxa" w:w="2900"/>
            <w:shd w:fill="1F3864" w:color="auto" w:val="clear"/>
            <w:tcMar>
              <w:top w:type="dxa" w:w="55"/>
              <w:left w:type="dxa" w:w="75"/>
              <w:bottom w:type="dxa" w:w="55"/>
              <w:right w:type="dxa" w:w="75"/>
            </w:tcMar>
          </w:tcPr>
          <w:p>
            <w:pPr>
              <w:bidi/>
              <w:spacing w:after="0" w:line="255"/>
              <w:jc w:val="center"/>
            </w:pPr>
            <w:r>
              <w:rPr>
                <w:rFonts w:ascii="Segoe UI" w:cs="Segoe UI" w:eastAsia="Segoe UI" w:hAnsi="Segoe UI"/>
                <w:b/>
                <w:bCs/>
                <w:color w:val="FFFFFF"/>
                <w:sz w:val="16"/>
                <w:szCs w:val="16"/>
                <w:rtl/>
              </w:rPr>
              <w:t xml:space="preserve">حاله</w:t>
            </w:r>
          </w:p>
        </w:tc>
      </w:tr>
      <w:tr>
        <w:tc>
          <w:tcPr>
            <w:tcW w:type="dxa" w:w="1700"/>
            <w:shd w:fill="FCE4D6"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v2.1</w:t>
            </w:r>
          </w:p>
        </w:tc>
        <w:tc>
          <w:tcPr>
            <w:tcW w:type="dxa" w:w="3400"/>
            <w:shd w:fill="FCE4D6"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المقام على رموز النطاق · ومعيار الهجرات الشامل · وخمس عشرة إضافة</w:t>
            </w:r>
          </w:p>
        </w:tc>
        <w:tc>
          <w:tcPr>
            <w:tcW w:type="dxa" w:w="2900"/>
            <w:shd w:fill="FCE4D6"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منسوخ</w:t>
            </w:r>
          </w:p>
        </w:tc>
      </w:tr>
      <w:tr>
        <w:tc>
          <w:tcPr>
            <w:tcW w:type="dxa" w:w="1700"/>
            <w:shd w:fill="FCE4D6"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v2.2 FINAL</w:t>
            </w:r>
          </w:p>
        </w:tc>
        <w:tc>
          <w:tcPr>
            <w:tcW w:type="dxa" w:w="3400"/>
            <w:shd w:fill="FCE4D6"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أربعة تعديلات: تسمية الرموز · وتبرير المنصّة · وانطباق جسر الدورة · وتدرّج التحقّق البشري</w:t>
            </w:r>
          </w:p>
        </w:tc>
        <w:tc>
          <w:tcPr>
            <w:tcW w:type="dxa" w:w="2900"/>
            <w:shd w:fill="FCE4D6"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منسوخ — وتعديلاته الأربعة محفوظة في v2.3</w:t>
            </w:r>
          </w:p>
        </w:tc>
      </w:tr>
      <w:tr>
        <w:tc>
          <w:tcPr>
            <w:tcW w:type="dxa" w:w="1700"/>
            <w:shd w:fill="E7F0E3"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v2.3</w:t>
            </w:r>
          </w:p>
        </w:tc>
        <w:tc>
          <w:tcPr>
            <w:tcW w:type="dxa" w:w="3400"/>
            <w:shd w:fill="E7F0E3"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تعديلات v2.2 الأربعة · وحارس الحكمين المُخرجَين · ومعايير المنصّة الأربعة · وقاعدة مسارات المكتبات · وإعادة إصدار القسم الثالث</w:t>
            </w:r>
          </w:p>
        </w:tc>
        <w:tc>
          <w:tcPr>
            <w:tcW w:type="dxa" w:w="2900"/>
            <w:shd w:fill="E7F0E3"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النافذ</w:t>
            </w:r>
          </w:p>
        </w:tc>
      </w:tr>
    </w:tbl>
    <w:p>
      <w:pPr>
        <w:bidi/>
        <w:spacing w:after="110" w:line="300"/>
        <w:jc w:val="both"/>
      </w:pPr>
      <w:r>
        <w:rPr>
          <w:rFonts w:ascii="Segoe UI" w:cs="Segoe UI" w:eastAsia="Segoe UI" w:hAnsi="Segoe UI"/>
          <w:b/>
          <w:bCs/>
          <w:sz w:val="21"/>
          <w:szCs w:val="21"/>
          <w:rtl/>
        </w:rPr>
        <w:t xml:space="preserve">فإن كان عندك v2.2 FINAL وحده فاطلب v2.3 قبل البدء — </w:t>
      </w:r>
      <w:r>
        <w:rPr>
          <w:rFonts w:ascii="Segoe UI" w:cs="Segoe UI" w:eastAsia="Segoe UI" w:hAnsi="Segoe UI"/>
          <w:sz w:val="21"/>
          <w:szCs w:val="21"/>
          <w:rtl/>
        </w:rPr>
        <w:t xml:space="preserve">ولا تعمل بنسختين تحمل كلٌّ منهما وصف «نهائي».</w:t>
      </w:r>
    </w:p>
    <w:p>
      <w:pPr>
        <w:pStyle w:val="Heading1"/>
        <w:bidi/>
        <w:spacing w:after="130" w:before="300"/>
        <w:jc w:val="right"/>
      </w:pPr>
      <w:r>
        <w:rPr>
          <w:rFonts w:ascii="Segoe UI" w:cs="Segoe UI" w:eastAsia="Segoe UI" w:hAnsi="Segoe UI"/>
          <w:b/>
          <w:bCs/>
          <w:color w:val="1F3864"/>
          <w:sz w:val="29"/>
          <w:szCs w:val="29"/>
          <w:rtl/>
        </w:rPr>
        <w:t xml:space="preserve">٢ · ترتيب سلطة النصوص</w:t>
      </w:r>
    </w:p>
    <w:p>
      <w:pPr>
        <w:bidi/>
        <w:spacing w:after="110" w:line="300"/>
        <w:jc w:val="both"/>
      </w:pPr>
      <w:r>
        <w:rPr>
          <w:rFonts w:ascii="Segoe UI" w:cs="Segoe UI" w:eastAsia="Segoe UI" w:hAnsi="Segoe UI"/>
          <w:sz w:val="21"/>
          <w:szCs w:val="21"/>
          <w:rtl/>
        </w:rPr>
        <w:t xml:space="preserve">عند تعارض نصّين، يُعمل بالأعلى في هذا الترتيب ولا اجتهاد:</w:t>
      </w:r>
    </w:p>
    <w:tbl>
      <w:tblPr>
        <w:bidiVisual/>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4300"/>
      </w:tblGrid>
      <w:tr>
        <w:trPr>
          <w:tblHeader/>
        </w:trPr>
        <w:tc>
          <w:tcPr>
            <w:tcW w:type="dxa" w:w="700"/>
            <w:shd w:fill="1F3864" w:color="auto" w:val="clear"/>
            <w:tcMar>
              <w:top w:type="dxa" w:w="55"/>
              <w:left w:type="dxa" w:w="75"/>
              <w:bottom w:type="dxa" w:w="55"/>
              <w:right w:type="dxa" w:w="75"/>
            </w:tcMar>
          </w:tcPr>
          <w:p>
            <w:pPr>
              <w:bidi/>
              <w:spacing w:after="0" w:line="255"/>
              <w:jc w:val="center"/>
            </w:pPr>
            <w:r>
              <w:rPr>
                <w:rFonts w:ascii="Segoe UI" w:cs="Segoe UI" w:eastAsia="Segoe UI" w:hAnsi="Segoe UI"/>
                <w:b/>
                <w:bCs/>
                <w:color w:val="FFFFFF"/>
                <w:sz w:val="16"/>
                <w:szCs w:val="16"/>
                <w:rtl/>
              </w:rPr>
              <w:t xml:space="preserve">#</w:t>
            </w:r>
          </w:p>
        </w:tc>
        <w:tc>
          <w:tcPr>
            <w:tcW w:type="dxa" w:w="3000"/>
            <w:shd w:fill="1F3864" w:color="auto" w:val="clear"/>
            <w:tcMar>
              <w:top w:type="dxa" w:w="55"/>
              <w:left w:type="dxa" w:w="75"/>
              <w:bottom w:type="dxa" w:w="55"/>
              <w:right w:type="dxa" w:w="75"/>
            </w:tcMar>
          </w:tcPr>
          <w:p>
            <w:pPr>
              <w:bidi/>
              <w:spacing w:after="0" w:line="255"/>
              <w:jc w:val="center"/>
            </w:pPr>
            <w:r>
              <w:rPr>
                <w:rFonts w:ascii="Segoe UI" w:cs="Segoe UI" w:eastAsia="Segoe UI" w:hAnsi="Segoe UI"/>
                <w:b/>
                <w:bCs/>
                <w:color w:val="FFFFFF"/>
                <w:sz w:val="16"/>
                <w:szCs w:val="16"/>
                <w:rtl/>
              </w:rPr>
              <w:t xml:space="preserve">المصدر</w:t>
            </w:r>
          </w:p>
        </w:tc>
        <w:tc>
          <w:tcPr>
            <w:tcW w:type="dxa" w:w="4300"/>
            <w:shd w:fill="1F3864" w:color="auto" w:val="clear"/>
            <w:tcMar>
              <w:top w:type="dxa" w:w="55"/>
              <w:left w:type="dxa" w:w="75"/>
              <w:bottom w:type="dxa" w:w="55"/>
              <w:right w:type="dxa" w:w="75"/>
            </w:tcMar>
          </w:tcPr>
          <w:p>
            <w:pPr>
              <w:bidi/>
              <w:spacing w:after="0" w:line="255"/>
              <w:jc w:val="center"/>
            </w:pPr>
            <w:r>
              <w:rPr>
                <w:rFonts w:ascii="Segoe UI" w:cs="Segoe UI" w:eastAsia="Segoe UI" w:hAnsi="Segoe UI"/>
                <w:b/>
                <w:bCs/>
                <w:color w:val="FFFFFF"/>
                <w:sz w:val="16"/>
                <w:szCs w:val="16"/>
                <w:rtl/>
              </w:rPr>
              <w:t xml:space="preserve">مداه</w:t>
            </w:r>
          </w:p>
        </w:tc>
      </w:tr>
      <w:tr>
        <w:tc>
          <w:tcPr>
            <w:tcW w:type="dxa" w:w="7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١</w:t>
            </w:r>
          </w:p>
        </w:tc>
        <w:tc>
          <w:tcPr>
            <w:tcW w:type="dxa" w:w="30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هذا الأمر والتعديلات اللاحقة له</w:t>
            </w:r>
          </w:p>
        </w:tc>
        <w:tc>
          <w:tcPr>
            <w:tcW w:type="dxa" w:w="43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يعلو على ما سبق عند التعارض</w:t>
            </w:r>
          </w:p>
        </w:tc>
      </w:tr>
      <w:tr>
        <w:tc>
          <w:tcPr>
            <w:tcW w:type="dxa" w:w="7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٢</w:t>
            </w:r>
          </w:p>
        </w:tc>
        <w:tc>
          <w:tcPr>
            <w:tcW w:type="dxa" w:w="30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سجل قرارات المالك — OWNER_DECISIONS_MASTER</w:t>
            </w:r>
          </w:p>
        </w:tc>
        <w:tc>
          <w:tcPr>
            <w:tcW w:type="dxa" w:w="43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المصدر الحاكم لكل قرار</w:t>
            </w:r>
          </w:p>
        </w:tc>
      </w:tr>
      <w:tr>
        <w:tc>
          <w:tcPr>
            <w:tcW w:type="dxa" w:w="7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٣</w:t>
            </w:r>
          </w:p>
        </w:tc>
        <w:tc>
          <w:tcPr>
            <w:tcW w:type="dxa" w:w="30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الدستور — الملف ٠٣</w:t>
            </w:r>
          </w:p>
        </w:tc>
        <w:tc>
          <w:tcPr>
            <w:tcW w:type="dxa" w:w="43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المبادئ والقواعد العامة</w:t>
            </w:r>
          </w:p>
        </w:tc>
      </w:tr>
      <w:tr>
        <w:tc>
          <w:tcPr>
            <w:tcW w:type="dxa" w:w="7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٤</w:t>
            </w:r>
          </w:p>
        </w:tc>
        <w:tc>
          <w:tcPr>
            <w:tcW w:type="dxa" w:w="30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الدليل المعماري الموحد — الملف ٠١</w:t>
            </w:r>
          </w:p>
        </w:tc>
        <w:tc>
          <w:tcPr>
            <w:tcW w:type="dxa" w:w="43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الأسطح والحبّة والحقول والملكية</w:t>
            </w:r>
          </w:p>
        </w:tc>
      </w:tr>
      <w:tr>
        <w:tc>
          <w:tcPr>
            <w:tcW w:type="dxa" w:w="7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٥</w:t>
            </w:r>
          </w:p>
        </w:tc>
        <w:tc>
          <w:tcPr>
            <w:tcW w:type="dxa" w:w="30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ملف الإدارة في موجتها — الملفات ٠٤ إلى ٠٨</w:t>
            </w:r>
          </w:p>
        </w:tc>
        <w:tc>
          <w:tcPr>
            <w:tcW w:type="dxa" w:w="43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المتطلبات وآلات الحالة وفصل الواجبات والأحداث</w:t>
            </w:r>
          </w:p>
        </w:tc>
      </w:tr>
      <w:tr>
        <w:tc>
          <w:tcPr>
            <w:tcW w:type="dxa" w:w="7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٦</w:t>
            </w:r>
          </w:p>
        </w:tc>
        <w:tc>
          <w:tcPr>
            <w:tcW w:type="dxa" w:w="30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ملف القيادة — الملف ٠٢</w:t>
            </w:r>
          </w:p>
        </w:tc>
        <w:tc>
          <w:tcPr>
            <w:tcW w:type="dxa" w:w="43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أسطح الرئيس والنواب ومصفوفة السلطة</w:t>
            </w:r>
          </w:p>
        </w:tc>
      </w:tr>
      <w:tr>
        <w:tc>
          <w:tcPr>
            <w:tcW w:type="dxa" w:w="7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٧</w:t>
            </w:r>
          </w:p>
        </w:tc>
        <w:tc>
          <w:tcPr>
            <w:tcW w:type="dxa" w:w="30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تقارير المصالحة والمراجعة — ١٠ و١١ و١٢</w:t>
            </w:r>
          </w:p>
        </w:tc>
        <w:tc>
          <w:tcPr>
            <w:tcW w:type="dxa" w:w="43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أدلة الواقع لا مصدر التصميم</w:t>
            </w:r>
          </w:p>
        </w:tc>
      </w:tr>
      <w:tr>
        <w:tc>
          <w:tcPr>
            <w:tcW w:type="dxa" w:w="7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٨</w:t>
            </w:r>
          </w:p>
        </w:tc>
        <w:tc>
          <w:tcPr>
            <w:tcW w:type="dxa" w:w="30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دليل العرض بالأدوار وسجلات النظام</w:t>
            </w:r>
          </w:p>
        </w:tc>
        <w:tc>
          <w:tcPr>
            <w:tcW w:type="dxa" w:w="43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واقعٌ يُقاس عليه ولا يُقاس به</w:t>
            </w:r>
          </w:p>
        </w:tc>
      </w:tr>
    </w:tbl>
    <w:p>
      <w:pPr>
        <w:bidi/>
        <w:spacing w:after="110" w:line="300"/>
        <w:jc w:val="both"/>
      </w:pPr>
      <w:r>
        <w:rPr>
          <w:rFonts w:ascii="Segoe UI" w:cs="Segoe UI" w:eastAsia="Segoe UI" w:hAnsi="Segoe UI"/>
          <w:b/>
          <w:bCs/>
          <w:sz w:val="21"/>
          <w:szCs w:val="21"/>
          <w:rtl/>
        </w:rPr>
        <w:t xml:space="preserve">ولا يبقى قراران حاكمان لنقطة واحدة. </w:t>
      </w:r>
      <w:r>
        <w:rPr>
          <w:rFonts w:ascii="Segoe UI" w:cs="Segoe UI" w:eastAsia="Segoe UI" w:hAnsi="Segoe UI"/>
          <w:sz w:val="21"/>
          <w:szCs w:val="21"/>
          <w:rtl/>
        </w:rPr>
        <w:t xml:space="preserve">فإن وُجد، رُفع تعارضًا ولم يُختَر أحدهما بالاجتهاد.</w:t>
      </w:r>
    </w:p>
    <w:p>
      <w:pPr>
        <w:pStyle w:val="Heading1"/>
        <w:bidi/>
        <w:spacing w:after="130" w:before="300"/>
        <w:jc w:val="right"/>
      </w:pPr>
      <w:r>
        <w:rPr>
          <w:rFonts w:ascii="Segoe UI" w:cs="Segoe UI" w:eastAsia="Segoe UI" w:hAnsi="Segoe UI"/>
          <w:b/>
          <w:bCs/>
          <w:color w:val="1F3864"/>
          <w:sz w:val="29"/>
          <w:szCs w:val="29"/>
          <w:rtl/>
        </w:rPr>
        <w:t xml:space="preserve">٣ · قواعد نافذة تنسخ ما قبلها</w:t>
      </w:r>
    </w:p>
    <w:p>
      <w:pPr>
        <w:bidi/>
        <w:spacing w:after="110" w:line="300"/>
        <w:jc w:val="both"/>
      </w:pPr>
      <w:r>
        <w:rPr>
          <w:rFonts w:ascii="Segoe UI" w:cs="Segoe UI" w:eastAsia="Segoe UI" w:hAnsi="Segoe UI"/>
          <w:sz w:val="21"/>
          <w:szCs w:val="21"/>
          <w:rtl/>
        </w:rPr>
        <w:t xml:space="preserve">يُعمل بالعمود الأيسر ويُلغى ما في الأيمن حيثما ورد في أي أمرٍ أو رسالةٍ سابقة:</w:t>
      </w:r>
    </w:p>
    <w:tbl>
      <w:tblPr>
        <w:bidiVisual/>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tblGrid>
      <w:tr>
        <w:trPr>
          <w:tblHeader/>
        </w:trPr>
        <w:tc>
          <w:tcPr>
            <w:tcW w:type="dxa" w:w="4000"/>
            <w:shd w:fill="1F3864" w:color="auto" w:val="clear"/>
            <w:tcMar>
              <w:top w:type="dxa" w:w="55"/>
              <w:left w:type="dxa" w:w="75"/>
              <w:bottom w:type="dxa" w:w="55"/>
              <w:right w:type="dxa" w:w="75"/>
            </w:tcMar>
          </w:tcPr>
          <w:p>
            <w:pPr>
              <w:bidi/>
              <w:spacing w:after="0" w:line="255"/>
              <w:jc w:val="center"/>
            </w:pPr>
            <w:r>
              <w:rPr>
                <w:rFonts w:ascii="Segoe UI" w:cs="Segoe UI" w:eastAsia="Segoe UI" w:hAnsi="Segoe UI"/>
                <w:b/>
                <w:bCs/>
                <w:color w:val="FFFFFF"/>
                <w:sz w:val="16"/>
                <w:szCs w:val="16"/>
                <w:rtl/>
              </w:rPr>
              <w:t xml:space="preserve">ملغى — لا يُعمل به</w:t>
            </w:r>
          </w:p>
        </w:tc>
        <w:tc>
          <w:tcPr>
            <w:tcW w:type="dxa" w:w="4000"/>
            <w:shd w:fill="1F3864" w:color="auto" w:val="clear"/>
            <w:tcMar>
              <w:top w:type="dxa" w:w="55"/>
              <w:left w:type="dxa" w:w="75"/>
              <w:bottom w:type="dxa" w:w="55"/>
              <w:right w:type="dxa" w:w="75"/>
            </w:tcMar>
          </w:tcPr>
          <w:p>
            <w:pPr>
              <w:bidi/>
              <w:spacing w:after="0" w:line="255"/>
              <w:jc w:val="center"/>
            </w:pPr>
            <w:r>
              <w:rPr>
                <w:rFonts w:ascii="Segoe UI" w:cs="Segoe UI" w:eastAsia="Segoe UI" w:hAnsi="Segoe UI"/>
                <w:b/>
                <w:bCs/>
                <w:color w:val="FFFFFF"/>
                <w:sz w:val="16"/>
                <w:szCs w:val="16"/>
                <w:rtl/>
              </w:rPr>
              <w:t xml:space="preserve">نافذ — يُعمل به</w:t>
            </w:r>
          </w:p>
        </w:tc>
      </w:tr>
      <w:tr>
        <w:tc>
          <w:tcPr>
            <w:tcW w:type="dxa" w:w="4000"/>
            <w:shd w:fill="FCE4D6"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منع لمس أي ملف غير الملفين المعدَّلين</w:t>
            </w:r>
          </w:p>
        </w:tc>
        <w:tc>
          <w:tcPr>
            <w:tcW w:type="dxa" w:w="4000"/>
            <w:shd w:fill="E7F0E3"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يُحدَّث كل ملف يتأثر بقرارٍ حاكم أو يكشف القياس تعارضه — من مصدره ثم يُعاد توليده بسجل تغيير. ولا يُعدَّل ملف للتنسيق ولا بالاجتهاد</w:t>
            </w:r>
          </w:p>
        </w:tc>
      </w:tr>
      <w:tr>
        <w:tc>
          <w:tcPr>
            <w:tcW w:type="dxa" w:w="4000"/>
            <w:shd w:fill="FCE4D6"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استثناء من بوابة G0 لأعمال المصالحة</w:t>
            </w:r>
          </w:p>
        </w:tc>
        <w:tc>
          <w:tcPr>
            <w:tcW w:type="dxa" w:w="4000"/>
            <w:shd w:fill="E7F0E3"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بوابة G0 لا تنطبق أصلًا على مصالحة المعمارية والبيانات الوصفية — والمادة ١١٣ تحكم</w:t>
            </w:r>
          </w:p>
        </w:tc>
      </w:tr>
      <w:tr>
        <w:tc>
          <w:tcPr>
            <w:tcW w:type="dxa" w:w="4000"/>
            <w:shd w:fill="FCE4D6"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نزع «أمين المستودع» أو رفعه إلى مرتبة إدارة</w:t>
            </w:r>
          </w:p>
        </w:tc>
        <w:tc>
          <w:tcPr>
            <w:tcW w:type="dxa" w:w="4000"/>
            <w:shd w:fill="E7F0E3"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يبقى دورًا داخل إدارة المخازن ويُربط بنطاق مخزنه — والمادة ١١٤ تحكم</w:t>
            </w:r>
          </w:p>
        </w:tc>
      </w:tr>
      <w:tr>
        <w:tc>
          <w:tcPr>
            <w:tcW w:type="dxa" w:w="4000"/>
            <w:shd w:fill="FCE4D6"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مساواة أوراق دليل الأدوار بواحد وعشرين</w:t>
            </w:r>
          </w:p>
        </w:tc>
        <w:tc>
          <w:tcPr>
            <w:tcW w:type="dxa" w:w="4000"/>
            <w:shd w:fill="E7F0E3"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الدليلان مستقلان مقامًا: المعياري بواحد وعشرين رمزًا · والمعروض بالأدوار بعددها أيًّا كان</w:t>
            </w:r>
          </w:p>
        </w:tc>
      </w:tr>
      <w:tr>
        <w:tc>
          <w:tcPr>
            <w:tcW w:type="dxa" w:w="4000"/>
            <w:shd w:fill="FCE4D6"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عدّ القرارات المفتوحة فئةً واحدة مانعة</w:t>
            </w:r>
          </w:p>
        </w:tc>
        <w:tc>
          <w:tcPr>
            <w:tcW w:type="dxa" w:w="4000"/>
            <w:shd w:fill="E7F0E3"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تُصنَّف بستّ درجات حجب — والقسم الخامس يحكم</w:t>
            </w:r>
          </w:p>
        </w:tc>
      </w:tr>
      <w:tr>
        <w:tc>
          <w:tcPr>
            <w:tcW w:type="dxa" w:w="4000"/>
            <w:shd w:fill="FCE4D6"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اعتماد رقمٍ بلا مقام</w:t>
            </w:r>
          </w:p>
        </w:tc>
        <w:tc>
          <w:tcPr>
            <w:tcW w:type="dxa" w:w="4000"/>
            <w:shd w:fill="E7F0E3"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كل رقم يُكتب بمقامه وبمعرّف لقطته</w:t>
            </w:r>
          </w:p>
        </w:tc>
      </w:tr>
    </w:tbl>
    <w:p>
      <w:r>
        <w:br w:type="page"/>
      </w:r>
    </w:p>
    <w:p>
      <w:pPr>
        <w:pStyle w:val="Heading1"/>
        <w:bidi/>
        <w:spacing w:after="130" w:before="300"/>
        <w:jc w:val="right"/>
      </w:pPr>
      <w:r>
        <w:rPr>
          <w:rFonts w:ascii="Segoe UI" w:cs="Segoe UI" w:eastAsia="Segoe UI" w:hAnsi="Segoe UI"/>
          <w:b/>
          <w:bCs/>
          <w:color w:val="1F3864"/>
          <w:sz w:val="29"/>
          <w:szCs w:val="29"/>
          <w:rtl/>
        </w:rPr>
        <w:t xml:space="preserve">٤ · مراحل التنفيذ الثماني</w:t>
      </w:r>
    </w:p>
    <w:p>
      <w:pPr>
        <w:bidi/>
        <w:spacing w:after="110" w:line="300"/>
        <w:jc w:val="both"/>
      </w:pPr>
      <w:r>
        <w:rPr>
          <w:rFonts w:ascii="Segoe UI" w:cs="Segoe UI" w:eastAsia="Segoe UI" w:hAnsi="Segoe UI"/>
          <w:sz w:val="21"/>
          <w:szCs w:val="21"/>
          <w:rtl/>
        </w:rPr>
        <w:t xml:space="preserve">تُنفَّذ بالترتيب ولا يُقدَّم لاحقٌ على سابق. ولكل مرحلة مخرَجٌ محدَّد ومعيار قبول.</w:t>
      </w:r>
    </w:p>
    <w:p>
      <w:pPr>
        <w:pStyle w:val="Heading2"/>
        <w:bidi/>
        <w:spacing w:after="130" w:before="200"/>
        <w:jc w:val="right"/>
      </w:pPr>
      <w:r>
        <w:rPr>
          <w:rFonts w:ascii="Segoe UI" w:cs="Segoe UI" w:eastAsia="Segoe UI" w:hAnsi="Segoe UI"/>
          <w:b/>
          <w:bCs/>
          <w:color w:val="1F3864"/>
          <w:sz w:val="24"/>
          <w:szCs w:val="24"/>
          <w:rtl/>
        </w:rPr>
        <w:t xml:space="preserve">المرحلة ١ · توحيد المصادر الحاكمة</w:t>
      </w:r>
    </w:p>
    <w:p>
      <w:pPr>
        <w:bidi/>
        <w:spacing w:after="110" w:line="300"/>
        <w:jc w:val="both"/>
      </w:pPr>
      <w:r>
        <w:rPr>
          <w:rFonts w:ascii="Segoe UI" w:cs="Segoe UI" w:eastAsia="Segoe UI" w:hAnsi="Segoe UI"/>
          <w:sz w:val="21"/>
          <w:szCs w:val="21"/>
          <w:rtl/>
        </w:rPr>
        <w:t xml:space="preserve">اجمع الحزمة كاملةً وقرارات المالك والتعديلات اللاحقة في مرجعٍ واحد مرتَّب بسلطة النصوص كما في القسم الثاني.</w:t>
      </w:r>
    </w:p>
    <w:p>
      <w:pPr>
        <w:pStyle w:val="ListParagraph"/>
        <w:numPr>
          <w:ilvl w:val="0"/>
          <w:numId w:val="2"/>
        </w:numPr>
        <w:bidi/>
        <w:spacing w:after="85" w:line="300"/>
        <w:jc w:val="both"/>
      </w:pPr>
      <w:r>
        <w:rPr>
          <w:rFonts w:ascii="Segoe UI" w:cs="Segoe UI" w:eastAsia="Segoe UI" w:hAnsi="Segoe UI"/>
          <w:b/>
          <w:bCs/>
          <w:sz w:val="21"/>
          <w:szCs w:val="21"/>
          <w:rtl/>
        </w:rPr>
        <w:t xml:space="preserve">المخرَج: </w:t>
      </w:r>
      <w:r>
        <w:rPr>
          <w:rFonts w:ascii="Segoe UI" w:cs="Segoe UI" w:eastAsia="Segoe UI" w:hAnsi="Segoe UI"/>
          <w:sz w:val="21"/>
          <w:szCs w:val="21"/>
          <w:rtl/>
        </w:rPr>
        <w:t xml:space="preserve">فهرس مصادر حاكم بترتيب سلطتها · وقائمة النقاط التي لها أكثر من نصّ حاكم.</w:t>
      </w:r>
    </w:p>
    <w:p>
      <w:pPr>
        <w:pStyle w:val="ListParagraph"/>
        <w:numPr>
          <w:ilvl w:val="0"/>
          <w:numId w:val="2"/>
        </w:numPr>
        <w:bidi/>
        <w:spacing w:after="85" w:line="300"/>
        <w:jc w:val="both"/>
      </w:pPr>
      <w:r>
        <w:rPr>
          <w:rFonts w:ascii="Segoe UI" w:cs="Segoe UI" w:eastAsia="Segoe UI" w:hAnsi="Segoe UI"/>
          <w:b/>
          <w:bCs/>
          <w:sz w:val="21"/>
          <w:szCs w:val="21"/>
          <w:rtl/>
        </w:rPr>
        <w:t xml:space="preserve">القبول: </w:t>
      </w:r>
      <w:r>
        <w:rPr>
          <w:rFonts w:ascii="Segoe UI" w:cs="Segoe UI" w:eastAsia="Segoe UI" w:hAnsi="Segoe UI"/>
          <w:sz w:val="21"/>
          <w:szCs w:val="21"/>
          <w:rtl/>
        </w:rPr>
        <w:t xml:space="preserve">صفر نقطةٍ لها قراران حاكمان بلا حسم.</w:t>
      </w:r>
    </w:p>
    <w:p>
      <w:pPr>
        <w:pStyle w:val="Heading2"/>
        <w:bidi/>
        <w:spacing w:after="130" w:before="200"/>
        <w:jc w:val="right"/>
      </w:pPr>
      <w:r>
        <w:rPr>
          <w:rFonts w:ascii="Segoe UI" w:cs="Segoe UI" w:eastAsia="Segoe UI" w:hAnsi="Segoe UI"/>
          <w:b/>
          <w:bCs/>
          <w:color w:val="1F3864"/>
          <w:sz w:val="24"/>
          <w:szCs w:val="24"/>
          <w:rtl/>
        </w:rPr>
        <w:t xml:space="preserve">المرحلة ٢ · المراجعة العكسية للقرارات</w:t>
      </w:r>
    </w:p>
    <w:p>
      <w:pPr>
        <w:bidi/>
        <w:spacing w:after="110" w:line="300"/>
        <w:jc w:val="both"/>
      </w:pPr>
      <w:r>
        <w:rPr>
          <w:rFonts w:ascii="Segoe UI" w:cs="Segoe UI" w:eastAsia="Segoe UI" w:hAnsi="Segoe UI"/>
          <w:sz w:val="21"/>
          <w:szCs w:val="21"/>
          <w:rtl/>
        </w:rPr>
        <w:t xml:space="preserve">أعد فحص كل قرارٍ حالته مفتوحة، واسأل: أما زال مفتوحًا فعلًا؟</w:t>
      </w:r>
    </w:p>
    <w:tbl>
      <w:tblPr>
        <w:bidiVisual/>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200"/>
        <w:gridCol w:w="5800"/>
      </w:tblGrid>
      <w:tr>
        <w:trPr>
          <w:tblHeader/>
        </w:trPr>
        <w:tc>
          <w:tcPr>
            <w:tcW w:type="dxa" w:w="2200"/>
            <w:shd w:fill="1F3864" w:color="auto" w:val="clear"/>
            <w:tcMar>
              <w:top w:type="dxa" w:w="55"/>
              <w:left w:type="dxa" w:w="75"/>
              <w:bottom w:type="dxa" w:w="55"/>
              <w:right w:type="dxa" w:w="75"/>
            </w:tcMar>
          </w:tcPr>
          <w:p>
            <w:pPr>
              <w:bidi/>
              <w:spacing w:after="0" w:line="255"/>
              <w:jc w:val="center"/>
            </w:pPr>
            <w:r>
              <w:rPr>
                <w:rFonts w:ascii="Segoe UI" w:cs="Segoe UI" w:eastAsia="Segoe UI" w:hAnsi="Segoe UI"/>
                <w:b/>
                <w:bCs/>
                <w:color w:val="FFFFFF"/>
                <w:sz w:val="16"/>
                <w:szCs w:val="16"/>
                <w:rtl/>
              </w:rPr>
              <w:t xml:space="preserve">الحكم</w:t>
            </w:r>
          </w:p>
        </w:tc>
        <w:tc>
          <w:tcPr>
            <w:tcW w:type="dxa" w:w="5800"/>
            <w:shd w:fill="1F3864" w:color="auto" w:val="clear"/>
            <w:tcMar>
              <w:top w:type="dxa" w:w="55"/>
              <w:left w:type="dxa" w:w="75"/>
              <w:bottom w:type="dxa" w:w="55"/>
              <w:right w:type="dxa" w:w="75"/>
            </w:tcMar>
          </w:tcPr>
          <w:p>
            <w:pPr>
              <w:bidi/>
              <w:spacing w:after="0" w:line="255"/>
              <w:jc w:val="center"/>
            </w:pPr>
            <w:r>
              <w:rPr>
                <w:rFonts w:ascii="Segoe UI" w:cs="Segoe UI" w:eastAsia="Segoe UI" w:hAnsi="Segoe UI"/>
                <w:b/>
                <w:bCs/>
                <w:color w:val="FFFFFF"/>
                <w:sz w:val="16"/>
                <w:szCs w:val="16"/>
                <w:rtl/>
              </w:rPr>
              <w:t xml:space="preserve">متى</w:t>
            </w:r>
          </w:p>
        </w:tc>
      </w:tr>
      <w:tr>
        <w:tc>
          <w:tcPr>
            <w:tcW w:type="dxa" w:w="22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مفتوح صحيح</w:t>
            </w:r>
          </w:p>
        </w:tc>
        <w:tc>
          <w:tcPr>
            <w:tcW w:type="dxa" w:w="58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لم يُحسم في أي مصدر — يبقى مفتوحًا</w:t>
            </w:r>
          </w:p>
        </w:tc>
      </w:tr>
      <w:tr>
        <w:tc>
          <w:tcPr>
            <w:tcW w:type="dxa" w:w="22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محسوم سلفًا</w:t>
            </w:r>
          </w:p>
        </w:tc>
        <w:tc>
          <w:tcPr>
            <w:tcW w:type="dxa" w:w="58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حُسم في قرارٍ أو تعديلٍ لاحق ولم يُرحَّل إلى السجل — يُغلق بمرجعه</w:t>
            </w:r>
          </w:p>
        </w:tc>
      </w:tr>
      <w:tr>
        <w:tc>
          <w:tcPr>
            <w:tcW w:type="dxa" w:w="22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منسوخ</w:t>
            </w:r>
          </w:p>
        </w:tc>
        <w:tc>
          <w:tcPr>
            <w:tcW w:type="dxa" w:w="58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نسخه قرارٌ أحدث — يُوسم منسوخًا بمرجع ناسخه</w:t>
            </w:r>
          </w:p>
        </w:tc>
      </w:tr>
      <w:tr>
        <w:tc>
          <w:tcPr>
            <w:tcW w:type="dxa" w:w="22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قيمة تُضبط</w:t>
            </w:r>
          </w:p>
        </w:tc>
        <w:tc>
          <w:tcPr>
            <w:tcW w:type="dxa" w:w="58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الآلية محسومة والمفتوح قيمةٌ عددية أو زمنية — لا يمنع بناءً</w:t>
            </w:r>
          </w:p>
        </w:tc>
      </w:tr>
      <w:tr>
        <w:tc>
          <w:tcPr>
            <w:tcW w:type="dxa" w:w="22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درجة حجب خاطئة</w:t>
            </w:r>
          </w:p>
        </w:tc>
        <w:tc>
          <w:tcPr>
            <w:tcW w:type="dxa" w:w="58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مصنَّف مانعًا وهو ليس كذلك — يُعاد تصنيفه</w:t>
            </w:r>
          </w:p>
        </w:tc>
      </w:tr>
      <w:tr>
        <w:tc>
          <w:tcPr>
            <w:tcW w:type="dxa" w:w="22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تعارض</w:t>
            </w:r>
          </w:p>
        </w:tc>
        <w:tc>
          <w:tcPr>
            <w:tcW w:type="dxa" w:w="58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نصّان حاكمان متعارضان — يُرفع ولا يُختار أحدهما</w:t>
            </w:r>
          </w:p>
        </w:tc>
      </w:tr>
    </w:tbl>
    <w:p>
      <w:pPr>
        <w:pStyle w:val="ListParagraph"/>
        <w:numPr>
          <w:ilvl w:val="0"/>
          <w:numId w:val="2"/>
        </w:numPr>
        <w:bidi/>
        <w:spacing w:after="85" w:line="300"/>
        <w:jc w:val="both"/>
      </w:pPr>
      <w:r>
        <w:rPr>
          <w:rFonts w:ascii="Segoe UI" w:cs="Segoe UI" w:eastAsia="Segoe UI" w:hAnsi="Segoe UI"/>
          <w:b/>
          <w:bCs/>
          <w:sz w:val="21"/>
          <w:szCs w:val="21"/>
          <w:rtl/>
        </w:rPr>
        <w:t xml:space="preserve">المخرَج: </w:t>
      </w:r>
      <w:r>
        <w:rPr>
          <w:rFonts w:ascii="Segoe UI" w:cs="Segoe UI" w:eastAsia="Segoe UI" w:hAnsi="Segoe UI"/>
          <w:sz w:val="21"/>
          <w:szCs w:val="21"/>
          <w:rtl/>
        </w:rPr>
        <w:t xml:space="preserve">جدولٌ بكل قرارٍ مفتوح وحكمه ومرجع حكمه.</w:t>
      </w:r>
    </w:p>
    <w:p>
      <w:pPr>
        <w:pStyle w:val="ListParagraph"/>
        <w:numPr>
          <w:ilvl w:val="0"/>
          <w:numId w:val="2"/>
        </w:numPr>
        <w:bidi/>
        <w:spacing w:after="85" w:line="300"/>
        <w:jc w:val="both"/>
      </w:pPr>
      <w:r>
        <w:rPr>
          <w:rFonts w:ascii="Segoe UI" w:cs="Segoe UI" w:eastAsia="Segoe UI" w:hAnsi="Segoe UI"/>
          <w:b/>
          <w:bCs/>
          <w:sz w:val="21"/>
          <w:szCs w:val="21"/>
          <w:rtl/>
        </w:rPr>
        <w:t xml:space="preserve">القبول: </w:t>
      </w:r>
      <w:r>
        <w:rPr>
          <w:rFonts w:ascii="Segoe UI" w:cs="Segoe UI" w:eastAsia="Segoe UI" w:hAnsi="Segoe UI"/>
          <w:sz w:val="21"/>
          <w:szCs w:val="21"/>
          <w:rtl/>
        </w:rPr>
        <w:t xml:space="preserve">صفر قرارٍ مفتوحٍ بلا حكمٍ من الستة.</w:t>
      </w:r>
    </w:p>
    <w:p>
      <w:pPr>
        <w:pStyle w:val="Heading2"/>
        <w:bidi/>
        <w:spacing w:after="130" w:before="200"/>
        <w:jc w:val="right"/>
      </w:pPr>
      <w:r>
        <w:rPr>
          <w:rFonts w:ascii="Segoe UI" w:cs="Segoe UI" w:eastAsia="Segoe UI" w:hAnsi="Segoe UI"/>
          <w:b/>
          <w:bCs/>
          <w:color w:val="1F3864"/>
          <w:sz w:val="24"/>
          <w:szCs w:val="24"/>
          <w:rtl/>
        </w:rPr>
        <w:t xml:space="preserve">المرحلة ٣ · المراجعة العكسية للمتطلبات</w:t>
      </w:r>
    </w:p>
    <w:p>
      <w:pPr>
        <w:bidi/>
        <w:spacing w:after="110" w:line="300"/>
        <w:jc w:val="both"/>
      </w:pPr>
      <w:r>
        <w:rPr>
          <w:rFonts w:ascii="Segoe UI" w:cs="Segoe UI" w:eastAsia="Segoe UI" w:hAnsi="Segoe UI"/>
          <w:sz w:val="21"/>
          <w:szCs w:val="21"/>
          <w:rtl/>
        </w:rPr>
        <w:t xml:space="preserve">لكل متطلبٍ في الملفات: ما حاله في النظام فعلًا؟</w:t>
      </w:r>
    </w:p>
    <w:tbl>
      <w:tblPr>
        <w:bidiVisual/>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300"/>
        <w:gridCol w:w="5700"/>
      </w:tblGrid>
      <w:tr>
        <w:trPr>
          <w:tblHeader/>
        </w:trPr>
        <w:tc>
          <w:tcPr>
            <w:tcW w:type="dxa" w:w="2300"/>
            <w:shd w:fill="1F3864" w:color="auto" w:val="clear"/>
            <w:tcMar>
              <w:top w:type="dxa" w:w="55"/>
              <w:left w:type="dxa" w:w="75"/>
              <w:bottom w:type="dxa" w:w="55"/>
              <w:right w:type="dxa" w:w="75"/>
            </w:tcMar>
          </w:tcPr>
          <w:p>
            <w:pPr>
              <w:bidi/>
              <w:spacing w:after="0" w:line="255"/>
              <w:jc w:val="center"/>
            </w:pPr>
            <w:r>
              <w:rPr>
                <w:rFonts w:ascii="Segoe UI" w:cs="Segoe UI" w:eastAsia="Segoe UI" w:hAnsi="Segoe UI"/>
                <w:b/>
                <w:bCs/>
                <w:color w:val="FFFFFF"/>
                <w:sz w:val="16"/>
                <w:szCs w:val="16"/>
                <w:rtl/>
              </w:rPr>
              <w:t xml:space="preserve">الحكم</w:t>
            </w:r>
          </w:p>
        </w:tc>
        <w:tc>
          <w:tcPr>
            <w:tcW w:type="dxa" w:w="5700"/>
            <w:shd w:fill="1F3864" w:color="auto" w:val="clear"/>
            <w:tcMar>
              <w:top w:type="dxa" w:w="55"/>
              <w:left w:type="dxa" w:w="75"/>
              <w:bottom w:type="dxa" w:w="55"/>
              <w:right w:type="dxa" w:w="75"/>
            </w:tcMar>
          </w:tcPr>
          <w:p>
            <w:pPr>
              <w:bidi/>
              <w:spacing w:after="0" w:line="255"/>
              <w:jc w:val="center"/>
            </w:pPr>
            <w:r>
              <w:rPr>
                <w:rFonts w:ascii="Segoe UI" w:cs="Segoe UI" w:eastAsia="Segoe UI" w:hAnsi="Segoe UI"/>
                <w:b/>
                <w:bCs/>
                <w:color w:val="FFFFFF"/>
                <w:sz w:val="16"/>
                <w:szCs w:val="16"/>
                <w:rtl/>
              </w:rPr>
              <w:t xml:space="preserve">ما يلزم معه</w:t>
            </w:r>
          </w:p>
        </w:tc>
      </w:tr>
      <w:tr>
        <w:tc>
          <w:tcPr>
            <w:tcW w:type="dxa" w:w="23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مغلق بالدليل</w:t>
            </w:r>
          </w:p>
        </w:tc>
        <w:tc>
          <w:tcPr>
            <w:tcW w:type="dxa" w:w="57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اختبارٌ سالبٌ ناجح · وأثرٌ مقيسٌ عند المستهلك · ومرورٌ بشريٌّ حيث ينطبق — ولا يُعاد</w:t>
            </w:r>
          </w:p>
        </w:tc>
      </w:tr>
      <w:tr>
        <w:tc>
          <w:tcPr>
            <w:tcW w:type="dxa" w:w="2300"/>
            <w:shd w:fill="FFF7E6"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منفَّذ ولم يُثبت</w:t>
            </w:r>
          </w:p>
        </w:tc>
        <w:tc>
          <w:tcPr>
            <w:tcW w:type="dxa" w:w="5700"/>
            <w:shd w:fill="FFF7E6"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الشيفرة موجودة والإثبات ناقص — يُسمّى الناقص منه بعينه ويدخل طابور الإثبات لا طابور البناء</w:t>
            </w:r>
          </w:p>
        </w:tc>
      </w:tr>
      <w:tr>
        <w:tc>
          <w:tcPr>
            <w:tcW w:type="dxa" w:w="23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منفَّذ جزئيًّا</w:t>
            </w:r>
          </w:p>
        </w:tc>
        <w:tc>
          <w:tcPr>
            <w:tcW w:type="dxa" w:w="57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بيان الناقص بعينه</w:t>
            </w:r>
          </w:p>
        </w:tc>
      </w:tr>
      <w:tr>
        <w:tc>
          <w:tcPr>
            <w:tcW w:type="dxa" w:w="23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منفَّذ خطأً</w:t>
            </w:r>
          </w:p>
        </w:tc>
        <w:tc>
          <w:tcPr>
            <w:tcW w:type="dxa" w:w="57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بيان الانحراف والتصحيح المطلوب</w:t>
            </w:r>
          </w:p>
        </w:tc>
      </w:tr>
      <w:tr>
        <w:tc>
          <w:tcPr>
            <w:tcW w:type="dxa" w:w="23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غير منفَّذ</w:t>
            </w:r>
          </w:p>
        </w:tc>
        <w:tc>
          <w:tcPr>
            <w:tcW w:type="dxa" w:w="57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يدخل طابور البناء بأولويته</w:t>
            </w:r>
          </w:p>
        </w:tc>
      </w:tr>
      <w:tr>
        <w:tc>
          <w:tcPr>
            <w:tcW w:type="dxa" w:w="23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لم يعد منطبقًا</w:t>
            </w:r>
          </w:p>
        </w:tc>
        <w:tc>
          <w:tcPr>
            <w:tcW w:type="dxa" w:w="57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بمرجع قرارٍ أو بديلٍ موثَّق — ويُعرض عدده منفصلًا</w:t>
            </w:r>
          </w:p>
        </w:tc>
      </w:tr>
    </w:tbl>
    <w:p>
      <w:pPr>
        <w:bidi/>
        <w:spacing w:after="110" w:line="300"/>
        <w:jc w:val="both"/>
      </w:pPr>
      <w:r>
        <w:rPr>
          <w:rFonts w:ascii="Segoe UI" w:cs="Segoe UI" w:eastAsia="Segoe UI" w:hAnsi="Segoe UI"/>
          <w:b/>
          <w:bCs/>
          <w:sz w:val="21"/>
          <w:szCs w:val="21"/>
          <w:rtl/>
        </w:rPr>
        <w:t xml:space="preserve">ولا يُخلط «منفَّذ» بـ«مغلق»: </w:t>
      </w:r>
      <w:r>
        <w:rPr>
          <w:rFonts w:ascii="Segoe UI" w:cs="Segoe UI" w:eastAsia="Segoe UI" w:hAnsi="Segoe UI"/>
          <w:sz w:val="21"/>
          <w:szCs w:val="21"/>
          <w:rtl/>
        </w:rPr>
        <w:t xml:space="preserve">وجود الشيفرة ليس إغلاقًا. والإثبات ثلاثة معًا — اختبارٌ سالبٌ يُظهر أن الممنوع يُمنَع فعلًا · وأثرٌ مقيسٌ عند من يستهلكه · ومرورٌ بشريٌّ بصلاحيةٍ حقيقية حيث تنطبق الرحلة. </w:t>
      </w:r>
      <w:r>
        <w:rPr>
          <w:rFonts w:ascii="Segoe UI" w:cs="Segoe UI" w:eastAsia="Segoe UI" w:hAnsi="Segoe UI"/>
          <w:b/>
          <w:bCs/>
          <w:sz w:val="21"/>
          <w:szCs w:val="21"/>
          <w:rtl/>
        </w:rPr>
        <w:t xml:space="preserve">وما نقص منها واحدٌ فالمتطلب «منفَّذ ولم يُثبت» لا «مغلق».</w:t>
      </w:r>
    </w:p>
    <w:p>
      <w:pPr>
        <w:pStyle w:val="ListParagraph"/>
        <w:numPr>
          <w:ilvl w:val="0"/>
          <w:numId w:val="2"/>
        </w:numPr>
        <w:bidi/>
        <w:spacing w:after="85" w:line="300"/>
        <w:jc w:val="both"/>
      </w:pPr>
      <w:r>
        <w:rPr>
          <w:rFonts w:ascii="Segoe UI" w:cs="Segoe UI" w:eastAsia="Segoe UI" w:hAnsi="Segoe UI"/>
          <w:b/>
          <w:bCs/>
          <w:sz w:val="21"/>
          <w:szCs w:val="21"/>
          <w:rtl/>
        </w:rPr>
        <w:t xml:space="preserve">القبول: </w:t>
      </w:r>
      <w:r>
        <w:rPr>
          <w:rFonts w:ascii="Segoe UI" w:cs="Segoe UI" w:eastAsia="Segoe UI" w:hAnsi="Segoe UI"/>
          <w:sz w:val="21"/>
          <w:szCs w:val="21"/>
          <w:rtl/>
        </w:rPr>
        <w:t xml:space="preserve">كل متطلبٍ له حكم ودليل · وصفر متطلبٍ موسومٍ منفَّذًا بلا حالة إغلاق · وما خرج من المقام يُعرض عدده منفصلًا فيُرى انكماشه.</w:t>
      </w:r>
    </w:p>
    <w:p>
      <w:pPr>
        <w:pStyle w:val="Heading2"/>
        <w:bidi/>
        <w:spacing w:after="130" w:before="200"/>
        <w:jc w:val="right"/>
      </w:pPr>
      <w:r>
        <w:rPr>
          <w:rFonts w:ascii="Segoe UI" w:cs="Segoe UI" w:eastAsia="Segoe UI" w:hAnsi="Segoe UI"/>
          <w:b/>
          <w:bCs/>
          <w:color w:val="1F3864"/>
          <w:sz w:val="24"/>
          <w:szCs w:val="24"/>
          <w:rtl/>
        </w:rPr>
        <w:t xml:space="preserve">المرحلة ٤ · إسقاط القرارات على كل ما يتأثر</w:t>
      </w:r>
    </w:p>
    <w:p>
      <w:pPr>
        <w:bidi/>
        <w:spacing w:after="110" w:line="300"/>
        <w:jc w:val="both"/>
      </w:pPr>
      <w:r>
        <w:rPr>
          <w:rFonts w:ascii="Segoe UI" w:cs="Segoe UI" w:eastAsia="Segoe UI" w:hAnsi="Segoe UI"/>
          <w:b/>
          <w:bCs/>
          <w:sz w:val="21"/>
          <w:szCs w:val="21"/>
          <w:rtl/>
        </w:rPr>
        <w:t xml:space="preserve">كل قرارٍ أو تعديلٍ يُحدَّد أثره كاملًا قبل إغلاقه: </w:t>
      </w:r>
      <w:r>
        <w:rPr>
          <w:rFonts w:ascii="Segoe UI" w:cs="Segoe UI" w:eastAsia="Segoe UI" w:hAnsi="Segoe UI"/>
          <w:sz w:val="21"/>
          <w:szCs w:val="21"/>
          <w:rtl/>
        </w:rPr>
        <w:t xml:space="preserve">الوثائق المتأثرة · والأسطح · والحقول · والبيانات · والصلاحيات · وآلات الحالة · والأحداث · والاختبارات · وأثر الترحيل.</w:t>
      </w:r>
    </w:p>
    <w:p>
      <w:pPr>
        <w:bidi/>
        <w:spacing w:after="110" w:line="300"/>
        <w:jc w:val="both"/>
      </w:pPr>
      <w:r>
        <w:rPr>
          <w:rFonts w:ascii="Segoe UI" w:cs="Segoe UI" w:eastAsia="Segoe UI" w:hAnsi="Segoe UI"/>
          <w:b/>
          <w:bCs/>
          <w:sz w:val="21"/>
          <w:szCs w:val="21"/>
          <w:rtl/>
        </w:rPr>
        <w:t xml:space="preserve">ولا يبقى قرارٌ صحيحًا في وثيقةٍ وخاطئًا في أخرى.</w:t>
      </w:r>
    </w:p>
    <w:p>
      <w:pPr>
        <w:pStyle w:val="ListParagraph"/>
        <w:numPr>
          <w:ilvl w:val="0"/>
          <w:numId w:val="2"/>
        </w:numPr>
        <w:bidi/>
        <w:spacing w:after="85" w:line="300"/>
        <w:jc w:val="both"/>
      </w:pPr>
      <w:r>
        <w:rPr>
          <w:rFonts w:ascii="Segoe UI" w:cs="Segoe UI" w:eastAsia="Segoe UI" w:hAnsi="Segoe UI"/>
          <w:b/>
          <w:bCs/>
          <w:sz w:val="21"/>
          <w:szCs w:val="21"/>
          <w:rtl/>
        </w:rPr>
        <w:t xml:space="preserve">المخرَج: </w:t>
      </w:r>
      <w:r>
        <w:rPr>
          <w:rFonts w:ascii="Segoe UI" w:cs="Segoe UI" w:eastAsia="Segoe UI" w:hAnsi="Segoe UI"/>
          <w:sz w:val="21"/>
          <w:szCs w:val="21"/>
          <w:rtl/>
        </w:rPr>
        <w:t xml:space="preserve">سجل أثرٍ لكل قرار بأعمدته التسعة.</w:t>
      </w:r>
    </w:p>
    <w:p>
      <w:pPr>
        <w:pStyle w:val="Heading2"/>
        <w:bidi/>
        <w:spacing w:after="130" w:before="200"/>
        <w:jc w:val="right"/>
      </w:pPr>
      <w:r>
        <w:rPr>
          <w:rFonts w:ascii="Segoe UI" w:cs="Segoe UI" w:eastAsia="Segoe UI" w:hAnsi="Segoe UI"/>
          <w:b/>
          <w:bCs/>
          <w:color w:val="1F3864"/>
          <w:sz w:val="24"/>
          <w:szCs w:val="24"/>
          <w:rtl/>
        </w:rPr>
        <w:t xml:space="preserve">المرحلة ٥ · إزالة الحواجز غير الصحيحة</w:t>
      </w:r>
    </w:p>
    <w:p>
      <w:pPr>
        <w:bidi/>
        <w:spacing w:after="110" w:line="300"/>
        <w:jc w:val="both"/>
      </w:pPr>
      <w:r>
        <w:rPr>
          <w:rFonts w:ascii="Segoe UI" w:cs="Segoe UI" w:eastAsia="Segoe UI" w:hAnsi="Segoe UI"/>
          <w:sz w:val="21"/>
          <w:szCs w:val="21"/>
          <w:rtl/>
        </w:rPr>
        <w:t xml:space="preserve">تُرفع فورًا الحواجز التي لا تنطبق:</w:t>
      </w:r>
    </w:p>
    <w:p>
      <w:pPr>
        <w:pStyle w:val="ListParagraph"/>
        <w:numPr>
          <w:ilvl w:val="0"/>
          <w:numId w:val="2"/>
        </w:numPr>
        <w:bidi/>
        <w:spacing w:after="85" w:line="300"/>
        <w:jc w:val="both"/>
      </w:pPr>
      <w:r>
        <w:rPr>
          <w:rFonts w:ascii="Segoe UI" w:cs="Segoe UI" w:eastAsia="Segoe UI" w:hAnsi="Segoe UI"/>
          <w:sz w:val="21"/>
          <w:szCs w:val="21"/>
          <w:rtl/>
        </w:rPr>
        <w:t xml:space="preserve">بوابة G0 على مصالحة المعمارية والبيانات الوصفية — لا تنطبق.</w:t>
      </w:r>
    </w:p>
    <w:p>
      <w:pPr>
        <w:pStyle w:val="ListParagraph"/>
        <w:numPr>
          <w:ilvl w:val="0"/>
          <w:numId w:val="2"/>
        </w:numPr>
        <w:bidi/>
        <w:spacing w:after="85" w:line="300"/>
        <w:jc w:val="both"/>
      </w:pPr>
      <w:r>
        <w:rPr>
          <w:rFonts w:ascii="Segoe UI" w:cs="Segoe UI" w:eastAsia="Segoe UI" w:hAnsi="Segoe UI"/>
          <w:sz w:val="21"/>
          <w:szCs w:val="21"/>
          <w:rtl/>
        </w:rPr>
        <w:t xml:space="preserve">قيمةٌ تشغيلية لم تُعتمد بعد — لا تمنع بناء محركها.</w:t>
      </w:r>
    </w:p>
    <w:p>
      <w:pPr>
        <w:pStyle w:val="ListParagraph"/>
        <w:numPr>
          <w:ilvl w:val="0"/>
          <w:numId w:val="2"/>
        </w:numPr>
        <w:bidi/>
        <w:spacing w:after="85" w:line="300"/>
        <w:jc w:val="both"/>
      </w:pPr>
      <w:r>
        <w:rPr>
          <w:rFonts w:ascii="Segoe UI" w:cs="Segoe UI" w:eastAsia="Segoe UI" w:hAnsi="Segoe UI"/>
          <w:sz w:val="21"/>
          <w:szCs w:val="21"/>
          <w:rtl/>
        </w:rPr>
        <w:t xml:space="preserve">قبولٌ بشريّ أو شاشةٌ ذهبية في مرحلةٍ ليست مرحلتها — لا تمنع البناء.</w:t>
      </w:r>
    </w:p>
    <w:p>
      <w:pPr>
        <w:pStyle w:val="ListParagraph"/>
        <w:numPr>
          <w:ilvl w:val="0"/>
          <w:numId w:val="2"/>
        </w:numPr>
        <w:bidi/>
        <w:spacing w:after="85" w:line="300"/>
        <w:jc w:val="both"/>
      </w:pPr>
      <w:r>
        <w:rPr>
          <w:rFonts w:ascii="Segoe UI" w:cs="Segoe UI" w:eastAsia="Segoe UI" w:hAnsi="Segoe UI"/>
          <w:sz w:val="21"/>
          <w:szCs w:val="21"/>
          <w:rtl/>
        </w:rPr>
        <w:t xml:space="preserve">قرارٌ حُسم ولم يُحدَّث سجله — يُحدَّث السجل ولا يُرفع سؤالًا.</w:t>
      </w:r>
    </w:p>
    <w:p>
      <w:pPr>
        <w:pStyle w:val="Heading2"/>
        <w:bidi/>
        <w:spacing w:after="130" w:before="200"/>
        <w:jc w:val="right"/>
      </w:pPr>
      <w:r>
        <w:rPr>
          <w:rFonts w:ascii="Segoe UI" w:cs="Segoe UI" w:eastAsia="Segoe UI" w:hAnsi="Segoe UI"/>
          <w:b/>
          <w:bCs/>
          <w:color w:val="1F3864"/>
          <w:sz w:val="24"/>
          <w:szCs w:val="24"/>
          <w:rtl/>
        </w:rPr>
        <w:t xml:space="preserve">المرحلة ٦ · سجل الاستئناف لكل إدارة</w:t>
      </w:r>
    </w:p>
    <w:p>
      <w:pPr>
        <w:bidi/>
        <w:spacing w:after="110" w:line="300"/>
        <w:jc w:val="both"/>
      </w:pPr>
      <w:r>
        <w:rPr>
          <w:rFonts w:ascii="Segoe UI" w:cs="Segoe UI" w:eastAsia="Segoe UI" w:hAnsi="Segoe UI"/>
          <w:b/>
          <w:bCs/>
          <w:sz w:val="21"/>
          <w:szCs w:val="21"/>
          <w:rtl/>
        </w:rPr>
        <w:t xml:space="preserve">هذا أهم مخرَج في الأمر. </w:t>
      </w:r>
      <w:r>
        <w:rPr>
          <w:rFonts w:ascii="Segoe UI" w:cs="Segoe UI" w:eastAsia="Segoe UI" w:hAnsi="Segoe UI"/>
          <w:sz w:val="21"/>
          <w:szCs w:val="21"/>
          <w:rtl/>
        </w:rPr>
        <w:t xml:space="preserve">لكل إدارةٍ من السبع عشرة ولكل وحدةٍ خارج التعداد، سطرٌ واحد بهذه الأعمدة:</w:t>
      </w:r>
    </w:p>
    <w:tbl>
      <w:tblPr>
        <w:bidiVisual/>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400"/>
        <w:gridCol w:w="5600"/>
      </w:tblGrid>
      <w:tr>
        <w:trPr>
          <w:tblHeader/>
        </w:trPr>
        <w:tc>
          <w:tcPr>
            <w:tcW w:type="dxa" w:w="2400"/>
            <w:shd w:fill="1F3864" w:color="auto" w:val="clear"/>
            <w:tcMar>
              <w:top w:type="dxa" w:w="55"/>
              <w:left w:type="dxa" w:w="75"/>
              <w:bottom w:type="dxa" w:w="55"/>
              <w:right w:type="dxa" w:w="75"/>
            </w:tcMar>
          </w:tcPr>
          <w:p>
            <w:pPr>
              <w:bidi/>
              <w:spacing w:after="0" w:line="255"/>
              <w:jc w:val="center"/>
            </w:pPr>
            <w:r>
              <w:rPr>
                <w:rFonts w:ascii="Segoe UI" w:cs="Segoe UI" w:eastAsia="Segoe UI" w:hAnsi="Segoe UI"/>
                <w:b/>
                <w:bCs/>
                <w:color w:val="FFFFFF"/>
                <w:sz w:val="16"/>
                <w:szCs w:val="16"/>
                <w:rtl/>
              </w:rPr>
              <w:t xml:space="preserve">العمود</w:t>
            </w:r>
          </w:p>
        </w:tc>
        <w:tc>
          <w:tcPr>
            <w:tcW w:type="dxa" w:w="5600"/>
            <w:shd w:fill="1F3864" w:color="auto" w:val="clear"/>
            <w:tcMar>
              <w:top w:type="dxa" w:w="55"/>
              <w:left w:type="dxa" w:w="75"/>
              <w:bottom w:type="dxa" w:w="55"/>
              <w:right w:type="dxa" w:w="75"/>
            </w:tcMar>
          </w:tcPr>
          <w:p>
            <w:pPr>
              <w:bidi/>
              <w:spacing w:after="0" w:line="255"/>
              <w:jc w:val="center"/>
            </w:pPr>
            <w:r>
              <w:rPr>
                <w:rFonts w:ascii="Segoe UI" w:cs="Segoe UI" w:eastAsia="Segoe UI" w:hAnsi="Segoe UI"/>
                <w:b/>
                <w:bCs/>
                <w:color w:val="FFFFFF"/>
                <w:sz w:val="16"/>
                <w:szCs w:val="16"/>
                <w:rtl/>
              </w:rPr>
              <w:t xml:space="preserve">مضمونه</w:t>
            </w:r>
          </w:p>
        </w:tc>
      </w:tr>
      <w:tr>
        <w:tc>
          <w:tcPr>
            <w:tcW w:type="dxa" w:w="24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آخر متطلبٍ مغلق بالدليل</w:t>
            </w:r>
          </w:p>
        </w:tc>
        <w:tc>
          <w:tcPr>
            <w:tcW w:type="dxa" w:w="56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بمعرّفه ودليل إغلاقه</w:t>
            </w:r>
          </w:p>
        </w:tc>
      </w:tr>
      <w:tr>
        <w:tc>
          <w:tcPr>
            <w:tcW w:type="dxa" w:w="24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أول متطلبٍ مفتوح</w:t>
            </w:r>
          </w:p>
        </w:tc>
        <w:tc>
          <w:tcPr>
            <w:tcW w:type="dxa" w:w="56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بمعرّفه</w:t>
            </w:r>
          </w:p>
        </w:tc>
      </w:tr>
      <w:tr>
        <w:tc>
          <w:tcPr>
            <w:tcW w:type="dxa" w:w="24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الحاجز الحالي</w:t>
            </w:r>
          </w:p>
        </w:tc>
        <w:tc>
          <w:tcPr>
            <w:tcW w:type="dxa" w:w="56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إن وُجد — بمعرّفه</w:t>
            </w:r>
          </w:p>
        </w:tc>
      </w:tr>
      <w:tr>
        <w:tc>
          <w:tcPr>
            <w:tcW w:type="dxa" w:w="24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هل الحاجز صحيح؟</w:t>
            </w:r>
          </w:p>
        </w:tc>
        <w:tc>
          <w:tcPr>
            <w:tcW w:type="dxa" w:w="56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نعم أو لا — وإن كان لا فيُرفع ويُستأنف</w:t>
            </w:r>
          </w:p>
        </w:tc>
      </w:tr>
      <w:tr>
        <w:tc>
          <w:tcPr>
            <w:tcW w:type="dxa" w:w="24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نقطة الاستئناف</w:t>
            </w:r>
          </w:p>
        </w:tc>
        <w:tc>
          <w:tcPr>
            <w:tcW w:type="dxa" w:w="56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من أين يبدأ العمل بالضبط</w:t>
            </w:r>
          </w:p>
        </w:tc>
      </w:tr>
      <w:tr>
        <w:tc>
          <w:tcPr>
            <w:tcW w:type="dxa" w:w="24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الإجراء التالي</w:t>
            </w:r>
          </w:p>
        </w:tc>
        <w:tc>
          <w:tcPr>
            <w:tcW w:type="dxa" w:w="56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فعلٌ واحد محدَّد لا خطة</w:t>
            </w:r>
          </w:p>
        </w:tc>
      </w:tr>
    </w:tbl>
    <w:p>
      <w:pPr>
        <w:pStyle w:val="ListParagraph"/>
        <w:numPr>
          <w:ilvl w:val="0"/>
          <w:numId w:val="2"/>
        </w:numPr>
        <w:bidi/>
        <w:spacing w:after="85" w:line="300"/>
        <w:jc w:val="both"/>
      </w:pPr>
      <w:r>
        <w:rPr>
          <w:rFonts w:ascii="Segoe UI" w:cs="Segoe UI" w:eastAsia="Segoe UI" w:hAnsi="Segoe UI"/>
          <w:b/>
          <w:bCs/>
          <w:sz w:val="21"/>
          <w:szCs w:val="21"/>
          <w:rtl/>
        </w:rPr>
        <w:t xml:space="preserve">القبول: </w:t>
      </w:r>
      <w:r>
        <w:rPr>
          <w:rFonts w:ascii="Segoe UI" w:cs="Segoe UI" w:eastAsia="Segoe UI" w:hAnsi="Segoe UI"/>
          <w:sz w:val="21"/>
          <w:szCs w:val="21"/>
          <w:rtl/>
        </w:rPr>
        <w:t xml:space="preserve">واحدٌ وعشرون سطرًا — ولا إدارةَ بلا نقطة استئناف.</w:t>
      </w:r>
    </w:p>
    <w:p>
      <w:pPr>
        <w:bidi/>
        <w:spacing w:after="110" w:line="300"/>
        <w:jc w:val="both"/>
      </w:pPr>
      <w:r>
        <w:rPr>
          <w:rFonts w:ascii="Segoe UI" w:cs="Segoe UI" w:eastAsia="Segoe UI" w:hAnsi="Segoe UI"/>
          <w:b/>
          <w:bCs/>
          <w:sz w:val="21"/>
          <w:szCs w:val="21"/>
          <w:rtl/>
        </w:rPr>
        <w:t xml:space="preserve">ويُلحق به سجلٌّ ثانٍ منفصل: سجل استئناف القدرات المنصّية المشتركة. </w:t>
      </w:r>
      <w:r>
        <w:rPr>
          <w:rFonts w:ascii="Segoe UI" w:cs="Segoe UI" w:eastAsia="Segoe UI" w:hAnsi="Segoe UI"/>
          <w:sz w:val="21"/>
          <w:szCs w:val="21"/>
          <w:rtl/>
        </w:rPr>
        <w:t xml:space="preserve">فمحرك الاعتماد وتوجيه الطلبات والبحث الموحد وسجل المنصّة وقدرات الأمان المشتركة لا تنتمي إلى إدارةٍ من الواحد والعشرين، ووقوعها خارج السجل يُضيّع عملها. </w:t>
      </w:r>
      <w:r>
        <w:rPr>
          <w:rFonts w:ascii="Segoe UI" w:cs="Segoe UI" w:eastAsia="Segoe UI" w:hAnsi="Segoe UI"/>
          <w:b/>
          <w:bCs/>
          <w:sz w:val="21"/>
          <w:szCs w:val="21"/>
          <w:rtl/>
        </w:rPr>
        <w:t xml:space="preserve">ولا تُعدّ PLATFORM إدارةً ثانيةً وعشرين</w:t>
      </w:r>
      <w:r>
        <w:rPr>
          <w:rFonts w:ascii="Segoe UI" w:cs="Segoe UI" w:eastAsia="Segoe UI" w:hAnsi="Segoe UI"/>
          <w:sz w:val="21"/>
          <w:szCs w:val="21"/>
          <w:rtl/>
        </w:rPr>
        <w:t xml:space="preserve"> — سجلٌّ مستقل بالأعمدة نفسها، ولكل قدرةٍ مالكٌ تقنيٌّ مسمًّى، والحوكمة تملك سجل المنصّة نفسه.</w:t>
      </w:r>
    </w:p>
    <w:p>
      <w:pPr>
        <w:bidi/>
        <w:spacing w:after="110" w:line="300"/>
        <w:jc w:val="both"/>
      </w:pPr>
      <w:r>
        <w:rPr>
          <w:rFonts w:ascii="Segoe UI" w:cs="Segoe UI" w:eastAsia="Segoe UI" w:hAnsi="Segoe UI"/>
          <w:b/>
          <w:bCs/>
          <w:sz w:val="21"/>
          <w:szCs w:val="21"/>
          <w:rtl/>
        </w:rPr>
        <w:t xml:space="preserve">وأول سطرٍ فيه: محرك الاعتماد — </w:t>
      </w:r>
      <w:r>
        <w:rPr>
          <w:rFonts w:ascii="Segoe UI" w:cs="Segoe UI" w:eastAsia="Segoe UI" w:hAnsi="Segoe UI"/>
          <w:sz w:val="21"/>
          <w:szCs w:val="21"/>
          <w:rtl/>
        </w:rPr>
        <w:t xml:space="preserve">فهو أكبر عملٍ موقوف في النظام، وحاجزه قيمةٌ عند المالك لا عملٌ عند المنفِّذ.</w:t>
      </w:r>
    </w:p>
    <w:p>
      <w:pPr>
        <w:pStyle w:val="Heading2"/>
        <w:bidi/>
        <w:spacing w:after="130" w:before="200"/>
        <w:jc w:val="right"/>
      </w:pPr>
      <w:r>
        <w:rPr>
          <w:rFonts w:ascii="Segoe UI" w:cs="Segoe UI" w:eastAsia="Segoe UI" w:hAnsi="Segoe UI"/>
          <w:b/>
          <w:bCs/>
          <w:color w:val="1F3864"/>
          <w:sz w:val="24"/>
          <w:szCs w:val="24"/>
          <w:rtl/>
        </w:rPr>
        <w:t xml:space="preserve">المرحلة ٧ · استئناف التنفيذ</w:t>
      </w:r>
    </w:p>
    <w:p>
      <w:pPr>
        <w:bidi/>
        <w:spacing w:after="110" w:line="300"/>
        <w:jc w:val="both"/>
      </w:pPr>
      <w:r>
        <w:rPr>
          <w:rFonts w:ascii="Segoe UI" w:cs="Segoe UI" w:eastAsia="Segoe UI" w:hAnsi="Segoe UI"/>
          <w:b/>
          <w:bCs/>
          <w:sz w:val="21"/>
          <w:szCs w:val="21"/>
          <w:rtl/>
        </w:rPr>
        <w:t xml:space="preserve">يُستأنف كل نطاقٍ من أول متطلبٍ مفتوحٍ متحقَّقٍ منه — </w:t>
      </w:r>
      <w:r>
        <w:rPr>
          <w:rFonts w:ascii="Segoe UI" w:cs="Segoe UI" w:eastAsia="Segoe UI" w:hAnsi="Segoe UI"/>
          <w:sz w:val="21"/>
          <w:szCs w:val="21"/>
          <w:rtl/>
        </w:rPr>
        <w:t xml:space="preserve">ولا يُعاد ما ثبتت صحته، ولا يُبدَأ من الصفر، ولا تُتجاوز بوابةٌ حقيقية.</w:t>
      </w:r>
    </w:p>
    <w:p>
      <w:pPr>
        <w:pStyle w:val="Heading2"/>
        <w:bidi/>
        <w:spacing w:after="130" w:before="200"/>
        <w:jc w:val="right"/>
      </w:pPr>
      <w:r>
        <w:rPr>
          <w:rFonts w:ascii="Segoe UI" w:cs="Segoe UI" w:eastAsia="Segoe UI" w:hAnsi="Segoe UI"/>
          <w:b/>
          <w:bCs/>
          <w:color w:val="1F3864"/>
          <w:sz w:val="24"/>
          <w:szCs w:val="24"/>
          <w:rtl/>
        </w:rPr>
        <w:t xml:space="preserve">المرحلة ٨ · الإغلاق العكسي</w:t>
      </w:r>
    </w:p>
    <w:p>
      <w:pPr>
        <w:bidi/>
        <w:spacing w:after="110" w:line="300"/>
        <w:jc w:val="both"/>
      </w:pPr>
      <w:r>
        <w:rPr>
          <w:rFonts w:ascii="Segoe UI" w:cs="Segoe UI" w:eastAsia="Segoe UI" w:hAnsi="Segoe UI"/>
          <w:b/>
          <w:bCs/>
          <w:sz w:val="21"/>
          <w:szCs w:val="21"/>
          <w:rtl/>
        </w:rPr>
        <w:t xml:space="preserve">بعد كل دفعة: ارجع إلى ملفاتها وتحقّق أن كل ما طُلب نُفِّذ كما طُلب — ثم أعلن الإغلاق. </w:t>
      </w:r>
      <w:r>
        <w:rPr>
          <w:rFonts w:ascii="Segoe UI" w:cs="Segoe UI" w:eastAsia="Segoe UI" w:hAnsi="Segoe UI"/>
          <w:sz w:val="21"/>
          <w:szCs w:val="21"/>
          <w:rtl/>
        </w:rPr>
        <w:t xml:space="preserve">ولا تُعلَن مرحلةٌ مغلقة قبل مراجعتها عكسيًّا.</w:t>
      </w:r>
    </w:p>
    <w:p>
      <w:r>
        <w:br w:type="page"/>
      </w:r>
    </w:p>
    <w:p>
      <w:pPr>
        <w:pStyle w:val="Heading1"/>
        <w:bidi/>
        <w:spacing w:after="130" w:before="300"/>
        <w:jc w:val="right"/>
      </w:pPr>
      <w:r>
        <w:rPr>
          <w:rFonts w:ascii="Segoe UI" w:cs="Segoe UI" w:eastAsia="Segoe UI" w:hAnsi="Segoe UI"/>
          <w:b/>
          <w:bCs/>
          <w:color w:val="1F3864"/>
          <w:sz w:val="29"/>
          <w:szCs w:val="29"/>
          <w:rtl/>
        </w:rPr>
        <w:t xml:space="preserve">٥ · درجات الحجب الست</w:t>
      </w:r>
    </w:p>
    <w:p>
      <w:pPr>
        <w:bidi/>
        <w:spacing w:after="110" w:line="300"/>
        <w:jc w:val="both"/>
      </w:pPr>
      <w:r>
        <w:rPr>
          <w:rFonts w:ascii="Segoe UI" w:cs="Segoe UI" w:eastAsia="Segoe UI" w:hAnsi="Segoe UI"/>
          <w:sz w:val="21"/>
          <w:szCs w:val="21"/>
          <w:rtl/>
        </w:rPr>
        <w:t xml:space="preserve">كل قرارٍ مفتوح يحمل درجةً واحدة منها. ولا يوقف العمل إلا ما درجته توقفه:</w:t>
      </w:r>
    </w:p>
    <w:tbl>
      <w:tblPr>
        <w:bidiVisual/>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400"/>
      </w:tblGrid>
      <w:tr>
        <w:trPr>
          <w:tblHeader/>
        </w:trPr>
        <w:tc>
          <w:tcPr>
            <w:tcW w:type="dxa" w:w="2400"/>
            <w:shd w:fill="1F3864" w:color="auto" w:val="clear"/>
            <w:tcMar>
              <w:top w:type="dxa" w:w="55"/>
              <w:left w:type="dxa" w:w="75"/>
              <w:bottom w:type="dxa" w:w="55"/>
              <w:right w:type="dxa" w:w="75"/>
            </w:tcMar>
          </w:tcPr>
          <w:p>
            <w:pPr>
              <w:bidi/>
              <w:spacing w:after="0" w:line="255"/>
              <w:jc w:val="center"/>
            </w:pPr>
            <w:r>
              <w:rPr>
                <w:rFonts w:ascii="Segoe UI" w:cs="Segoe UI" w:eastAsia="Segoe UI" w:hAnsi="Segoe UI"/>
                <w:b/>
                <w:bCs/>
                <w:color w:val="FFFFFF"/>
                <w:sz w:val="16"/>
                <w:szCs w:val="16"/>
                <w:rtl/>
              </w:rPr>
              <w:t xml:space="preserve">الدرجة</w:t>
            </w:r>
          </w:p>
        </w:tc>
        <w:tc>
          <w:tcPr>
            <w:tcW w:type="dxa" w:w="3200"/>
            <w:shd w:fill="1F3864" w:color="auto" w:val="clear"/>
            <w:tcMar>
              <w:top w:type="dxa" w:w="55"/>
              <w:left w:type="dxa" w:w="75"/>
              <w:bottom w:type="dxa" w:w="55"/>
              <w:right w:type="dxa" w:w="75"/>
            </w:tcMar>
          </w:tcPr>
          <w:p>
            <w:pPr>
              <w:bidi/>
              <w:spacing w:after="0" w:line="255"/>
              <w:jc w:val="center"/>
            </w:pPr>
            <w:r>
              <w:rPr>
                <w:rFonts w:ascii="Segoe UI" w:cs="Segoe UI" w:eastAsia="Segoe UI" w:hAnsi="Segoe UI"/>
                <w:b/>
                <w:bCs/>
                <w:color w:val="FFFFFF"/>
                <w:sz w:val="16"/>
                <w:szCs w:val="16"/>
                <w:rtl/>
              </w:rPr>
              <w:t xml:space="preserve">أثرها</w:t>
            </w:r>
          </w:p>
        </w:tc>
        <w:tc>
          <w:tcPr>
            <w:tcW w:type="dxa" w:w="2400"/>
            <w:shd w:fill="1F3864" w:color="auto" w:val="clear"/>
            <w:tcMar>
              <w:top w:type="dxa" w:w="55"/>
              <w:left w:type="dxa" w:w="75"/>
              <w:bottom w:type="dxa" w:w="55"/>
              <w:right w:type="dxa" w:w="75"/>
            </w:tcMar>
          </w:tcPr>
          <w:p>
            <w:pPr>
              <w:bidi/>
              <w:spacing w:after="0" w:line="255"/>
              <w:jc w:val="center"/>
            </w:pPr>
            <w:r>
              <w:rPr>
                <w:rFonts w:ascii="Segoe UI" w:cs="Segoe UI" w:eastAsia="Segoe UI" w:hAnsi="Segoe UI"/>
                <w:b/>
                <w:bCs/>
                <w:color w:val="FFFFFF"/>
                <w:sz w:val="16"/>
                <w:szCs w:val="16"/>
                <w:rtl/>
              </w:rPr>
              <w:t xml:space="preserve">مثال</w:t>
            </w:r>
          </w:p>
        </w:tc>
      </w:tr>
      <w:tr>
        <w:tc>
          <w:tcPr>
            <w:tcW w:type="dxa" w:w="2400"/>
            <w:shd w:fill="FCE4D6"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حاجز بنيوي</w:t>
            </w:r>
          </w:p>
        </w:tc>
        <w:tc>
          <w:tcPr>
            <w:tcW w:type="dxa" w:w="3200"/>
            <w:shd w:fill="FCE4D6"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يوقف التصميم والتنفيذ معًا</w:t>
            </w:r>
          </w:p>
        </w:tc>
        <w:tc>
          <w:tcPr>
            <w:tcW w:type="dxa" w:w="2400"/>
            <w:shd w:fill="FCE4D6"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موضع وحدة تنظيمية · ملكية حقيقة</w:t>
            </w:r>
          </w:p>
        </w:tc>
      </w:tr>
      <w:tr>
        <w:tc>
          <w:tcPr>
            <w:tcW w:type="dxa" w:w="2400"/>
            <w:shd w:fill="FCE4D6"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حاجز بناء</w:t>
            </w:r>
          </w:p>
        </w:tc>
        <w:tc>
          <w:tcPr>
            <w:tcW w:type="dxa" w:w="3200"/>
            <w:shd w:fill="FCE4D6"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يمنع بناء نطاقٍ أو معاملةٍ بعينها</w:t>
            </w:r>
          </w:p>
        </w:tc>
        <w:tc>
          <w:tcPr>
            <w:tcW w:type="dxa" w:w="2400"/>
            <w:shd w:fill="FCE4D6"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حبّة غير محسومة لسطح</w:t>
            </w:r>
          </w:p>
        </w:tc>
      </w:tr>
      <w:tr>
        <w:tc>
          <w:tcPr>
            <w:tcW w:type="dxa" w:w="24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حاجز إنفاذ</w:t>
            </w:r>
          </w:p>
        </w:tc>
        <w:tc>
          <w:tcPr>
            <w:tcW w:type="dxa" w:w="32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المحرك يُبنى ولا يُفعَّل</w:t>
            </w:r>
          </w:p>
        </w:tc>
        <w:tc>
          <w:tcPr>
            <w:tcW w:type="dxa" w:w="24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قيم حدود الاعتماد</w:t>
            </w:r>
          </w:p>
        </w:tc>
      </w:tr>
      <w:tr>
        <w:tc>
          <w:tcPr>
            <w:tcW w:type="dxa" w:w="24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حاجز اختبار</w:t>
            </w:r>
          </w:p>
        </w:tc>
        <w:tc>
          <w:tcPr>
            <w:tcW w:type="dxa" w:w="32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لا يمنع البناء ويمنع القبول</w:t>
            </w:r>
          </w:p>
        </w:tc>
        <w:tc>
          <w:tcPr>
            <w:tcW w:type="dxa" w:w="24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عيّنة المسح · رحلة بشرية</w:t>
            </w:r>
          </w:p>
        </w:tc>
      </w:tr>
      <w:tr>
        <w:tc>
          <w:tcPr>
            <w:tcW w:type="dxa" w:w="24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حاجز إصدار</w:t>
            </w:r>
          </w:p>
        </w:tc>
        <w:tc>
          <w:tcPr>
            <w:tcW w:type="dxa" w:w="32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يمنع الإطلاق وحده</w:t>
            </w:r>
          </w:p>
        </w:tc>
        <w:tc>
          <w:tcPr>
            <w:tcW w:type="dxa" w:w="24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دليل استعادة متقادم</w:t>
            </w:r>
          </w:p>
        </w:tc>
      </w:tr>
      <w:tr>
        <w:tc>
          <w:tcPr>
            <w:tcW w:type="dxa" w:w="2400"/>
            <w:shd w:fill="E7F0E3"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قيمة مؤجَّلة</w:t>
            </w:r>
          </w:p>
        </w:tc>
        <w:tc>
          <w:tcPr>
            <w:tcW w:type="dxa" w:w="3200"/>
            <w:shd w:fill="E7F0E3"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لا تمنع التصميم ولا بناء المحرك · وتنتقل إلى حاجز إنفاذ أو اختبار أو إصدار متى كانت القيمة لازمة لتلك المرحلة</w:t>
            </w:r>
          </w:p>
        </w:tc>
        <w:tc>
          <w:tcPr>
            <w:tcW w:type="dxa" w:w="2400"/>
            <w:shd w:fill="E7F0E3"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حد النثرية: لا يمنع بناء محرك الخزينة · ويمنع تشغيل سياسة النقد قبل الإنتاج</w:t>
            </w:r>
          </w:p>
        </w:tc>
      </w:tr>
    </w:tbl>
    <w:p>
      <w:pPr>
        <w:bidi/>
        <w:spacing w:after="110" w:line="300"/>
        <w:jc w:val="both"/>
      </w:pPr>
      <w:r>
        <w:rPr>
          <w:rFonts w:ascii="Segoe UI" w:cs="Segoe UI" w:eastAsia="Segoe UI" w:hAnsi="Segoe UI"/>
          <w:b/>
          <w:bCs/>
          <w:sz w:val="21"/>
          <w:szCs w:val="21"/>
          <w:rtl/>
        </w:rPr>
        <w:t xml:space="preserve">وابنِ المحركات كلها الآن، واترك مواضع القيم فارغةً تُقرأ من سجل السياسات · ولا تُكتب قيمةٌ في الشيفرة. </w:t>
      </w:r>
      <w:r>
        <w:rPr>
          <w:rFonts w:ascii="Segoe UI" w:cs="Segoe UI" w:eastAsia="Segoe UI" w:hAnsi="Segoe UI"/>
          <w:sz w:val="21"/>
          <w:szCs w:val="21"/>
          <w:rtl/>
        </w:rPr>
        <w:t xml:space="preserve">ولكل قيمةٍ مؤجَّلة يُذكر صراحةً: أي مرحلةٍ تتحول عندها إلى حاجز — إنفاذًا أو اختبارًا أو إصدارًا. </w:t>
      </w:r>
      <w:r>
        <w:rPr>
          <w:rFonts w:ascii="Segoe UI" w:cs="Segoe UI" w:eastAsia="Segoe UI" w:hAnsi="Segoe UI"/>
          <w:b/>
          <w:bCs/>
          <w:sz w:val="21"/>
          <w:szCs w:val="21"/>
          <w:rtl/>
        </w:rPr>
        <w:t xml:space="preserve">فالقيمة المؤجَّلة تُؤجَّل ولا تُنسى.</w:t>
      </w:r>
    </w:p>
    <w:p>
      <w:pPr>
        <w:pStyle w:val="Heading1"/>
        <w:bidi/>
        <w:spacing w:after="130" w:before="300"/>
        <w:jc w:val="right"/>
      </w:pPr>
      <w:r>
        <w:rPr>
          <w:rFonts w:ascii="Segoe UI" w:cs="Segoe UI" w:eastAsia="Segoe UI" w:hAnsi="Segoe UI"/>
          <w:b/>
          <w:bCs/>
          <w:color w:val="1F3864"/>
          <w:sz w:val="29"/>
          <w:szCs w:val="29"/>
          <w:rtl/>
        </w:rPr>
        <w:t xml:space="preserve">٦ · البحث الإلزامي قبل رفع أي سؤال</w:t>
      </w:r>
    </w:p>
    <w:p>
      <w:pPr>
        <w:bidi/>
        <w:spacing w:after="110" w:line="300"/>
        <w:jc w:val="both"/>
      </w:pPr>
      <w:r>
        <w:rPr>
          <w:rFonts w:ascii="Segoe UI" w:cs="Segoe UI" w:eastAsia="Segoe UI" w:hAnsi="Segoe UI"/>
          <w:b/>
          <w:bCs/>
          <w:sz w:val="21"/>
          <w:szCs w:val="21"/>
          <w:rtl/>
        </w:rPr>
        <w:t xml:space="preserve">قبل رفع أي نقطةٍ إلى المالك، ابحث فيها بهذا الترتيب — ولا يُرفع سؤالٌ قبل استيفائه:</w:t>
      </w:r>
    </w:p>
    <w:tbl>
      <w:tblPr>
        <w:bidiVisual/>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700"/>
        <w:gridCol w:w="7300"/>
      </w:tblGrid>
      <w:tr>
        <w:trPr>
          <w:tblHeader/>
        </w:trPr>
        <w:tc>
          <w:tcPr>
            <w:tcW w:type="dxa" w:w="700"/>
            <w:shd w:fill="1F3864" w:color="auto" w:val="clear"/>
            <w:tcMar>
              <w:top w:type="dxa" w:w="55"/>
              <w:left w:type="dxa" w:w="75"/>
              <w:bottom w:type="dxa" w:w="55"/>
              <w:right w:type="dxa" w:w="75"/>
            </w:tcMar>
          </w:tcPr>
          <w:p>
            <w:pPr>
              <w:bidi/>
              <w:spacing w:after="0" w:line="255"/>
              <w:jc w:val="center"/>
            </w:pPr>
            <w:r>
              <w:rPr>
                <w:rFonts w:ascii="Segoe UI" w:cs="Segoe UI" w:eastAsia="Segoe UI" w:hAnsi="Segoe UI"/>
                <w:b/>
                <w:bCs/>
                <w:color w:val="FFFFFF"/>
                <w:sz w:val="16"/>
                <w:szCs w:val="16"/>
                <w:rtl/>
              </w:rPr>
              <w:t xml:space="preserve">#</w:t>
            </w:r>
          </w:p>
        </w:tc>
        <w:tc>
          <w:tcPr>
            <w:tcW w:type="dxa" w:w="7300"/>
            <w:shd w:fill="1F3864" w:color="auto" w:val="clear"/>
            <w:tcMar>
              <w:top w:type="dxa" w:w="55"/>
              <w:left w:type="dxa" w:w="75"/>
              <w:bottom w:type="dxa" w:w="55"/>
              <w:right w:type="dxa" w:w="75"/>
            </w:tcMar>
          </w:tcPr>
          <w:p>
            <w:pPr>
              <w:bidi/>
              <w:spacing w:after="0" w:line="255"/>
              <w:jc w:val="center"/>
            </w:pPr>
            <w:r>
              <w:rPr>
                <w:rFonts w:ascii="Segoe UI" w:cs="Segoe UI" w:eastAsia="Segoe UI" w:hAnsi="Segoe UI"/>
                <w:b/>
                <w:bCs/>
                <w:color w:val="FFFFFF"/>
                <w:sz w:val="16"/>
                <w:szCs w:val="16"/>
                <w:rtl/>
              </w:rPr>
              <w:t xml:space="preserve">المصدر</w:t>
            </w:r>
          </w:p>
        </w:tc>
      </w:tr>
      <w:tr>
        <w:tc>
          <w:tcPr>
            <w:tcW w:type="dxa" w:w="7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١</w:t>
            </w:r>
          </w:p>
        </w:tc>
        <w:tc>
          <w:tcPr>
            <w:tcW w:type="dxa" w:w="73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سجل قرارات المالك — والقرارات المعتمدة فيه</w:t>
            </w:r>
          </w:p>
        </w:tc>
      </w:tr>
      <w:tr>
        <w:tc>
          <w:tcPr>
            <w:tcW w:type="dxa" w:w="7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٢</w:t>
            </w:r>
          </w:p>
        </w:tc>
        <w:tc>
          <w:tcPr>
            <w:tcW w:type="dxa" w:w="73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التعديلات اللاحقة على الحزمة</w:t>
            </w:r>
          </w:p>
        </w:tc>
      </w:tr>
      <w:tr>
        <w:tc>
          <w:tcPr>
            <w:tcW w:type="dxa" w:w="7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٣</w:t>
            </w:r>
          </w:p>
        </w:tc>
        <w:tc>
          <w:tcPr>
            <w:tcW w:type="dxa" w:w="73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الدستور</w:t>
            </w:r>
          </w:p>
        </w:tc>
      </w:tr>
      <w:tr>
        <w:tc>
          <w:tcPr>
            <w:tcW w:type="dxa" w:w="7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٤</w:t>
            </w:r>
          </w:p>
        </w:tc>
        <w:tc>
          <w:tcPr>
            <w:tcW w:type="dxa" w:w="73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الدليل المعماري الموحد</w:t>
            </w:r>
          </w:p>
        </w:tc>
      </w:tr>
      <w:tr>
        <w:tc>
          <w:tcPr>
            <w:tcW w:type="dxa" w:w="7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٥</w:t>
            </w:r>
          </w:p>
        </w:tc>
        <w:tc>
          <w:tcPr>
            <w:tcW w:type="dxa" w:w="73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ملف الإدارة المستهدفة في موجتها</w:t>
            </w:r>
          </w:p>
        </w:tc>
      </w:tr>
      <w:tr>
        <w:tc>
          <w:tcPr>
            <w:tcW w:type="dxa" w:w="7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٦</w:t>
            </w:r>
          </w:p>
        </w:tc>
        <w:tc>
          <w:tcPr>
            <w:tcW w:type="dxa" w:w="73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ملف القيادة</w:t>
            </w:r>
          </w:p>
        </w:tc>
      </w:tr>
      <w:tr>
        <w:tc>
          <w:tcPr>
            <w:tcW w:type="dxa" w:w="7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٧</w:t>
            </w:r>
          </w:p>
        </w:tc>
        <w:tc>
          <w:tcPr>
            <w:tcW w:type="dxa" w:w="73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تقارير المصالحة والمراجعة</w:t>
            </w:r>
          </w:p>
        </w:tc>
      </w:tr>
      <w:tr>
        <w:tc>
          <w:tcPr>
            <w:tcW w:type="dxa" w:w="7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٨</w:t>
            </w:r>
          </w:p>
        </w:tc>
        <w:tc>
          <w:tcPr>
            <w:tcW w:type="dxa" w:w="73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أدلة الواقع — سجلات النظام واللقطات</w:t>
            </w:r>
          </w:p>
        </w:tc>
      </w:tr>
    </w:tbl>
    <w:p>
      <w:pPr>
        <w:bidi/>
        <w:spacing w:after="110" w:line="300"/>
        <w:jc w:val="both"/>
      </w:pPr>
      <w:r>
        <w:rPr>
          <w:rFonts w:ascii="Segoe UI" w:cs="Segoe UI" w:eastAsia="Segoe UI" w:hAnsi="Segoe UI"/>
          <w:b/>
          <w:bCs/>
          <w:sz w:val="21"/>
          <w:szCs w:val="21"/>
          <w:rtl/>
        </w:rPr>
        <w:t xml:space="preserve">ثم: </w:t>
      </w:r>
      <w:r>
        <w:rPr>
          <w:rFonts w:ascii="Segoe UI" w:cs="Segoe UI" w:eastAsia="Segoe UI" w:hAnsi="Segoe UI"/>
          <w:sz w:val="21"/>
          <w:szCs w:val="21"/>
          <w:rtl/>
        </w:rPr>
        <w:t xml:space="preserve">إن وُجد الحكم ← طبِّقه ولا تسأل · وإن وُجد تعارضٌ ← ارفع التعارض وحده لا السؤال · وإن لم يوجد ← ارفعه قرارًا حقيقيًّا مع ذكر المصادر الثمانية التي بحثتَ فيها.</w:t>
      </w:r>
    </w:p>
    <w:p>
      <w:pPr>
        <w:pStyle w:val="Heading1"/>
        <w:bidi/>
        <w:spacing w:after="130" w:before="300"/>
        <w:jc w:val="right"/>
      </w:pPr>
      <w:r>
        <w:rPr>
          <w:rFonts w:ascii="Segoe UI" w:cs="Segoe UI" w:eastAsia="Segoe UI" w:hAnsi="Segoe UI"/>
          <w:b/>
          <w:bCs/>
          <w:color w:val="1F3864"/>
          <w:sz w:val="29"/>
          <w:szCs w:val="29"/>
          <w:rtl/>
        </w:rPr>
        <w:t xml:space="preserve">٧ · المحظورات</w:t>
      </w:r>
    </w:p>
    <w:p>
      <w:pPr>
        <w:pStyle w:val="ListParagraph"/>
        <w:numPr>
          <w:ilvl w:val="0"/>
          <w:numId w:val="2"/>
        </w:numPr>
        <w:bidi/>
        <w:spacing w:after="85" w:line="300"/>
        <w:jc w:val="both"/>
      </w:pPr>
      <w:r>
        <w:rPr>
          <w:rFonts w:ascii="Segoe UI" w:cs="Segoe UI" w:eastAsia="Segoe UI" w:hAnsi="Segoe UI"/>
          <w:sz w:val="21"/>
          <w:szCs w:val="21"/>
          <w:rtl/>
        </w:rPr>
        <w:t xml:space="preserve">لا يُعاد تنفيذ ما ثبتت صحته بالدليل.</w:t>
      </w:r>
    </w:p>
    <w:p>
      <w:pPr>
        <w:pStyle w:val="ListParagraph"/>
        <w:numPr>
          <w:ilvl w:val="0"/>
          <w:numId w:val="2"/>
        </w:numPr>
        <w:bidi/>
        <w:spacing w:after="85" w:line="300"/>
        <w:jc w:val="both"/>
      </w:pPr>
      <w:r>
        <w:rPr>
          <w:rFonts w:ascii="Segoe UI" w:cs="Segoe UI" w:eastAsia="Segoe UI" w:hAnsi="Segoe UI"/>
          <w:sz w:val="21"/>
          <w:szCs w:val="21"/>
          <w:rtl/>
        </w:rPr>
        <w:t xml:space="preserve">لا يُرفع سؤالٌ سبق حسمه — ولا يُرفع سؤالٌ بلا بحثٍ في المصادر الثمانية.</w:t>
      </w:r>
    </w:p>
    <w:p>
      <w:pPr>
        <w:pStyle w:val="ListParagraph"/>
        <w:numPr>
          <w:ilvl w:val="0"/>
          <w:numId w:val="2"/>
        </w:numPr>
        <w:bidi/>
        <w:spacing w:after="85" w:line="300"/>
        <w:jc w:val="both"/>
      </w:pPr>
      <w:r>
        <w:rPr>
          <w:rFonts w:ascii="Segoe UI" w:cs="Segoe UI" w:eastAsia="Segoe UI" w:hAnsi="Segoe UI"/>
          <w:sz w:val="21"/>
          <w:szCs w:val="21"/>
          <w:rtl/>
        </w:rPr>
        <w:t xml:space="preserve">لا تُوقَف إدارةٌ بقيمةٍ تشغيلية أو بقرارٍ لا ينطبق على مرحلة البناء.</w:t>
      </w:r>
    </w:p>
    <w:p>
      <w:pPr>
        <w:pStyle w:val="ListParagraph"/>
        <w:numPr>
          <w:ilvl w:val="0"/>
          <w:numId w:val="2"/>
        </w:numPr>
        <w:bidi/>
        <w:spacing w:after="85" w:line="300"/>
        <w:jc w:val="both"/>
      </w:pPr>
      <w:r>
        <w:rPr>
          <w:rFonts w:ascii="Segoe UI" w:cs="Segoe UI" w:eastAsia="Segoe UI" w:hAnsi="Segoe UI"/>
          <w:sz w:val="21"/>
          <w:szCs w:val="21"/>
          <w:rtl/>
        </w:rPr>
        <w:t xml:space="preserve">لا يُعدَّل ملفٌ للتنسيق ولا بالاجتهاد — ولا يُجمَّد ملفٌ متأثرٌ بحجة أنه خارج النطاق.</w:t>
      </w:r>
    </w:p>
    <w:p>
      <w:pPr>
        <w:pStyle w:val="ListParagraph"/>
        <w:numPr>
          <w:ilvl w:val="0"/>
          <w:numId w:val="2"/>
        </w:numPr>
        <w:bidi/>
        <w:spacing w:after="85" w:line="300"/>
        <w:jc w:val="both"/>
      </w:pPr>
      <w:r>
        <w:rPr>
          <w:rFonts w:ascii="Segoe UI" w:cs="Segoe UI" w:eastAsia="Segoe UI" w:hAnsi="Segoe UI"/>
          <w:sz w:val="21"/>
          <w:szCs w:val="21"/>
          <w:rtl/>
        </w:rPr>
        <w:t xml:space="preserve">لا يُختار أحد نصّين متعارضين بالاجتهاد — يُرفع التعارض.</w:t>
      </w:r>
    </w:p>
    <w:p>
      <w:pPr>
        <w:pStyle w:val="ListParagraph"/>
        <w:numPr>
          <w:ilvl w:val="0"/>
          <w:numId w:val="2"/>
        </w:numPr>
        <w:bidi/>
        <w:spacing w:after="85" w:line="300"/>
        <w:jc w:val="both"/>
      </w:pPr>
      <w:r>
        <w:rPr>
          <w:rFonts w:ascii="Segoe UI" w:cs="Segoe UI" w:eastAsia="Segoe UI" w:hAnsi="Segoe UI"/>
          <w:sz w:val="21"/>
          <w:szCs w:val="21"/>
          <w:rtl/>
        </w:rPr>
        <w:t xml:space="preserve">لا يُقاس والشجرة متحركة — تُقفل إلى صفرٍ ثم يُقاس، وكل رقمٍ بمعرّف لقطته.</w:t>
      </w:r>
    </w:p>
    <w:p>
      <w:pPr>
        <w:pStyle w:val="ListParagraph"/>
        <w:numPr>
          <w:ilvl w:val="0"/>
          <w:numId w:val="2"/>
        </w:numPr>
        <w:bidi/>
        <w:spacing w:after="85" w:line="300"/>
        <w:jc w:val="both"/>
      </w:pPr>
      <w:r>
        <w:rPr>
          <w:rFonts w:ascii="Segoe UI" w:cs="Segoe UI" w:eastAsia="Segoe UI" w:hAnsi="Segoe UI"/>
          <w:sz w:val="21"/>
          <w:szCs w:val="21"/>
          <w:rtl/>
        </w:rPr>
        <w:t xml:space="preserve">لا يُعلَن إغلاق مرحلةٍ قبل مراجعتها عكسيًّا مقابل ملفاتها.</w:t>
      </w:r>
    </w:p>
    <w:p>
      <w:pPr>
        <w:pStyle w:val="Heading1"/>
        <w:bidi/>
        <w:spacing w:after="130" w:before="300"/>
        <w:jc w:val="right"/>
      </w:pPr>
      <w:r>
        <w:rPr>
          <w:rFonts w:ascii="Segoe UI" w:cs="Segoe UI" w:eastAsia="Segoe UI" w:hAnsi="Segoe UI"/>
          <w:b/>
          <w:bCs/>
          <w:color w:val="1F3864"/>
          <w:sz w:val="29"/>
          <w:szCs w:val="29"/>
          <w:rtl/>
        </w:rPr>
        <w:t xml:space="preserve">٨ · معيار القبول</w:t>
      </w:r>
    </w:p>
    <w:tbl>
      <w:tblPr>
        <w:bidiVisual/>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5000"/>
        <w:gridCol w:w="3000"/>
      </w:tblGrid>
      <w:tr>
        <w:trPr>
          <w:tblHeader/>
        </w:trPr>
        <w:tc>
          <w:tcPr>
            <w:tcW w:type="dxa" w:w="5000"/>
            <w:shd w:fill="1F3864" w:color="auto" w:val="clear"/>
            <w:tcMar>
              <w:top w:type="dxa" w:w="55"/>
              <w:left w:type="dxa" w:w="75"/>
              <w:bottom w:type="dxa" w:w="55"/>
              <w:right w:type="dxa" w:w="75"/>
            </w:tcMar>
          </w:tcPr>
          <w:p>
            <w:pPr>
              <w:bidi/>
              <w:spacing w:after="0" w:line="255"/>
              <w:jc w:val="center"/>
            </w:pPr>
            <w:r>
              <w:rPr>
                <w:rFonts w:ascii="Segoe UI" w:cs="Segoe UI" w:eastAsia="Segoe UI" w:hAnsi="Segoe UI"/>
                <w:b/>
                <w:bCs/>
                <w:color w:val="FFFFFF"/>
                <w:sz w:val="16"/>
                <w:szCs w:val="16"/>
                <w:rtl/>
              </w:rPr>
              <w:t xml:space="preserve">المقياس</w:t>
            </w:r>
          </w:p>
        </w:tc>
        <w:tc>
          <w:tcPr>
            <w:tcW w:type="dxa" w:w="3000"/>
            <w:shd w:fill="1F3864" w:color="auto" w:val="clear"/>
            <w:tcMar>
              <w:top w:type="dxa" w:w="55"/>
              <w:left w:type="dxa" w:w="75"/>
              <w:bottom w:type="dxa" w:w="55"/>
              <w:right w:type="dxa" w:w="75"/>
            </w:tcMar>
          </w:tcPr>
          <w:p>
            <w:pPr>
              <w:bidi/>
              <w:spacing w:after="0" w:line="255"/>
              <w:jc w:val="center"/>
            </w:pPr>
            <w:r>
              <w:rPr>
                <w:rFonts w:ascii="Segoe UI" w:cs="Segoe UI" w:eastAsia="Segoe UI" w:hAnsi="Segoe UI"/>
                <w:b/>
                <w:bCs/>
                <w:color w:val="FFFFFF"/>
                <w:sz w:val="16"/>
                <w:szCs w:val="16"/>
                <w:rtl/>
              </w:rPr>
              <w:t xml:space="preserve">المستهدف</w:t>
            </w:r>
          </w:p>
        </w:tc>
      </w:tr>
      <w:tr>
        <w:tc>
          <w:tcPr>
            <w:tcW w:type="dxa" w:w="50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نقاطٌ لها قراران حاكمان بلا حسم</w:t>
            </w:r>
          </w:p>
        </w:tc>
        <w:tc>
          <w:tcPr>
            <w:tcW w:type="dxa" w:w="30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صفر</w:t>
            </w:r>
          </w:p>
        </w:tc>
      </w:tr>
      <w:tr>
        <w:tc>
          <w:tcPr>
            <w:tcW w:type="dxa" w:w="50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قرارٌ مفتوح بلا حكمٍ من الستة</w:t>
            </w:r>
          </w:p>
        </w:tc>
        <w:tc>
          <w:tcPr>
            <w:tcW w:type="dxa" w:w="30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صفر</w:t>
            </w:r>
          </w:p>
        </w:tc>
      </w:tr>
      <w:tr>
        <w:tc>
          <w:tcPr>
            <w:tcW w:type="dxa" w:w="50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قرارٌ مفتوح بلا درجة حجب</w:t>
            </w:r>
          </w:p>
        </w:tc>
        <w:tc>
          <w:tcPr>
            <w:tcW w:type="dxa" w:w="30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صفر</w:t>
            </w:r>
          </w:p>
        </w:tc>
      </w:tr>
      <w:tr>
        <w:tc>
          <w:tcPr>
            <w:tcW w:type="dxa" w:w="50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متطلبٌ بلا حكمٍ ودليل</w:t>
            </w:r>
          </w:p>
        </w:tc>
        <w:tc>
          <w:tcPr>
            <w:tcW w:type="dxa" w:w="30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صفر</w:t>
            </w:r>
          </w:p>
        </w:tc>
      </w:tr>
      <w:tr>
        <w:tc>
          <w:tcPr>
            <w:tcW w:type="dxa" w:w="50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متطلبٌ موسومٌ منفَّذًا بلا حالة إغلاق بالدليل</w:t>
            </w:r>
          </w:p>
        </w:tc>
        <w:tc>
          <w:tcPr>
            <w:tcW w:type="dxa" w:w="30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صفر</w:t>
            </w:r>
          </w:p>
        </w:tc>
      </w:tr>
      <w:tr>
        <w:tc>
          <w:tcPr>
            <w:tcW w:type="dxa" w:w="50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قرارٌ حاكم لم يُسقَط على كل ما يتأثر به</w:t>
            </w:r>
          </w:p>
        </w:tc>
        <w:tc>
          <w:tcPr>
            <w:tcW w:type="dxa" w:w="30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صفر</w:t>
            </w:r>
          </w:p>
        </w:tc>
      </w:tr>
      <w:tr>
        <w:tc>
          <w:tcPr>
            <w:tcW w:type="dxa" w:w="50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حاجزٌ قائمٌ وهو غير صحيح</w:t>
            </w:r>
          </w:p>
        </w:tc>
        <w:tc>
          <w:tcPr>
            <w:tcW w:type="dxa" w:w="30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صفر</w:t>
            </w:r>
          </w:p>
        </w:tc>
      </w:tr>
      <w:tr>
        <w:tc>
          <w:tcPr>
            <w:tcW w:type="dxa" w:w="50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إدارةٌ بلا نقطة استئناف</w:t>
            </w:r>
          </w:p>
        </w:tc>
        <w:tc>
          <w:tcPr>
            <w:tcW w:type="dxa" w:w="30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صفر</w:t>
            </w:r>
          </w:p>
        </w:tc>
      </w:tr>
      <w:tr>
        <w:tc>
          <w:tcPr>
            <w:tcW w:type="dxa" w:w="50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قدرةٌ منصّية مشتركة بلا نقطة استئناف</w:t>
            </w:r>
          </w:p>
        </w:tc>
        <w:tc>
          <w:tcPr>
            <w:tcW w:type="dxa" w:w="30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صفر</w:t>
            </w:r>
          </w:p>
        </w:tc>
      </w:tr>
      <w:tr>
        <w:tc>
          <w:tcPr>
            <w:tcW w:type="dxa" w:w="50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قيمةٌ مؤجَّلة بلا بيان المرحلة التي تصير عندها حاجزًا</w:t>
            </w:r>
          </w:p>
        </w:tc>
        <w:tc>
          <w:tcPr>
            <w:tcW w:type="dxa" w:w="30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صفر</w:t>
            </w:r>
          </w:p>
        </w:tc>
      </w:tr>
      <w:tr>
        <w:tc>
          <w:tcPr>
            <w:tcW w:type="dxa" w:w="50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بندٌ غير ملتزم في الشجرة وقت القياس</w:t>
            </w:r>
          </w:p>
        </w:tc>
        <w:tc>
          <w:tcPr>
            <w:tcW w:type="dxa" w:w="30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صفر</w:t>
            </w:r>
          </w:p>
        </w:tc>
      </w:tr>
      <w:tr>
        <w:tc>
          <w:tcPr>
            <w:tcW w:type="dxa" w:w="50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مرحلةٌ أُعلن إغلاقها بلا مراجعة عكسية</w:t>
            </w:r>
          </w:p>
        </w:tc>
        <w:tc>
          <w:tcPr>
            <w:tcW w:type="dxa" w:w="30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صفر</w:t>
            </w:r>
          </w:p>
        </w:tc>
      </w:tr>
    </w:tbl>
    <w:p>
      <w:pPr>
        <w:pStyle w:val="Heading1"/>
        <w:bidi/>
        <w:spacing w:after="130" w:before="300"/>
        <w:jc w:val="right"/>
      </w:pPr>
      <w:r>
        <w:rPr>
          <w:rFonts w:ascii="Segoe UI" w:cs="Segoe UI" w:eastAsia="Segoe UI" w:hAnsi="Segoe UI"/>
          <w:b/>
          <w:bCs/>
          <w:color w:val="1F3864"/>
          <w:sz w:val="29"/>
          <w:szCs w:val="29"/>
          <w:rtl/>
        </w:rPr>
        <w:t xml:space="preserve">٩ · المطلوب في ردّك — بهذا الترتيب</w:t>
      </w:r>
    </w:p>
    <w:p>
      <w:pPr>
        <w:pStyle w:val="ListParagraph"/>
        <w:numPr>
          <w:ilvl w:val="0"/>
          <w:numId w:val="2"/>
        </w:numPr>
        <w:bidi/>
        <w:spacing w:after="85" w:line="300"/>
        <w:jc w:val="both"/>
      </w:pPr>
      <w:r>
        <w:rPr>
          <w:rFonts w:ascii="Segoe UI" w:cs="Segoe UI" w:eastAsia="Segoe UI" w:hAnsi="Segoe UI"/>
          <w:b/>
          <w:bCs/>
          <w:sz w:val="21"/>
          <w:szCs w:val="21"/>
          <w:rtl/>
        </w:rPr>
        <w:t xml:space="preserve">أولًا: </w:t>
      </w:r>
      <w:r>
        <w:rPr>
          <w:rFonts w:ascii="Segoe UI" w:cs="Segoe UI" w:eastAsia="Segoe UI" w:hAnsi="Segoe UI"/>
          <w:sz w:val="21"/>
          <w:szCs w:val="21"/>
          <w:rtl/>
        </w:rPr>
        <w:t xml:space="preserve">سجل الاستئناف — واحدٌ وعشرون سطرًا بأعمدته الستة. </w:t>
      </w:r>
      <w:r>
        <w:rPr>
          <w:rFonts w:ascii="Segoe UI" w:cs="Segoe UI" w:eastAsia="Segoe UI" w:hAnsi="Segoe UI"/>
          <w:b/>
          <w:bCs/>
          <w:sz w:val="21"/>
          <w:szCs w:val="21"/>
          <w:rtl/>
        </w:rPr>
        <w:t xml:space="preserve">وهذا قبل أي عملٍ آخر.</w:t>
      </w:r>
    </w:p>
    <w:p>
      <w:pPr>
        <w:pStyle w:val="ListParagraph"/>
        <w:numPr>
          <w:ilvl w:val="0"/>
          <w:numId w:val="2"/>
        </w:numPr>
        <w:bidi/>
        <w:spacing w:after="85" w:line="300"/>
        <w:jc w:val="both"/>
      </w:pPr>
      <w:r>
        <w:rPr>
          <w:rFonts w:ascii="Segoe UI" w:cs="Segoe UI" w:eastAsia="Segoe UI" w:hAnsi="Segoe UI"/>
          <w:sz w:val="21"/>
          <w:szCs w:val="21"/>
          <w:rtl/>
        </w:rPr>
        <w:t xml:space="preserve">ثم سجل استئناف القدرات المنصّية المشتركة — بالأعمدة نفسها ومالكٍ تقنيٍّ لكل قدرة.</w:t>
      </w:r>
    </w:p>
    <w:p>
      <w:pPr>
        <w:pStyle w:val="ListParagraph"/>
        <w:numPr>
          <w:ilvl w:val="0"/>
          <w:numId w:val="2"/>
        </w:numPr>
        <w:bidi/>
        <w:spacing w:after="85" w:line="300"/>
        <w:jc w:val="both"/>
      </w:pPr>
      <w:r>
        <w:rPr>
          <w:rFonts w:ascii="Segoe UI" w:cs="Segoe UI" w:eastAsia="Segoe UI" w:hAnsi="Segoe UI"/>
          <w:sz w:val="21"/>
          <w:szCs w:val="21"/>
          <w:rtl/>
        </w:rPr>
        <w:t xml:space="preserve">ثم جدول القرارات المفتوحة بحكمها من الستة ودرجة حجبها · ولكل قيمةٍ مؤجَّلة المرحلة التي تصير عندها حاجزًا.</w:t>
      </w:r>
    </w:p>
    <w:p>
      <w:pPr>
        <w:pStyle w:val="ListParagraph"/>
        <w:numPr>
          <w:ilvl w:val="0"/>
          <w:numId w:val="2"/>
        </w:numPr>
        <w:bidi/>
        <w:spacing w:after="85" w:line="300"/>
        <w:jc w:val="both"/>
      </w:pPr>
      <w:r>
        <w:rPr>
          <w:rFonts w:ascii="Segoe UI" w:cs="Segoe UI" w:eastAsia="Segoe UI" w:hAnsi="Segoe UI"/>
          <w:sz w:val="21"/>
          <w:szCs w:val="21"/>
          <w:rtl/>
        </w:rPr>
        <w:t xml:space="preserve">ثم جدول المتطلبات بحكمها ودليلها — وعدد «منفَّذ ولم يُثبت» منفصلًا عن «مغلق بالدليل» · وعدد ما خرج من المقام منفصلًا.</w:t>
      </w:r>
    </w:p>
    <w:p>
      <w:pPr>
        <w:pStyle w:val="ListParagraph"/>
        <w:numPr>
          <w:ilvl w:val="0"/>
          <w:numId w:val="2"/>
        </w:numPr>
        <w:bidi/>
        <w:spacing w:after="85" w:line="300"/>
        <w:jc w:val="both"/>
      </w:pPr>
      <w:r>
        <w:rPr>
          <w:rFonts w:ascii="Segoe UI" w:cs="Segoe UI" w:eastAsia="Segoe UI" w:hAnsi="Segoe UI"/>
          <w:sz w:val="21"/>
          <w:szCs w:val="21"/>
          <w:rtl/>
        </w:rPr>
        <w:t xml:space="preserve">ثم قائمة الحواجز التي رُفعت بوصفها غير صحيحة، وسبب رفع كلٍّ.</w:t>
      </w:r>
    </w:p>
    <w:p>
      <w:pPr>
        <w:pStyle w:val="ListParagraph"/>
        <w:numPr>
          <w:ilvl w:val="0"/>
          <w:numId w:val="2"/>
        </w:numPr>
        <w:bidi/>
        <w:spacing w:after="85" w:line="300"/>
        <w:jc w:val="both"/>
      </w:pPr>
      <w:r>
        <w:rPr>
          <w:rFonts w:ascii="Segoe UI" w:cs="Segoe UI" w:eastAsia="Segoe UI" w:hAnsi="Segoe UI"/>
          <w:sz w:val="21"/>
          <w:szCs w:val="21"/>
          <w:rtl/>
        </w:rPr>
        <w:t xml:space="preserve">ثم قائمة التعارضات إن وُجدت — بلا اختيارٍ لأحد طرفيها.</w:t>
      </w:r>
    </w:p>
    <w:p>
      <w:pPr>
        <w:pStyle w:val="ListParagraph"/>
        <w:numPr>
          <w:ilvl w:val="0"/>
          <w:numId w:val="2"/>
        </w:numPr>
        <w:bidi/>
        <w:spacing w:after="85" w:line="300"/>
        <w:jc w:val="both"/>
      </w:pPr>
      <w:r>
        <w:rPr>
          <w:rFonts w:ascii="Segoe UI" w:cs="Segoe UI" w:eastAsia="Segoe UI" w:hAnsi="Segoe UI"/>
          <w:sz w:val="21"/>
          <w:szCs w:val="21"/>
          <w:rtl/>
        </w:rPr>
        <w:t xml:space="preserve">وما لم تستطع قياسه — سمِّه ولا تخمّنه.</w:t>
      </w:r>
    </w:p>
    <w:p>
      <w:r>
        <w:br w:type="page"/>
      </w:r>
    </w:p>
    <w:p>
      <w:pPr>
        <w:pStyle w:val="Heading1"/>
        <w:bidi/>
        <w:spacing w:after="130" w:before="300"/>
        <w:jc w:val="right"/>
      </w:pPr>
      <w:r>
        <w:rPr>
          <w:rFonts w:ascii="Segoe UI" w:cs="Segoe UI" w:eastAsia="Segoe UI" w:hAnsi="Segoe UI"/>
          <w:b/>
          <w:bCs/>
          <w:color w:val="1F3864"/>
          <w:sz w:val="29"/>
          <w:szCs w:val="29"/>
          <w:rtl/>
        </w:rPr>
        <w:t xml:space="preserve">ملحق أ · قرارات تفصيلية نافذة</w:t>
      </w:r>
    </w:p>
    <w:p>
      <w:pPr>
        <w:bidi/>
        <w:spacing w:after="110" w:line="300"/>
        <w:jc w:val="both"/>
      </w:pPr>
      <w:r>
        <w:rPr>
          <w:rFonts w:ascii="Segoe UI" w:cs="Segoe UI" w:eastAsia="Segoe UI" w:hAnsi="Segoe UI"/>
          <w:sz w:val="21"/>
          <w:szCs w:val="21"/>
          <w:rtl/>
        </w:rPr>
        <w:t xml:space="preserve">تُطبَّق على الملفات وعلى كل ما يتأثر بها وفق المرحلة الرابعة.</w:t>
      </w:r>
    </w:p>
    <w:p>
      <w:pPr>
        <w:pStyle w:val="Heading2"/>
        <w:bidi/>
        <w:spacing w:after="130" w:before="200"/>
        <w:jc w:val="right"/>
      </w:pPr>
      <w:r>
        <w:rPr>
          <w:rFonts w:ascii="Segoe UI" w:cs="Segoe UI" w:eastAsia="Segoe UI" w:hAnsi="Segoe UI"/>
          <w:b/>
          <w:bCs/>
          <w:color w:val="1F3864"/>
          <w:sz w:val="24"/>
          <w:szCs w:val="24"/>
          <w:rtl/>
        </w:rPr>
        <w:t xml:space="preserve">أ·١ إسناد أمناء المخازن</w:t>
      </w:r>
    </w:p>
    <w:p>
      <w:pPr>
        <w:bidi/>
        <w:spacing w:after="110" w:line="300"/>
        <w:jc w:val="both"/>
      </w:pPr>
      <w:r>
        <w:rPr>
          <w:rFonts w:ascii="Segoe UI" w:cs="Segoe UI" w:eastAsia="Segoe UI" w:hAnsi="Segoe UI"/>
          <w:sz w:val="21"/>
          <w:szCs w:val="21"/>
          <w:rtl/>
        </w:rPr>
        <w:t xml:space="preserve">يُضاف سطحٌ تابع في إدارة المخازن بعد «سجل المخازن وأنواعها»: </w:t>
      </w:r>
      <w:r>
        <w:rPr>
          <w:rFonts w:ascii="Segoe UI" w:cs="Segoe UI" w:eastAsia="Segoe UI" w:hAnsi="Segoe UI"/>
          <w:b/>
          <w:bCs/>
          <w:sz w:val="21"/>
          <w:szCs w:val="21"/>
          <w:rtl/>
        </w:rPr>
        <w:t xml:space="preserve">«إسناد أمناء المخازن»</w:t>
      </w:r>
      <w:r>
        <w:rPr>
          <w:rFonts w:ascii="Segoe UI" w:cs="Segoe UI" w:eastAsia="Segoe UI" w:hAnsi="Segoe UI"/>
          <w:sz w:val="21"/>
          <w:szCs w:val="21"/>
          <w:rtl/>
        </w:rPr>
        <w:t xml:space="preserve"> — حبّته: مخزن × شخص × فترة إسناد. ويصير حقل الأمين في السجل الأمّ «الأمين النافذ اليوم» مشتقًّا منه.</w:t>
      </w:r>
    </w:p>
    <w:p>
      <w:pPr>
        <w:bidi/>
        <w:spacing w:after="110" w:line="300"/>
        <w:jc w:val="both"/>
      </w:pPr>
      <w:r>
        <w:rPr>
          <w:rFonts w:ascii="Segoe UI" w:cs="Segoe UI" w:eastAsia="Segoe UI" w:hAnsi="Segoe UI"/>
          <w:b/>
          <w:bCs/>
          <w:sz w:val="21"/>
          <w:szCs w:val="21"/>
          <w:rtl/>
        </w:rPr>
        <w:t xml:space="preserve">حقوله: </w:t>
      </w:r>
      <w:r>
        <w:rPr>
          <w:rFonts w:ascii="Segoe UI" w:cs="Segoe UI" w:eastAsia="Segoe UI" w:hAnsi="Segoe UI"/>
          <w:sz w:val="21"/>
          <w:szCs w:val="21"/>
          <w:rtl/>
        </w:rPr>
        <w:t xml:space="preserve">معرّف الإسناد · كود المخزن · مرجع الشخص بالموارد · اسم الأمين · نوع الإسناد (أساسي · بديل · مؤقت بالإنابة · مناوب بوردية) · الوردية · من تاريخ · إلى تاريخ · نطاق الصلاحية (استلام وصرف وجرد وتحويل · استلام وصرف · جرد · قراءة) · مرجع محضر التسليم · الأمين النافذ اليوم · حالة الإسناد · وكتلة التدقيق.</w:t>
      </w:r>
    </w:p>
    <w:p>
      <w:pPr>
        <w:bidi/>
        <w:spacing w:after="110" w:line="300"/>
        <w:jc w:val="both"/>
      </w:pPr>
      <w:r>
        <w:rPr>
          <w:rFonts w:ascii="Segoe UI" w:cs="Segoe UI" w:eastAsia="Segoe UI" w:hAnsi="Segoe UI"/>
          <w:b/>
          <w:bCs/>
          <w:sz w:val="21"/>
          <w:szCs w:val="21"/>
          <w:rtl/>
        </w:rPr>
        <w:t xml:space="preserve">العلة: </w:t>
      </w:r>
      <w:r>
        <w:rPr>
          <w:rFonts w:ascii="Segoe UI" w:cs="Segoe UI" w:eastAsia="Segoe UI" w:hAnsi="Segoe UI"/>
          <w:sz w:val="21"/>
          <w:szCs w:val="21"/>
          <w:rtl/>
        </w:rPr>
        <w:t xml:space="preserve">الأمين يتغيّر والحقل الواحد يمحو من سبقه — فلا يُعرف من كان أمينًا وقت الواقعة.</w:t>
      </w:r>
    </w:p>
    <w:p>
      <w:pPr>
        <w:pStyle w:val="Heading2"/>
        <w:bidi/>
        <w:spacing w:after="130" w:before="200"/>
        <w:jc w:val="right"/>
      </w:pPr>
      <w:r>
        <w:rPr>
          <w:rFonts w:ascii="Segoe UI" w:cs="Segoe UI" w:eastAsia="Segoe UI" w:hAnsi="Segoe UI"/>
          <w:b/>
          <w:bCs/>
          <w:color w:val="1F3864"/>
          <w:sz w:val="24"/>
          <w:szCs w:val="24"/>
          <w:rtl/>
        </w:rPr>
        <w:t xml:space="preserve">أ·٢ بُعد المخزن في العهد والمرتجعات</w:t>
      </w:r>
    </w:p>
    <w:p>
      <w:pPr>
        <w:bidi/>
        <w:spacing w:after="110" w:line="300"/>
        <w:jc w:val="both"/>
      </w:pPr>
      <w:r>
        <w:rPr>
          <w:rFonts w:ascii="Segoe UI" w:cs="Segoe UI" w:eastAsia="Segoe UI" w:hAnsi="Segoe UI"/>
          <w:sz w:val="21"/>
          <w:szCs w:val="21"/>
          <w:rtl/>
        </w:rPr>
        <w:t xml:space="preserve">يُضاف حقل «المخزن الصارف» بعد معرّف العهدة. </w:t>
      </w:r>
      <w:r>
        <w:rPr>
          <w:rFonts w:ascii="Segoe UI" w:cs="Segoe UI" w:eastAsia="Segoe UI" w:hAnsi="Segoe UI"/>
          <w:b/>
          <w:bCs/>
          <w:sz w:val="21"/>
          <w:szCs w:val="21"/>
          <w:rtl/>
        </w:rPr>
        <w:t xml:space="preserve">وبقية شاشات المخازن تحمل البُعد أصلًا، وشاشات البنود ترثه من أمّها ولا تكرّره — فلا يُضاف إلا هنا.</w:t>
      </w:r>
    </w:p>
    <w:p>
      <w:pPr>
        <w:pStyle w:val="Heading2"/>
        <w:bidi/>
        <w:spacing w:after="130" w:before="200"/>
        <w:jc w:val="right"/>
      </w:pPr>
      <w:r>
        <w:rPr>
          <w:rFonts w:ascii="Segoe UI" w:cs="Segoe UI" w:eastAsia="Segoe UI" w:hAnsi="Segoe UI"/>
          <w:b/>
          <w:bCs/>
          <w:color w:val="1F3864"/>
          <w:sz w:val="24"/>
          <w:szCs w:val="24"/>
          <w:rtl/>
        </w:rPr>
        <w:t xml:space="preserve">أ·٣ المادة ١١٣ — انطباق بوابة G0</w:t>
      </w:r>
    </w:p>
    <w:p>
      <w:pPr>
        <w:bidi/>
        <w:spacing w:after="110" w:line="300"/>
        <w:jc w:val="both"/>
      </w:pPr>
      <w:r>
        <w:rPr>
          <w:rFonts w:ascii="Segoe UI" w:cs="Segoe UI" w:eastAsia="Segoe UI" w:hAnsi="Segoe UI"/>
          <w:sz w:val="21"/>
          <w:szCs w:val="21"/>
          <w:rtl/>
        </w:rPr>
        <w:t xml:space="preserve">البوابة تمنع بناء وظيفةٍ أو معاملةٍ جديدة، ولا تمنع المصالحة المعمارية: تصحيح المالك أو الاسم المعروض أو المجموعة أو الترتيب · وتسجيل سطحٍ قائم · ونقل رابطٍ في الملاحة · وربط معرّف الشاشة. كلها خارج المنع ما لم تمسّ الحبّة أو المعاملة أو آلة الحالة أو مسار الكتابة أو منطق الاعتماد.</w:t>
      </w:r>
    </w:p>
    <w:p>
      <w:pPr>
        <w:pStyle w:val="Heading2"/>
        <w:bidi/>
        <w:spacing w:after="130" w:before="200"/>
        <w:jc w:val="right"/>
      </w:pPr>
      <w:r>
        <w:rPr>
          <w:rFonts w:ascii="Segoe UI" w:cs="Segoe UI" w:eastAsia="Segoe UI" w:hAnsi="Segoe UI"/>
          <w:b/>
          <w:bCs/>
          <w:color w:val="1F3864"/>
          <w:sz w:val="24"/>
          <w:szCs w:val="24"/>
          <w:rtl/>
        </w:rPr>
        <w:t xml:space="preserve">أ·٤ المادة ١١٤ — الطبقات الأربع</w:t>
      </w:r>
    </w:p>
    <w:p>
      <w:pPr>
        <w:bidi/>
        <w:spacing w:after="110" w:line="300"/>
        <w:jc w:val="both"/>
      </w:pPr>
      <w:r>
        <w:rPr>
          <w:rFonts w:ascii="Segoe UI" w:cs="Segoe UI" w:eastAsia="Segoe UI" w:hAnsi="Segoe UI"/>
          <w:sz w:val="21"/>
          <w:szCs w:val="21"/>
          <w:rtl/>
        </w:rPr>
        <w:t xml:space="preserve">الإدارة تملك العملية · والدور يحدد من ينفّذها · والنطاق (موقع أو مخزن أو مشروع) يحدد أي السجلات يبلغها · والشاشة واحدة مشتركة تُصفّى بالنطاق. ولا تُنسخ شاشة لكل صاحب نطاق، ولا يُرفع اسم دورٍ إلى مرتبة إدارة.</w:t>
      </w:r>
    </w:p>
    <w:p>
      <w:pPr>
        <w:pStyle w:val="Heading2"/>
        <w:bidi/>
        <w:spacing w:after="130" w:before="200"/>
        <w:jc w:val="right"/>
      </w:pPr>
      <w:r>
        <w:rPr>
          <w:rFonts w:ascii="Segoe UI" w:cs="Segoe UI" w:eastAsia="Segoe UI" w:hAnsi="Segoe UI"/>
          <w:b/>
          <w:bCs/>
          <w:color w:val="1F3864"/>
          <w:sz w:val="24"/>
          <w:szCs w:val="24"/>
          <w:rtl/>
        </w:rPr>
        <w:t xml:space="preserve">أ·٥ رموز دليل السايدبار المعياري</w:t>
      </w:r>
    </w:p>
    <w:p>
      <w:pPr>
        <w:bidi/>
        <w:spacing w:after="110" w:line="300"/>
        <w:jc w:val="both"/>
      </w:pPr>
      <w:r>
        <w:rPr>
          <w:rFonts w:ascii="Segoe UI" w:cs="Segoe UI" w:eastAsia="Segoe UI" w:hAnsi="Segoe UI"/>
          <w:b/>
          <w:bCs/>
          <w:sz w:val="21"/>
          <w:szCs w:val="21"/>
          <w:rtl/>
        </w:rPr>
        <w:t xml:space="preserve">واحدٌ وعشرون رمزًا: </w:t>
      </w:r>
      <w:r>
        <w:rPr>
          <w:rFonts w:ascii="Segoe UI" w:cs="Segoe UI" w:eastAsia="Segoe UI" w:hAnsi="Segoe UI"/>
          <w:sz w:val="21"/>
          <w:szCs w:val="21"/>
          <w:rtl/>
        </w:rPr>
        <w:t xml:space="preserve">سبع عشرة إدارة DEP-01 إلى DEP-17 · وأربعة خارج التعداد: EX-CEO مساحة الرئيس · EX-DVP مساحة نواب الرئيس · WS-MY مساحة عملي · IAF المراجعة الداخلية المستقلة.</w:t>
      </w:r>
    </w:p>
    <w:p>
      <w:pPr>
        <w:bidi/>
        <w:spacing w:after="110" w:line="300"/>
        <w:jc w:val="both"/>
      </w:pPr>
      <w:r>
        <w:rPr>
          <w:rFonts w:ascii="Segoe UI" w:cs="Segoe UI" w:eastAsia="Segoe UI" w:hAnsi="Segoe UI"/>
          <w:sz w:val="21"/>
          <w:szCs w:val="21"/>
          <w:rtl/>
        </w:rPr>
        <w:t xml:space="preserve">وأربع أوراقٍ في دليل الأدوار ليست إدارات: </w:t>
      </w:r>
      <w:r>
        <w:rPr>
          <w:rFonts w:ascii="Segoe UI" w:cs="Segoe UI" w:eastAsia="Segoe UI" w:hAnsi="Segoe UI"/>
          <w:sz w:val="21"/>
          <w:szCs w:val="21"/>
          <w:rtl/>
        </w:rPr>
        <w:t xml:space="preserve">أمين المستودع دورٌ في DEP-17 · والمدير المالي دورٌ في DEP-05 · وإدارة الصلاحيات ليست إدارة (السياسة عند الحوكمة · والحاجة عند مالك النطاق · والتنفيذ التقني قدرةٌ منصّية) · وإدارة الموقع القديم ورقةٌ مهجورة تُفحص قبل إقفالها: هل بقي مسار كتابةٍ فريدٌ يعتمد عليها؟ فإن بقي نُقل أولًا.</w:t>
      </w:r>
    </w:p>
    <w:p>
      <w:pPr>
        <w:pStyle w:val="Heading2"/>
        <w:bidi/>
        <w:spacing w:after="130" w:before="200"/>
        <w:jc w:val="right"/>
      </w:pPr>
      <w:r>
        <w:rPr>
          <w:rFonts w:ascii="Segoe UI" w:cs="Segoe UI" w:eastAsia="Segoe UI" w:hAnsi="Segoe UI"/>
          <w:b/>
          <w:bCs/>
          <w:color w:val="1F3864"/>
          <w:sz w:val="24"/>
          <w:szCs w:val="24"/>
          <w:rtl/>
        </w:rPr>
        <w:t xml:space="preserve">أ·٦ المقامان في تقارير تنظيف القوائم</w:t>
      </w:r>
    </w:p>
    <w:p>
      <w:pPr>
        <w:bidi/>
        <w:spacing w:after="110" w:line="300"/>
        <w:jc w:val="both"/>
      </w:pPr>
      <w:r>
        <w:rPr>
          <w:rFonts w:ascii="Segoe UI" w:cs="Segoe UI" w:eastAsia="Segoe UI" w:hAnsi="Segoe UI"/>
          <w:sz w:val="21"/>
          <w:szCs w:val="21"/>
          <w:rtl/>
        </w:rPr>
        <w:t xml:space="preserve">تنظيف القائمة الحية: ١٧٤ من ١٨١ · وتصرّف السجل الكلي: ١٩٧ من ٢٠٥. ويُكتب الرقمان معًا بعنوان مقام كلٍّ — فلكلٍّ سؤاله.</w:t>
      </w:r>
    </w:p>
    <w:p>
      <w:pPr>
        <w:pBdr>
          <w:top w:val="single" w:color="1F3864" w:sz="8"/>
        </w:pBdr>
        <w:spacing w:before="360"/>
      </w:pPr>
    </w:p>
    <w:p>
      <w:pPr>
        <w:bidi/>
        <w:spacing w:after="0" w:line="300"/>
        <w:jc w:val="both"/>
      </w:pPr>
      <w:r>
        <w:rPr>
          <w:rFonts w:ascii="Segoe UI" w:cs="Segoe UI" w:eastAsia="Segoe UI" w:hAnsi="Segoe UI"/>
          <w:b/>
          <w:bCs/>
          <w:color w:val="1F3864"/>
          <w:sz w:val="21"/>
          <w:szCs w:val="21"/>
          <w:rtl/>
        </w:rPr>
        <w:t xml:space="preserve">القاعدة الختامية: </w:t>
      </w:r>
      <w:r>
        <w:rPr>
          <w:rFonts w:ascii="Segoe UI" w:cs="Segoe UI" w:eastAsia="Segoe UI" w:hAnsi="Segoe UI"/>
          <w:sz w:val="21"/>
          <w:szCs w:val="21"/>
          <w:rtl/>
        </w:rPr>
        <w:t xml:space="preserve">قرارٌ حُسم ولم يُرحَّل إلى سجله يعود سؤالًا · وحاجزٌ غير صحيح يوقف العمل كما يوقفه الصحيح · وإدارةٌ بلا نقطة استئناف تبدأ من الصفر في كل جلسة · </w:t>
      </w:r>
      <w:r>
        <w:rPr>
          <w:rFonts w:ascii="Segoe UI" w:cs="Segoe UI" w:eastAsia="Segoe UI" w:hAnsi="Segoe UI"/>
          <w:b/>
          <w:bCs/>
          <w:sz w:val="21"/>
          <w:szCs w:val="21"/>
          <w:rtl/>
        </w:rPr>
        <w:t xml:space="preserve">ومتطلبٌ منفَّذٌ بلا إثبات ليس مغلقًا · ومرحلةٌ أُعلن إغلاقها بلا مراجعةٍ عكسية ليست مغلقة.</w:t>
      </w:r>
    </w:p>
    <w:sectPr>
      <w:headerReference w:type="default" r:id="rId7"/>
      <w:footerReference w:type="default" r:id="rId8"/>
      <w:pgSz w:w="11906" w:h="16838" w:orient="portrait"/>
      <w:pgMar w:top="1050" w:right="900" w:bottom="105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Segoe UI" w:cs="Segoe UI" w:eastAsia="Segoe UI" w:hAnsi="Segoe UI"/>
        <w:color w:val="44546A"/>
        <w:sz w:val="15"/>
        <w:szCs w:val="15"/>
      </w:rPr>
      <w:t xml:space="preserve">صفحة </w:t>
      <w:fldChar w:fldCharType="begin"/>
      <w:instrText xml:space="preserve">PAGE</w:instrText>
      <w:fldChar w:fldCharType="separate"/>
      <w:fldChar w:fldCharType="end"/>
      <w:t xml:space="preserve"> من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bidi/>
      <w:jc w:val="right"/>
    </w:pPr>
    <w:r>
      <w:rPr>
        <w:rFonts w:ascii="Segoe UI" w:cs="Segoe UI" w:eastAsia="Segoe UI" w:hAnsi="Segoe UI"/>
        <w:color w:val="44546A"/>
        <w:sz w:val="15"/>
        <w:szCs w:val="15"/>
        <w:rtl/>
      </w:rPr>
      <w:t xml:space="preserve">AMD-01 · أمر المراجعة العكسية الشاملة واستعادة التنفيذ — إكوبيشن · نظام إنجاز</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star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300"/>
      <w:jc w:val="right"/>
    </w:pPr>
    <w:rPr>
      <w:rFonts w:ascii="Segoe UI" w:cs="Segoe UI" w:eastAsia="Segoe UI" w:hAnsi="Segoe UI"/>
      <w:b/>
      <w:bCs/>
      <w:color w:val="1F3864"/>
      <w:sz w:val="29"/>
      <w:szCs w:val="29"/>
    </w:rPr>
  </w:style>
  <w:style w:type="paragraph" w:styleId="Heading2">
    <w:name w:val="Heading 2"/>
    <w:basedOn w:val="Normal"/>
    <w:next w:val="Normal"/>
    <w:qFormat/>
    <w:pPr>
      <w:spacing w:after="110" w:before="210"/>
      <w:jc w:val="right"/>
    </w:pPr>
    <w:rPr>
      <w:rFonts w:ascii="Segoe UI" w:cs="Segoe UI" w:eastAsia="Segoe UI" w:hAnsi="Segoe U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AMD-01 — أمر المراجعة العكسية الشاملة واستعادة التنفيذ</dc:title>
  <dc:creator>مالك إكوبيشن</dc:creator>
  <cp:lastModifiedBy>Un-named</cp:lastModifiedBy>
  <cp:revision>1</cp:revision>
  <dcterms:created xsi:type="dcterms:W3CDTF">2026-08-29T08:48:33.804Z</dcterms:created>
  <dcterms:modified xsi:type="dcterms:W3CDTF">2026-08-29T08:48:33.815Z</dcterms:modified>
</cp:coreProperties>
</file>

<file path=docProps/custom.xml><?xml version="1.0" encoding="utf-8"?>
<Properties xmlns="http://schemas.openxmlformats.org/officeDocument/2006/custom-properties" xmlns:vt="http://schemas.openxmlformats.org/officeDocument/2006/docPropsVTypes"/>
</file>