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/>
          <w:color w:val="0F2537"/>
          <w:sz w:val="26"/>
        </w:rPr>
        <w:t>MENOFYIA UNIVERSITY</w:t>
        <w:br/>
        <w:t>FACULTY OF COMPUTERS AND INFORMATION</w:t>
        <w:br/>
      </w:r>
      <w:r>
        <w:rPr>
          <w:rFonts w:ascii="Arial" w:hAnsi="Arial"/>
          <w:b/>
          <w:color w:val="0F2537"/>
          <w:sz w:val="32"/>
        </w:rPr>
        <w:t>جامعة المنوفية</w:t>
        <w:br/>
        <w:t>كلية الحاسبات والمعلومات</w:t>
        <w:br/>
      </w:r>
    </w:p>
    <w:p>
      <w:pPr>
        <w:jc w:val="center"/>
      </w:pPr>
      <w:r>
        <w:rPr>
          <w:rFonts w:ascii="Arial" w:hAnsi="Arial"/>
          <w:b/>
          <w:color w:val="505050"/>
          <w:sz w:val="24"/>
        </w:rPr>
        <w:t>2025-2026</w:t>
      </w:r>
    </w:p>
    <w:p>
      <w:pPr>
        <w:spacing w:after="360"/>
      </w:pPr>
    </w:p>
    <w:p>
      <w:pPr>
        <w:jc w:val="center"/>
      </w:pPr>
      <w:r>
        <w:rPr>
          <w:rFonts w:ascii="Georgia" w:hAnsi="Georgia"/>
          <w:b/>
          <w:color w:val="C0392B"/>
          <w:sz w:val="52"/>
        </w:rPr>
        <w:t>System Analysis Project</w:t>
        <w:br/>
      </w:r>
      <w:r>
        <w:rPr>
          <w:rFonts w:ascii="Calibri" w:hAnsi="Calibri"/>
          <w:b/>
          <w:color w:val="1B365D"/>
          <w:sz w:val="30"/>
        </w:rPr>
        <w:t>Research Publication Submission System (RPSS)</w:t>
      </w:r>
    </w:p>
    <w:p>
      <w:pPr>
        <w:spacing w:after="4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B365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Student Name</w:t>
            </w:r>
          </w:p>
        </w:tc>
        <w:tc>
          <w:tcPr>
            <w:tcW w:type="dxa" w:w="4680"/>
            <w:shd w:fill="1B365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Student ID</w:t>
            </w:r>
          </w:p>
        </w:tc>
      </w:tr>
      <w:tr>
        <w:tc>
          <w:tcPr>
            <w:tcW w:type="dxa" w:w="4680"/>
            <w:shd w:fill="F4F7FA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E1E1E"/>
                <w:sz w:val="20"/>
              </w:rPr>
              <w:t>Adham Atef Mohamed Ghareep</w:t>
            </w:r>
          </w:p>
        </w:tc>
        <w:tc>
          <w:tcPr>
            <w:tcW w:type="dxa" w:w="4680"/>
            <w:shd w:fill="F4F7FA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E1E1E"/>
                <w:sz w:val="20"/>
              </w:rPr>
              <w:t>1202540042</w:t>
            </w:r>
          </w:p>
        </w:tc>
      </w:tr>
      <w:tr>
        <w:tc>
          <w:tcPr>
            <w:tcW w:type="dxa" w:w="4680"/>
            <w:shd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1E1E"/>
                <w:sz w:val="20"/>
              </w:rPr>
              <w:t>Mohamed Emad Abdelaziz Abdulghaffar</w:t>
            </w:r>
          </w:p>
        </w:tc>
        <w:tc>
          <w:tcPr>
            <w:tcW w:type="dxa" w:w="4680"/>
            <w:shd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E1E1E"/>
                <w:sz w:val="20"/>
              </w:rPr>
              <w:t>1202540332</w:t>
            </w:r>
          </w:p>
        </w:tc>
      </w:tr>
      <w:tr>
        <w:tc>
          <w:tcPr>
            <w:tcW w:type="dxa" w:w="4680"/>
            <w:shd w:fill="F4F7FA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1E1E"/>
                <w:sz w:val="20"/>
              </w:rPr>
              <w:t>Ammar Ahmed Kamel</w:t>
            </w:r>
          </w:p>
        </w:tc>
        <w:tc>
          <w:tcPr>
            <w:tcW w:type="dxa" w:w="4680"/>
            <w:shd w:fill="F4F7FA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E1E1E"/>
                <w:sz w:val="20"/>
              </w:rPr>
              <w:t>1202541098</w:t>
            </w:r>
          </w:p>
        </w:tc>
      </w:tr>
      <w:tr>
        <w:tc>
          <w:tcPr>
            <w:tcW w:type="dxa" w:w="4680"/>
            <w:shd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1E1E"/>
                <w:sz w:val="20"/>
              </w:rPr>
              <w:t>Abdelwahd Anwar Abdelwahd</w:t>
            </w:r>
          </w:p>
        </w:tc>
        <w:tc>
          <w:tcPr>
            <w:tcW w:type="dxa" w:w="4680"/>
            <w:shd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E1E1E"/>
                <w:sz w:val="20"/>
              </w:rPr>
              <w:t>1202540763</w:t>
            </w:r>
          </w:p>
        </w:tc>
      </w:tr>
    </w:tbl>
    <w:p>
      <w:r>
        <w:br w:type="page"/>
      </w:r>
    </w:p>
    <w:p>
      <w:pPr>
        <w:spacing w:before="720" w:after="480"/>
      </w:pPr>
      <w:r>
        <w:rPr>
          <w:rFonts w:ascii="Georgia" w:hAnsi="Georgia"/>
          <w:b/>
          <w:color w:val="1B365D"/>
          <w:sz w:val="44"/>
        </w:rPr>
        <w:t>PROJECT IDENTIFICATION:</w:t>
      </w:r>
    </w:p>
    <w:p>
      <w:pPr>
        <w:spacing w:after="240"/>
      </w:pPr>
      <w:r>
        <w:rPr>
          <w:rFonts w:ascii="Georgia" w:hAnsi="Georgia"/>
          <w:b/>
          <w:i/>
          <w:color w:val="505050"/>
          <w:sz w:val="32"/>
        </w:rPr>
        <w:t>PROJECT NAME:</w:t>
      </w:r>
    </w:p>
    <w:p>
      <w:pPr>
        <w:spacing w:before="480"/>
        <w:jc w:val="center"/>
      </w:pPr>
      <w:r>
        <w:rPr>
          <w:rFonts w:ascii="Georgia" w:hAnsi="Georgia"/>
          <w:b/>
          <w:color w:val="C0392B"/>
          <w:sz w:val="52"/>
        </w:rPr>
        <w:t>Research Publication</w:t>
        <w:br/>
        <w:t>Submission System</w:t>
      </w:r>
    </w:p>
    <w:p>
      <w:r>
        <w:br w:type="page"/>
      </w:r>
    </w:p>
    <w:p>
      <w:pPr>
        <w:spacing w:after="360"/>
      </w:pPr>
      <w:r>
        <w:rPr>
          <w:rFonts w:ascii="Georgia" w:hAnsi="Georgia"/>
          <w:b/>
          <w:color w:val="1B365D"/>
          <w:sz w:val="40"/>
        </w:rPr>
        <w:t>SYSTEM REQUEST:</w:t>
      </w:r>
    </w:p>
    <w:p>
      <w:r>
        <w:rPr>
          <w:rFonts w:ascii="Arial" w:hAnsi="Arial"/>
          <w:b/>
          <w:color w:val="C0392B"/>
          <w:sz w:val="26"/>
        </w:rPr>
        <w:t xml:space="preserve">Project Sponsor: </w:t>
      </w:r>
      <w:r>
        <w:rPr>
          <w:rFonts w:ascii="Arial" w:hAnsi="Arial"/>
          <w:sz w:val="22"/>
        </w:rPr>
        <w:t>University Scientific Research Council &amp; Academic Publishing Deanship.</w:t>
      </w:r>
    </w:p>
    <w:p>
      <w:pPr>
        <w:spacing w:before="240"/>
      </w:pPr>
      <w:r>
        <w:rPr>
          <w:rFonts w:ascii="Arial" w:hAnsi="Arial"/>
          <w:b/>
          <w:color w:val="C0392B"/>
          <w:sz w:val="26"/>
        </w:rPr>
        <w:t>Business Issue / Problem Statement: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Severe delays in paper peer-review workflows, taking up to 6–12 months for single manuscript evaluation.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Manual email-based submission tracking leads to lost research drafts, missing reviewer feedback, and communication errors.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Difficulty in matching submitted research papers with domain-specific peer reviewers.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Lack of integrated electronic payment gateways for manuscript processing charges (MPC) and publication fees.</w:t>
      </w:r>
    </w:p>
    <w:p>
      <w:pPr>
        <w:spacing w:before="240"/>
      </w:pPr>
      <w:r>
        <w:rPr>
          <w:rFonts w:ascii="Arial" w:hAnsi="Arial"/>
          <w:b/>
          <w:color w:val="C0392B"/>
          <w:sz w:val="26"/>
        </w:rPr>
        <w:t>Business Needs: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Automate manuscript submission, blind peer-review assignment, and editorial decision workflows.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Provide transparent real-time tracking for researchers regarding manuscript statuses.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Streamline publication fee collection and journal indexing management.</w:t>
      </w:r>
    </w:p>
    <w:p>
      <w:pPr>
        <w:spacing w:before="240"/>
      </w:pPr>
      <w:r>
        <w:rPr>
          <w:rFonts w:ascii="Arial" w:hAnsi="Arial"/>
          <w:b/>
          <w:color w:val="C0392B"/>
          <w:sz w:val="26"/>
        </w:rPr>
        <w:t>Business Requirements: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Web portal for researchers to upload PDF manuscripts, cover letters, and supplementary data.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Automated reviewer recommendation system based on research domain and keywords.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Double-blind peer-review management portal with scorecards and revision upload tools.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Integrated secure online payment gateway for publication fees (Visa/Mastercard, Fawry).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Digital publishing dashboard for volume/issue release, DOI generation, and PDF downloads.</w:t>
      </w:r>
    </w:p>
    <w:p>
      <w:pPr>
        <w:spacing w:before="240"/>
      </w:pPr>
      <w:r>
        <w:rPr>
          <w:rFonts w:ascii="Arial" w:hAnsi="Arial"/>
          <w:b/>
          <w:color w:val="C0392B"/>
          <w:sz w:val="26"/>
        </w:rPr>
        <w:t>Business Value: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40% reduction in manuscript evaluation and publication cycle time.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50% increase in research submission volume due to streamlined user experience.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100,000 EGP saved annually in printing, postal mailings, and administrative overhead.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Enhanced university journal ranking and international research indexing.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