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rFonts w:ascii="Arial" w:cs="Arial" w:eastAsia="Arial" w:hAnsi="Arial"/>
          <w:b w:val="false"/>
          <w:bCs w:val="false"/>
          <w:i w:val="false"/>
          <w:iCs w:val="false"/>
          <w:color w:val="000000"/>
          <w:sz w:val="22"/>
          <w:szCs w:val="22"/>
        </w:rPr>
        <w:t xml:space="preserve"/>
      </w:r>
    </w:p>
    <w:p>
      <w:pPr>
        <w:spacing w:after="40" w:before="0"/>
        <w:jc w:val="center"/>
      </w:pPr>
      <w:r>
        <w:rPr>
          <w:rFonts w:ascii="Arial" w:cs="Arial" w:eastAsia="Arial" w:hAnsi="Arial"/>
          <w:b/>
          <w:bCs/>
          <w:color w:val="4F6EF7"/>
          <w:sz w:val="96"/>
          <w:szCs w:val="96"/>
        </w:rPr>
        <w:t xml:space="preserve">SIGN</w:t>
      </w:r>
    </w:p>
    <w:p>
      <w:pPr>
        <w:spacing w:after="80" w:before="0"/>
        <w:jc w:val="center"/>
      </w:pPr>
      <w:r>
        <w:rPr>
          <w:rFonts w:ascii="Arial" w:cs="Arial" w:eastAsia="Arial" w:hAnsi="Arial"/>
          <w:color w:val="64748B"/>
          <w:sz w:val="26"/>
          <w:szCs w:val="26"/>
        </w:rPr>
        <w:t xml:space="preserve">TECHNOLOGIES  |  SIGN PLATFORM</w:t>
      </w:r>
    </w:p>
    <w:p>
      <w:pPr>
        <w:spacing w:after="0" w:before="0"/>
        <w:jc w:val="center"/>
      </w:pPr>
      <w:r>
        <w:rPr>
          <w:rFonts w:ascii="Arial" w:cs="Arial" w:eastAsia="Arial" w:hAnsi="Arial"/>
          <w:b/>
          <w:bCs/>
          <w:color w:val="0F1729"/>
          <w:sz w:val="48"/>
          <w:szCs w:val="48"/>
        </w:rPr>
        <w:t xml:space="preserve">BINDING CORPORATE RULES</w:t>
      </w:r>
    </w:p>
    <w:p>
      <w:pPr>
        <w:pBdr>
          <w:bottom w:val="single" w:color="4F6EF7" w:sz="12" w:space="8"/>
        </w:pBdr>
        <w:spacing w:after="120" w:before="60"/>
        <w:jc w:val="center"/>
      </w:pPr>
      <w:r>
        <w:rPr>
          <w:rFonts w:ascii="Arial" w:cs="Arial" w:eastAsia="Arial" w:hAnsi="Arial"/>
          <w:b/>
          <w:bCs/>
          <w:color w:val="7C3AED"/>
          <w:sz w:val="32"/>
          <w:szCs w:val="32"/>
        </w:rPr>
        <w:t xml:space="preserve">CONTROLLER &amp; PROCESSOR PRIVACY CODE</w:t>
      </w:r>
    </w:p>
    <w:p>
      <w:pPr>
        <w:spacing w:after="600" w:before="120"/>
        <w:jc w:val="center"/>
      </w:pPr>
      <w:r>
        <w:rPr>
          <w:rFonts w:ascii="Arial" w:cs="Arial" w:eastAsia="Arial" w:hAnsi="Arial"/>
          <w:color w:val="64748B"/>
          <w:sz w:val="24"/>
          <w:szCs w:val="24"/>
        </w:rPr>
        <w:t xml:space="preserve">Global Data Protection Standards for Cross-Border Personal Data Transfers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tblGrid>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Governing Entity</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SIGN Technologies LLC</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Arabic Name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(ساين تكنولوجيز ش.ذ.م.م)</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Jurisdiction</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Internet City Free Zone, Dubai, United Arab Emirates</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Regulator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Dubai Development Authority (DDA)</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Effective Date</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Last Updated</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June 1, 2025</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Data Protection Officer</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privacy@sign.io</w:t>
            </w:r>
          </w:p>
        </w:tc>
      </w:tr>
      <w:tr>
        <w:tc>
          <w:tcPr>
            <w:tcW w:type="dxa" w:w="2800"/>
            <w:tcBorders>
              <w:top w:val="none" w:color="FFFFFF" w:sz="0"/>
              <w:left w:val="none" w:color="FFFFFF" w:sz="0"/>
              <w:bottom w:val="none" w:color="FFFFFF" w:sz="0"/>
              <w:right w:val="none" w:color="FFFFFF" w:sz="0"/>
            </w:tcBorders>
            <w:tcMar>
              <w:top w:type="dxa" w:w="50"/>
              <w:left w:type="dxa" w:w="0"/>
              <w:bottom w:type="dxa" w:w="50"/>
              <w:right w:type="dxa" w:w="0"/>
            </w:tcMar>
          </w:tcPr>
          <w:p>
            <w:pPr>
              <w:spacing w:after="0" w:before="0"/>
              <w:jc w:val="right"/>
            </w:pPr>
            <w:r>
              <w:rPr>
                <w:rFonts w:ascii="Arial" w:cs="Arial" w:eastAsia="Arial" w:hAnsi="Arial"/>
                <w:b w:val="false"/>
                <w:bCs w:val="false"/>
                <w:i w:val="false"/>
                <w:iCs w:val="false"/>
                <w:color w:val="64748B"/>
                <w:sz w:val="20"/>
                <w:szCs w:val="20"/>
              </w:rPr>
              <w:t xml:space="preserve">Legal Contact</w:t>
            </w:r>
          </w:p>
        </w:tc>
        <w:tc>
          <w:tcPr>
            <w:tcW w:type="dxa" w:w="3400"/>
            <w:tcBorders>
              <w:top w:val="none" w:color="FFFFFF" w:sz="0"/>
              <w:left w:val="none" w:color="FFFFFF" w:sz="0"/>
              <w:bottom w:val="none" w:color="FFFFFF" w:sz="0"/>
              <w:right w:val="none" w:color="FFFFFF" w:sz="0"/>
            </w:tcBorders>
            <w:tcMar>
              <w:top w:type="dxa" w:w="50"/>
              <w:left w:type="dxa" w:w="160"/>
              <w:bottom w:type="dxa" w:w="50"/>
              <w:right w:type="dxa" w:w="0"/>
            </w:tcMar>
          </w:tcPr>
          <w:p>
            <w:pPr>
              <w:spacing w:after="0" w:before="0"/>
            </w:pPr>
            <w:r>
              <w:rPr>
                <w:rFonts w:ascii="Arial" w:cs="Arial" w:eastAsia="Arial" w:hAnsi="Arial"/>
                <w:b/>
                <w:bCs/>
                <w:i w:val="false"/>
                <w:iCs w:val="false"/>
                <w:color w:val="000000"/>
                <w:sz w:val="20"/>
                <w:szCs w:val="20"/>
              </w:rPr>
              <w:t xml:space="preserve">legal@sign.io</w:t>
            </w:r>
          </w:p>
        </w:tc>
      </w:tr>
    </w:tbl>
    <w:p>
      <w:pPr>
        <w:spacing w:after="30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7C3AED" w:sz="12"/>
              <w:bottom w:val="single" w:color="CBD5E1" w:sz="1"/>
              <w:right w:val="none" w:color="FFFFFF" w:sz="0"/>
            </w:tcBorders>
            <w:shd w:fill="F5F3FF" w:val="clear"/>
            <w:tcMar>
              <w:top w:type="dxa" w:w="120"/>
              <w:left w:type="dxa" w:w="180"/>
              <w:bottom w:type="dxa" w:w="120"/>
              <w:right w:type="dxa" w:w="180"/>
            </w:tcMar>
          </w:tcPr>
          <w:p>
            <w:pPr>
              <w:spacing w:after="60" w:before="0"/>
            </w:pPr>
            <w:r>
              <w:rPr>
                <w:rFonts w:ascii="Arial" w:cs="Arial" w:eastAsia="Arial" w:hAnsi="Arial"/>
                <w:b/>
                <w:bCs/>
                <w:color w:val="7C3AED"/>
                <w:sz w:val="22"/>
                <w:szCs w:val="22"/>
              </w:rPr>
              <w:t xml:space="preserve">About This Document</w:t>
            </w:r>
          </w:p>
          <w:p>
            <w:pPr>
              <w:spacing w:after="0" w:before="0"/>
              <w:jc w:val="both"/>
            </w:pPr>
            <w:r>
              <w:rPr>
                <w:rFonts w:ascii="Arial" w:cs="Arial" w:eastAsia="Arial" w:hAnsi="Arial"/>
                <w:color w:val="1E293B"/>
                <w:sz w:val="21"/>
                <w:szCs w:val="21"/>
              </w:rPr>
              <w:t xml:space="preserve">These Binding Corporate Rules ("BCR" or "Privacy Code") establish SIGN Technologies LLC's worldwide standards for the protection of personal data transferred within the SIGN group of companies and to SIGN's subprocessors across national borders. This Privacy Code comprises two policies: (A) the Controller Policy, governing personal data SIGN processes for its own purposes; and (B) the Processor Policy, governing personal data SIGN processes on behalf of its Customers. Together they constitute SIGN's global commitment to data protection excellence, benchmarked against the EU GDPR, UAE PDPL, and applicable MENA data protection frameworks.</w:t>
            </w:r>
          </w:p>
        </w:tc>
      </w:tr>
    </w:tbl>
    <w:p>
      <w:pPr>
        <w:spacing w:after="300" w:before="0"/>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color w:val="64748B"/>
          <w:sz w:val="20"/>
          <w:szCs w:val="20"/>
        </w:rPr>
        <w:t xml:space="preserve">www.sign.io/legal/bcr  |  privacy@sign.io</w:t>
      </w:r>
    </w:p>
    <w:p>
      <w:pPr>
        <w:spacing w:after="0" w:before="0"/>
        <w:jc w:val="center"/>
      </w:pPr>
      <w:r>
        <w:rPr>
          <w:rFonts w:ascii="Arial" w:cs="Arial" w:eastAsia="Arial" w:hAnsi="Arial"/>
          <w:color w:val="64748B"/>
          <w:sz w:val="20"/>
          <w:szCs w:val="20"/>
        </w:rPr>
        <w:t xml:space="preserve">© 2026 SIGN Technologies LLC. All rights reserved.</w:t>
      </w:r>
    </w:p>
    <w:p>
      <w:pPr>
        <w:spacing w:after="0" w:before="0"/>
      </w:pPr>
      <w:r>
        <w:br w:type="page"/>
      </w:r>
    </w:p>
    <w:p>
      <w:pPr>
        <w:pStyle w:val="Heading1"/>
        <w:pBdr>
          <w:bottom w:val="single" w:color="4F6EF7" w:sz="8" w:space="4"/>
        </w:pBdr>
        <w:spacing w:after="160" w:before="360"/>
      </w:pPr>
      <w:r>
        <w:rPr>
          <w:rFonts w:ascii="Arial" w:cs="Arial" w:eastAsia="Arial" w:hAnsi="Arial"/>
          <w:b/>
          <w:bCs/>
          <w:color w:val="0F1729"/>
          <w:sz w:val="30"/>
          <w:szCs w:val="30"/>
        </w:rPr>
        <w:t xml:space="preserve">TABLE OF CONTENTS</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360"/>
        <w:gridCol w:w="600"/>
      </w:tblGrid>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val="false"/>
                <w:bCs w:val="false"/>
                <w:i w:val="false"/>
                <w:iCs w:val="false"/>
                <w:color w:val="000000"/>
                <w:sz w:val="22"/>
                <w:szCs w:val="22"/>
              </w:rPr>
              <w:t xml:space="preserve"/>
            </w:r>
          </w:p>
        </w:tc>
        <w:tc>
          <w:tcPr>
            <w:tcW w:type="dxa" w:w="8360"/>
            <w:tcBorders>
              <w:top w:val="none" w:color="FFFFFF" w:sz="0"/>
              <w:left w:val="none" w:color="FFFFFF" w:sz="0"/>
              <w:bottom w:val="none" w:color="FFFFFF" w:sz="0"/>
              <w:right w:val="none" w:color="FFFFFF" w:sz="0"/>
            </w:tcBorders>
            <w:tcMar>
              <w:top w:type="dxa" w:w="60"/>
              <w:left w:type="dxa" w:w="0"/>
              <w:bottom w:type="dxa" w:w="60"/>
              <w:right w:type="dxa" w:w="0"/>
            </w:tcMar>
          </w:tcPr>
          <w:p>
            <w:pPr>
              <w:shd w:fill="EFF6FF" w:val="clear"/>
              <w:spacing w:after="0" w:before="0"/>
            </w:pPr>
            <w:r>
              <w:rPr>
                <w:rFonts w:ascii="Arial" w:cs="Arial" w:eastAsia="Arial" w:hAnsi="Arial"/>
                <w:b/>
                <w:bCs/>
                <w:caps/>
                <w:color w:val="0F1729"/>
                <w:sz w:val="20"/>
                <w:szCs w:val="20"/>
              </w:rPr>
              <w:t xml:space="preserve">PART A — BCR CONTROLLER POLICY</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b w:val="false"/>
                <w:bCs w:val="false"/>
                <w:i w:val="false"/>
                <w:iCs w:val="false"/>
                <w:color w:val="000000"/>
                <w:sz w:val="22"/>
                <w:szCs w:val="22"/>
              </w:rPr>
              <w:t xml:space="preserve"/>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Introduction and Scope — Controller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5</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Key Definitions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Controller Obligations — Rules 1 to 12</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Delivering Compliance in Practice — Controller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Beneficiary Rights — Controller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16</w:t>
            </w:r>
          </w:p>
        </w:tc>
      </w:tr>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val="false"/>
                <w:bCs w:val="false"/>
                <w:i w:val="false"/>
                <w:iCs w:val="false"/>
                <w:color w:val="000000"/>
                <w:sz w:val="22"/>
                <w:szCs w:val="22"/>
              </w:rPr>
              <w:t xml:space="preserve"/>
            </w:r>
          </w:p>
        </w:tc>
        <w:tc>
          <w:tcPr>
            <w:tcW w:type="dxa" w:w="8360"/>
            <w:tcBorders>
              <w:top w:val="none" w:color="FFFFFF" w:sz="0"/>
              <w:left w:val="none" w:color="FFFFFF" w:sz="0"/>
              <w:bottom w:val="none" w:color="FFFFFF" w:sz="0"/>
              <w:right w:val="none" w:color="FFFFFF" w:sz="0"/>
            </w:tcBorders>
            <w:tcMar>
              <w:top w:type="dxa" w:w="60"/>
              <w:left w:type="dxa" w:w="0"/>
              <w:bottom w:type="dxa" w:w="60"/>
              <w:right w:type="dxa" w:w="0"/>
            </w:tcMar>
          </w:tcPr>
          <w:p>
            <w:pPr>
              <w:shd w:fill="EFF6FF" w:val="clear"/>
              <w:spacing w:after="0" w:before="0"/>
            </w:pPr>
            <w:r>
              <w:rPr>
                <w:rFonts w:ascii="Arial" w:cs="Arial" w:eastAsia="Arial" w:hAnsi="Arial"/>
                <w:b/>
                <w:bCs/>
                <w:caps/>
                <w:color w:val="0F1729"/>
                <w:sz w:val="20"/>
                <w:szCs w:val="20"/>
              </w:rPr>
              <w:t xml:space="preserve">PART B — BCR PROCESSOR POLICY</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b w:val="false"/>
                <w:bCs w:val="false"/>
                <w:i w:val="false"/>
                <w:iCs w:val="false"/>
                <w:color w:val="000000"/>
                <w:sz w:val="22"/>
                <w:szCs w:val="22"/>
              </w:rPr>
              <w:t xml:space="preserve"/>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Introduction and Scope — Processor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Processor Obligations — Rules 1 to 11</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18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Delivering Compliance in Practice — Processor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Third-Party Beneficiary Rights — Processor</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25</w:t>
            </w:r>
          </w:p>
        </w:tc>
      </w:tr>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val="false"/>
                <w:bCs w:val="false"/>
                <w:i w:val="false"/>
                <w:iCs w:val="false"/>
                <w:color w:val="000000"/>
                <w:sz w:val="22"/>
                <w:szCs w:val="22"/>
              </w:rPr>
              <w:t xml:space="preserve"/>
            </w:r>
          </w:p>
        </w:tc>
        <w:tc>
          <w:tcPr>
            <w:tcW w:type="dxa" w:w="8360"/>
            <w:tcBorders>
              <w:top w:val="none" w:color="FFFFFF" w:sz="0"/>
              <w:left w:val="none" w:color="FFFFFF" w:sz="0"/>
              <w:bottom w:val="none" w:color="FFFFFF" w:sz="0"/>
              <w:right w:val="none" w:color="FFFFFF" w:sz="0"/>
            </w:tcBorders>
            <w:tcMar>
              <w:top w:type="dxa" w:w="60"/>
              <w:left w:type="dxa" w:w="0"/>
              <w:bottom w:type="dxa" w:w="60"/>
              <w:right w:type="dxa" w:w="0"/>
            </w:tcMar>
          </w:tcPr>
          <w:p>
            <w:pPr>
              <w:shd w:fill="EFF6FF" w:val="clear"/>
              <w:spacing w:after="0" w:before="0"/>
            </w:pPr>
            <w:r>
              <w:rPr>
                <w:rFonts w:ascii="Arial" w:cs="Arial" w:eastAsia="Arial" w:hAnsi="Arial"/>
                <w:b/>
                <w:bCs/>
                <w:caps/>
                <w:color w:val="0F1729"/>
                <w:sz w:val="20"/>
                <w:szCs w:val="20"/>
              </w:rPr>
              <w:t xml:space="preserve">PART C — COMMON PROVISIONS</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b w:val="false"/>
                <w:bCs w:val="false"/>
                <w:i w:val="false"/>
                <w:iCs w:val="false"/>
                <w:color w:val="000000"/>
                <w:sz w:val="22"/>
                <w:szCs w:val="22"/>
              </w:rPr>
              <w:t xml:space="preserve"/>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10</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 Group Members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MENA Data Transfer Framework</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27</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Governance and Accountability Structure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29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Training Requirements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Audit Protocol</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Complaint Handling Procedure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Government Data Request Procedure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Transfer Impact Assessment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34</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18</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Updating Procedure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36</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19</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Cooperation with Supervisory Authorities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37</w:t>
            </w:r>
          </w:p>
        </w:tc>
      </w:tr>
      <w:tr>
        <w:tc>
          <w:tcPr>
            <w:tcW w:type="dxa" w:w="400"/>
            <w:tcBorders>
              <w:top w:val="none" w:color="FFFFFF" w:sz="0"/>
              <w:left w:val="none" w:color="FFFFFF" w:sz="0"/>
              <w:bottom w:val="none" w:color="FFFFFF" w:sz="0"/>
              <w:right w:val="none" w:color="FFFFFF" w:sz="0"/>
            </w:tcBorders>
            <w:tcMar>
              <w:top w:type="dxa" w:w="60"/>
              <w:left w:type="dxa" w:w="0"/>
              <w:bottom w:type="dxa" w:w="60"/>
              <w:right w:type="dxa" w:w="80"/>
            </w:tcMar>
          </w:tcPr>
          <w:p>
            <w:pPr>
              <w:spacing w:after="0" w:before="0"/>
            </w:pPr>
            <w:r>
              <w:rPr>
                <w:rFonts w:ascii="Arial" w:cs="Arial" w:eastAsia="Arial" w:hAnsi="Arial"/>
                <w:b w:val="false"/>
                <w:bCs w:val="false"/>
                <w:i w:val="false"/>
                <w:iCs w:val="false"/>
                <w:color w:val="000000"/>
                <w:sz w:val="22"/>
                <w:szCs w:val="22"/>
              </w:rPr>
              <w:t xml:space="preserve"/>
            </w:r>
          </w:p>
        </w:tc>
        <w:tc>
          <w:tcPr>
            <w:tcW w:type="dxa" w:w="8360"/>
            <w:tcBorders>
              <w:top w:val="none" w:color="FFFFFF" w:sz="0"/>
              <w:left w:val="none" w:color="FFFFFF" w:sz="0"/>
              <w:bottom w:val="none" w:color="FFFFFF" w:sz="0"/>
              <w:right w:val="none" w:color="FFFFFF" w:sz="0"/>
            </w:tcBorders>
            <w:tcMar>
              <w:top w:type="dxa" w:w="60"/>
              <w:left w:type="dxa" w:w="0"/>
              <w:bottom w:type="dxa" w:w="60"/>
              <w:right w:type="dxa" w:w="0"/>
            </w:tcMar>
          </w:tcPr>
          <w:p>
            <w:pPr>
              <w:shd w:fill="EFF6FF" w:val="clear"/>
              <w:spacing w:after="0" w:before="0"/>
            </w:pPr>
            <w:r>
              <w:rPr>
                <w:rFonts w:ascii="Arial" w:cs="Arial" w:eastAsia="Arial" w:hAnsi="Arial"/>
                <w:b/>
                <w:bCs/>
                <w:caps/>
                <w:color w:val="0F1729"/>
                <w:sz w:val="20"/>
                <w:szCs w:val="20"/>
              </w:rPr>
              <w:t xml:space="preserve">APPENDICES</w:t>
            </w:r>
          </w:p>
        </w:tc>
        <w:tc>
          <w:tcPr>
            <w:tcW w:type="dxa" w:w="600"/>
            <w:tcBorders>
              <w:top w:val="none" w:color="FFFFFF" w:sz="0"/>
              <w:left w:val="none" w:color="FFFFFF" w:sz="0"/>
              <w:bottom w:val="none" w:color="FFFFFF" w:sz="0"/>
              <w:right w:val="none" w:color="FFFFFF" w:sz="0"/>
            </w:tcBorders>
            <w:tcMar>
              <w:top w:type="dxa" w:w="60"/>
              <w:left w:type="dxa" w:w="80"/>
              <w:bottom w:type="dxa" w:w="60"/>
              <w:right w:type="dxa" w:w="0"/>
            </w:tcMar>
          </w:tcPr>
          <w:p>
            <w:pPr>
              <w:spacing w:after="0" w:before="0"/>
              <w:jc w:val="right"/>
            </w:pPr>
            <w:r>
              <w:rPr>
                <w:rFonts w:ascii="Arial" w:cs="Arial" w:eastAsia="Arial" w:hAnsi="Arial"/>
                <w:b w:val="false"/>
                <w:bCs w:val="false"/>
                <w:i w:val="false"/>
                <w:iCs w:val="false"/>
                <w:color w:val="000000"/>
                <w:sz w:val="22"/>
                <w:szCs w:val="22"/>
              </w:rPr>
              <w:t xml:space="preserve"/>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A1</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SIGN Group Members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38</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A2</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Material Scope — Controller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39</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A3</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Material Scope — Processor Policy</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40</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A4</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Fair Information Disclosures</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41</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A5</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Data Protection Rights Procedure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42</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A6</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Privacy Compliance Structure</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43</w:t>
            </w:r>
          </w:p>
        </w:tc>
      </w:tr>
      <w:tr>
        <w:tc>
          <w:tcPr>
            <w:tcW w:type="dxa" w:w="400"/>
            <w:tcBorders>
              <w:top w:val="none" w:color="FFFFFF" w:sz="0"/>
              <w:left w:val="none" w:color="FFFFFF" w:sz="0"/>
              <w:bottom w:val="none" w:color="FFFFFF" w:sz="0"/>
              <w:right w:val="none" w:color="FFFFFF" w:sz="0"/>
            </w:tcBorders>
            <w:tcMar>
              <w:top w:type="dxa" w:w="40"/>
              <w:left w:type="dxa" w:w="0"/>
              <w:bottom w:type="dxa" w:w="40"/>
              <w:right w:type="dxa" w:w="80"/>
            </w:tcMar>
          </w:tcPr>
          <w:p>
            <w:pPr>
              <w:spacing w:after="0" w:before="0"/>
            </w:pPr>
            <w:r>
              <w:rPr>
                <w:rFonts w:ascii="Arial" w:cs="Arial" w:eastAsia="Arial" w:hAnsi="Arial"/>
                <w:b/>
                <w:bCs/>
                <w:i w:val="false"/>
                <w:iCs w:val="false"/>
                <w:color w:val="4F6EF7"/>
                <w:sz w:val="21"/>
                <w:szCs w:val="21"/>
              </w:rPr>
              <w:t xml:space="preserve">A7</w:t>
            </w:r>
          </w:p>
        </w:tc>
        <w:tc>
          <w:tcPr>
            <w:tcW w:type="dxa" w:w="8360"/>
            <w:tcBorders>
              <w:top w:val="none" w:color="FFFFFF" w:sz="0"/>
              <w:left w:val="none" w:color="FFFFFF" w:sz="0"/>
              <w:bottom w:val="none" w:color="FFFFFF" w:sz="0"/>
              <w:right w:val="none" w:color="FFFFFF" w:sz="0"/>
            </w:tcBorders>
            <w:tcMar>
              <w:top w:type="dxa" w:w="40"/>
              <w:left w:type="dxa" w:w="0"/>
              <w:bottom w:type="dxa" w:w="40"/>
              <w:right w:type="dxa" w:w="0"/>
            </w:tcMar>
          </w:tcPr>
          <w:p>
            <w:pPr>
              <w:tabs>
                <w:tab w:val="right" w:pos="9026" w:leader="dot"/>
              </w:tabs>
              <w:spacing w:after="0" w:before="0"/>
            </w:pPr>
            <w:r>
              <w:rPr>
                <w:rFonts w:ascii="Arial" w:cs="Arial" w:eastAsia="Arial" w:hAnsi="Arial"/>
                <w:b w:val="false"/>
                <w:bCs w:val="false"/>
                <w:i w:val="false"/>
                <w:iCs w:val="false"/>
                <w:color w:val="000000"/>
                <w:sz w:val="21"/>
                <w:szCs w:val="21"/>
              </w:rPr>
              <w:t xml:space="preserve">Subprocessors List</w:t>
            </w:r>
          </w:p>
        </w:tc>
        <w:tc>
          <w:tcPr>
            <w:tcW w:type="dxa" w:w="600"/>
            <w:tcBorders>
              <w:top w:val="none" w:color="FFFFFF" w:sz="0"/>
              <w:left w:val="none" w:color="FFFFFF" w:sz="0"/>
              <w:bottom w:val="none" w:color="FFFFFF" w:sz="0"/>
              <w:right w:val="none" w:color="FFFFFF" w:sz="0"/>
            </w:tcBorders>
            <w:tcMar>
              <w:top w:type="dxa" w:w="40"/>
              <w:left w:type="dxa" w:w="80"/>
              <w:bottom w:type="dxa" w:w="40"/>
              <w:right w:type="dxa" w:w="0"/>
            </w:tcMar>
          </w:tcPr>
          <w:p>
            <w:pPr>
              <w:spacing w:after="0" w:before="0"/>
              <w:jc w:val="right"/>
            </w:pPr>
            <w:r>
              <w:rPr>
                <w:rFonts w:ascii="Arial" w:cs="Arial" w:eastAsia="Arial" w:hAnsi="Arial"/>
                <w:b w:val="false"/>
                <w:bCs w:val="false"/>
                <w:i w:val="false"/>
                <w:iCs w:val="false"/>
                <w:color w:val="64748B"/>
                <w:sz w:val="21"/>
                <w:szCs w:val="21"/>
              </w:rPr>
              <w:t xml:space="preserve">44</w:t>
            </w:r>
          </w:p>
        </w:tc>
      </w:tr>
    </w:tbl>
    <w:p>
      <w:pPr>
        <w:spacing w:after="0" w:before="0"/>
      </w:pPr>
      <w:r>
        <w:br w:type="page"/>
      </w:r>
    </w:p>
    <w:p>
      <w:pPr>
        <w:pBdr>
          <w:top w:val="single" w:color="4F6EF7" w:sz="8"/>
          <w:bottom w:val="single" w:color="4F6EF7" w:sz="8"/>
        </w:pBdr>
        <w:shd w:fill="0F1729" w:val="clear"/>
        <w:spacing w:after="0" w:before="0"/>
        <w:jc w:val="center"/>
      </w:pPr>
      <w:r>
        <w:rPr>
          <w:rFonts w:ascii="Arial" w:cs="Arial" w:eastAsia="Arial" w:hAnsi="Arial"/>
          <w:b/>
          <w:bCs/>
          <w:color w:val="FFFFFF"/>
          <w:sz w:val="36"/>
          <w:szCs w:val="36"/>
        </w:rPr>
        <w:t xml:space="preserve">PART A — BCR CONTROLLER POLICY</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 INTRODUCTION AND SCOPE — CONTROLLER POLICY</w:t>
      </w:r>
    </w:p>
    <w:p>
      <w:pPr>
        <w:pStyle w:val="Heading2"/>
        <w:spacing w:after="120" w:before="280"/>
      </w:pPr>
      <w:r>
        <w:rPr>
          <w:rFonts w:ascii="Arial" w:cs="Arial" w:eastAsia="Arial" w:hAnsi="Arial"/>
          <w:b/>
          <w:bCs/>
          <w:color w:val="0F1729"/>
          <w:sz w:val="25"/>
          <w:szCs w:val="25"/>
        </w:rPr>
        <w:t xml:space="preserve">1.1  Purpose of the Controller Policy</w:t>
      </w:r>
    </w:p>
    <w:p>
      <w:pPr>
        <w:spacing w:after="80" w:before="80" w:line="276"/>
        <w:jc w:val="both"/>
      </w:pPr>
      <w:r>
        <w:rPr>
          <w:rFonts w:ascii="Arial" w:cs="Arial" w:eastAsia="Arial" w:hAnsi="Arial"/>
          <w:b w:val="false"/>
          <w:bCs w:val="false"/>
          <w:i w:val="false"/>
          <w:iCs w:val="false"/>
          <w:color w:val="000000"/>
          <w:sz w:val="22"/>
          <w:szCs w:val="22"/>
        </w:rPr>
        <w:t xml:space="preserve">This Binding Corporate Rules: Controller Policy ("Controller Policy") establishes SIGN Technologies LLC (ساين تكنولوجيز ش.ذ.م.م)'s approach to compliance with applicable data protection laws when processing personal data for its own purposes as a data controller.</w:t>
      </w:r>
    </w:p>
    <w:p>
      <w:pPr>
        <w:spacing w:after="80" w:before="80" w:line="276"/>
        <w:jc w:val="both"/>
      </w:pPr>
      <w:r>
        <w:rPr>
          <w:rFonts w:ascii="Arial" w:cs="Arial" w:eastAsia="Arial" w:hAnsi="Arial"/>
          <w:b w:val="false"/>
          <w:bCs w:val="false"/>
          <w:i w:val="false"/>
          <w:iCs w:val="false"/>
          <w:color w:val="000000"/>
          <w:sz w:val="22"/>
          <w:szCs w:val="22"/>
        </w:rPr>
        <w:t xml:space="preserve">The Controller Policy sets out worldwide standards that apply to all SIGN Group Members (as defined in Section 10 and listed in Appendix A1) when processing personal data as a controller, irrespective of the country in which the Group Member is located. The rights and obligations that apply to personal data under this Controller Policy 'travel' with the data whenever it is transferred to or between Group Members — meaning that personal data must be protected to the standards set out in this Policy even if the receiving Group Member is located in a jurisdiction that does not have equivalent data protection law.</w:t>
      </w:r>
    </w:p>
    <w:p>
      <w:pPr>
        <w:pStyle w:val="Heading2"/>
        <w:spacing w:after="120" w:before="280"/>
      </w:pPr>
      <w:r>
        <w:rPr>
          <w:rFonts w:ascii="Arial" w:cs="Arial" w:eastAsia="Arial" w:hAnsi="Arial"/>
          <w:b/>
          <w:bCs/>
          <w:color w:val="0F1729"/>
          <w:sz w:val="25"/>
          <w:szCs w:val="25"/>
        </w:rPr>
        <w:t xml:space="preserve">1.2  Scope</w:t>
      </w:r>
    </w:p>
    <w:p>
      <w:pPr>
        <w:spacing w:after="80" w:before="80" w:line="276"/>
        <w:jc w:val="both"/>
      </w:pPr>
      <w:r>
        <w:rPr>
          <w:rFonts w:ascii="Arial" w:cs="Arial" w:eastAsia="Arial" w:hAnsi="Arial"/>
          <w:b w:val="false"/>
          <w:bCs w:val="false"/>
          <w:i w:val="false"/>
          <w:iCs w:val="false"/>
          <w:color w:val="000000"/>
          <w:sz w:val="22"/>
          <w:szCs w:val="22"/>
        </w:rPr>
        <w:t xml:space="preserve">This Controller Policy applies when SIGN Group Members process personal data as a controller and transfer personal data between Group Members across national borders. It applies regardless of whether processing is by manual or automated means and regardless of the origin or destination of the personal data.</w:t>
      </w:r>
    </w:p>
    <w:p>
      <w:pPr>
        <w:spacing w:after="80" w:before="80" w:line="276"/>
        <w:jc w:val="both"/>
      </w:pPr>
      <w:r>
        <w:rPr>
          <w:rFonts w:ascii="Arial" w:cs="Arial" w:eastAsia="Arial" w:hAnsi="Arial"/>
          <w:b w:val="false"/>
          <w:bCs w:val="false"/>
          <w:i w:val="false"/>
          <w:iCs w:val="false"/>
          <w:color w:val="000000"/>
          <w:sz w:val="22"/>
          <w:szCs w:val="22"/>
        </w:rPr>
        <w:t xml:space="preserve">The material scope of this Controller Policy — covering the types of personal data, categories of data subjects, and types of transfers protected — is set out in Appendix A2.</w:t>
      </w:r>
    </w:p>
    <w:p>
      <w:pPr>
        <w:pStyle w:val="Heading2"/>
        <w:spacing w:after="120" w:before="280"/>
      </w:pPr>
      <w:r>
        <w:rPr>
          <w:rFonts w:ascii="Arial" w:cs="Arial" w:eastAsia="Arial" w:hAnsi="Arial"/>
          <w:b/>
          <w:bCs/>
          <w:color w:val="0F1729"/>
          <w:sz w:val="25"/>
          <w:szCs w:val="25"/>
        </w:rPr>
        <w:t xml:space="preserve">1.3  Management Commitment</w:t>
      </w:r>
    </w:p>
    <w:p>
      <w:pPr>
        <w:spacing w:after="80" w:before="80" w:line="276"/>
        <w:jc w:val="both"/>
      </w:pPr>
      <w:r>
        <w:rPr>
          <w:rFonts w:ascii="Arial" w:cs="Arial" w:eastAsia="Arial" w:hAnsi="Arial"/>
          <w:b w:val="false"/>
          <w:bCs w:val="false"/>
          <w:i w:val="false"/>
          <w:iCs w:val="false"/>
          <w:color w:val="000000"/>
          <w:sz w:val="22"/>
          <w:szCs w:val="22"/>
        </w:rPr>
        <w:t xml:space="preserve">SIGN's leadership is fully committed to ensuring that all Group Members and their Staff comply with this Controller Policy at all times. Non-compliance may expose SIGN to regulatory sanctions and may cause harm or distress to individuals whose personal data has not been protected in accordance with this Policy's standards. Staff members who do not comply with this Policy will be subject to disciplinary action, up to and including dismissal.</w:t>
      </w:r>
    </w:p>
    <w:p>
      <w:pPr>
        <w:pStyle w:val="Heading2"/>
        <w:spacing w:after="120" w:before="280"/>
      </w:pPr>
      <w:r>
        <w:rPr>
          <w:rFonts w:ascii="Arial" w:cs="Arial" w:eastAsia="Arial" w:hAnsi="Arial"/>
          <w:b/>
          <w:bCs/>
          <w:color w:val="0F1729"/>
          <w:sz w:val="25"/>
          <w:szCs w:val="25"/>
        </w:rPr>
        <w:t xml:space="preserve">1.4  Relationship with the Processor Policy</w:t>
      </w:r>
    </w:p>
    <w:p>
      <w:pPr>
        <w:spacing w:after="80" w:before="80" w:line="276"/>
        <w:jc w:val="both"/>
      </w:pPr>
      <w:r>
        <w:rPr>
          <w:rFonts w:ascii="Arial" w:cs="Arial" w:eastAsia="Arial" w:hAnsi="Arial"/>
          <w:b w:val="false"/>
          <w:bCs w:val="false"/>
          <w:i w:val="false"/>
          <w:iCs w:val="false"/>
          <w:color w:val="000000"/>
          <w:sz w:val="22"/>
          <w:szCs w:val="22"/>
        </w:rPr>
        <w:t xml:space="preserve">This Controller Policy applies only to personal data that SIGN processes as a controller (for its own purposes). Part B of this Privacy Code sets out the Processor Policy, which applies when SIGN processes personal data as a processor on behalf of a Customer. Some Group Members may act as both controller and processor; in such cases they must comply with both policies as appropriate.</w:t>
      </w:r>
    </w:p>
    <w:p>
      <w:pPr>
        <w:pStyle w:val="Heading2"/>
        <w:spacing w:after="120" w:before="280"/>
      </w:pPr>
      <w:r>
        <w:rPr>
          <w:rFonts w:ascii="Arial" w:cs="Arial" w:eastAsia="Arial" w:hAnsi="Arial"/>
          <w:b/>
          <w:bCs/>
          <w:color w:val="0F1729"/>
          <w:sz w:val="25"/>
          <w:szCs w:val="25"/>
        </w:rPr>
        <w:t xml:space="preserve">1.5  Where This Policy Is Available</w:t>
      </w:r>
    </w:p>
    <w:p>
      <w:pPr>
        <w:spacing w:after="80" w:before="80" w:line="276"/>
        <w:jc w:val="both"/>
      </w:pPr>
      <w:r>
        <w:rPr>
          <w:rFonts w:ascii="Arial" w:cs="Arial" w:eastAsia="Arial" w:hAnsi="Arial"/>
          <w:b w:val="false"/>
          <w:bCs w:val="false"/>
          <w:i w:val="false"/>
          <w:iCs w:val="false"/>
          <w:color w:val="000000"/>
          <w:sz w:val="22"/>
          <w:szCs w:val="22"/>
        </w:rPr>
        <w:t xml:space="preserve">This Controller Policy is accessible on SIGN's website at www.sign.io/legal/bcr. This Policy is binding on all SIGN Group Members and Staff and is incorporated into SIGN's employment and contractor agreements.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2. KEY DEFINITIONS</w:t>
      </w:r>
    </w:p>
    <w:p>
      <w:pPr>
        <w:spacing w:after="80" w:before="80" w:line="276"/>
        <w:jc w:val="both"/>
      </w:pPr>
      <w:r>
        <w:rPr>
          <w:rFonts w:ascii="Arial" w:cs="Arial" w:eastAsia="Arial" w:hAnsi="Arial"/>
          <w:b w:val="false"/>
          <w:bCs w:val="false"/>
          <w:i w:val="false"/>
          <w:iCs w:val="false"/>
          <w:color w:val="000000"/>
          <w:sz w:val="22"/>
          <w:szCs w:val="22"/>
        </w:rPr>
        <w:t xml:space="preserve">The following terms have the meanings set out below throughout this Privacy Code. Terms used in the singular include the plural and vice versa.</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Applicable Data Protection Laws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data protection laws in force in the territory from which a Group Member initially transfers personal data under this Controller Policy. For European Group Members, this includes the GDPR. For UAE Group Members, this includes UAE Federal Decree-Law No. 45/2021 on Personal Data Protection. For other MENA jurisdictions, this includes the applicable national data protection law.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Controller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natural or legal person which, alone or jointly with others, determines the purposes and means of the processing of personal data. SIGN is a controller of its Customer data, User data, and Staff data.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third-party entity or individual who subscribes to SIGN's services. In the context of the Processor Policy, the Customer is a data controller on whose behalf SIGN acts as a data processor.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Officer (DPO)</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individual appointed by SIGN to independently monitor compliance with applicable data protection law and this Privacy Code. Contact: privacy@sign.io.</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Europe / European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The Member States of the European Economic Area — the EU Member States plus Norway, Liechtenstein, and Iceland.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Group Member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Any legal entity within the SIGN group of companies listed in Appendix A1 that is bound by this Privacy Code.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Personal Data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Any information relating to an identified or identifiable natural person. Includes information that constitutes 'personal data', 'personally identifiable information', or 'personal information' under any applicable data protection law.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Privacy Code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This document in its entirety, comprising both the Controller Policy (Part A) and the Processor Policy (Part B), together with all appendices.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Processor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natural or legal person which processes personal data on behalf of a controller. Where SIGN processes personal data on behalf of a Customer, SIGN acts as a processor.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Sensitive Personal Data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Data revealing racial or ethnic origin, political opinions, religious or philosophical beliefs, trade union membership, genetic data, biometric data for unique identification, health data, sexual orientation data, data concerning criminal offences or convictions, and any other data deemed sensitive under applicable law.</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Staff</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employees, new hires, contractors, consultants, and temporary staff engaged by any SIGN Group Member, all of whom are bound by this Privacy Code.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Sub-processor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 third-party processor appointed by SIGN to process personal data on behalf of a Customer. Current sub-processors are listed at www.sign.io/legal/subprocessors.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Transfer Impact Assessment (TIA)</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An assessment carried out by SIGN before transferring personal data to a third country to evaluate whether the transfer will adequately protect the data in the recipient jurisdiction. Governed by Section 17.</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3. CONTROLLER OBLIGATIONS — RULES 1 TO 12</w:t>
      </w:r>
    </w:p>
    <w:p>
      <w:pPr>
        <w:spacing w:after="80" w:before="80" w:line="276"/>
        <w:jc w:val="both"/>
      </w:pPr>
      <w:r>
        <w:rPr>
          <w:rFonts w:ascii="Arial" w:cs="Arial" w:eastAsia="Arial" w:hAnsi="Arial"/>
          <w:b w:val="false"/>
          <w:bCs w:val="false"/>
          <w:i w:val="false"/>
          <w:iCs w:val="false"/>
          <w:color w:val="000000"/>
          <w:sz w:val="22"/>
          <w:szCs w:val="22"/>
        </w:rPr>
        <w:t xml:space="preserve">All SIGN Group Members and Staff must comply with the following rules when processing personal data as a controller. These rules apply worldwide to all Group Members, irrespective of local law, and set the minimum standard of protection that SIGN commits to maintain.</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 — Lawfulness  </w:t>
            </w:r>
            <w:r>
              <w:rPr>
                <w:rFonts w:ascii="Arial" w:cs="Arial" w:eastAsia="Arial" w:hAnsi="Arial"/>
                <w:color w:val="64748B"/>
                <w:sz w:val="21"/>
                <w:szCs w:val="21"/>
              </w:rPr>
              <w:t xml:space="preserve">We must ensure that processing is at all times compliant with applicable law and this Controller Policy.</w:t>
            </w:r>
          </w:p>
          <w:p>
            <w:pPr>
              <w:spacing w:after="0" w:before="0"/>
              <w:jc w:val="both"/>
            </w:pPr>
            <w:r>
              <w:rPr>
                <w:rFonts w:ascii="Arial" w:cs="Arial" w:eastAsia="Arial" w:hAnsi="Arial"/>
                <w:color w:val="1E293B"/>
                <w:sz w:val="21"/>
                <w:szCs w:val="21"/>
              </w:rPr>
              <w:t xml:space="preserve">All Group Members must comply with applicable data protection laws and this Controller Policy when processing personal data. Where applicable data protection laws exceed this Policy's standards, the law prevails. Where no applicable law exists or the law provides lower standards, this Policy prevails. Group Members must always have a lawful basis for processing personal data — such as consent, contract performance, legal obligation, legitimate interests, vital interests, or public task — consistent with requirements of applicable data protection laws. Consent must be freely given, specific, informed, and unambiguous; silence, pre-ticked boxes, or inactivity do not constitute valid consent.</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2 — Fairness and Transparency  </w:t>
            </w:r>
            <w:r>
              <w:rPr>
                <w:rFonts w:ascii="Arial" w:cs="Arial" w:eastAsia="Arial" w:hAnsi="Arial"/>
                <w:color w:val="64748B"/>
                <w:sz w:val="21"/>
                <w:szCs w:val="21"/>
              </w:rPr>
              <w:t xml:space="preserve">We must inform individuals how and why their personal data will be processed.</w:t>
            </w:r>
          </w:p>
          <w:p>
            <w:pPr>
              <w:spacing w:after="0" w:before="0"/>
              <w:jc w:val="both"/>
            </w:pPr>
            <w:r>
              <w:rPr>
                <w:rFonts w:ascii="Arial" w:cs="Arial" w:eastAsia="Arial" w:hAnsi="Arial"/>
                <w:color w:val="1E293B"/>
                <w:sz w:val="21"/>
                <w:szCs w:val="21"/>
              </w:rPr>
              <w:t xml:space="preserve">We must provide individuals with the Fair Information Disclosures set out in Appendix A4 when processing their personal data. These disclosures must be provided in a concise, transparent, intelligible, and easily accessible form in clear and plain language — in Arabic or English as appropriate for the data subject's location. For data subjects in the MENA Region, disclosures are provided in both Arabic and English where required by applicable law. Where personal data has not been obtained directly from the individual, the Fair Information Disclosures must still be provided within a reasonable timeframe and in any event at first contact.</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3 — Purpose Limitation  </w:t>
            </w:r>
            <w:r>
              <w:rPr>
                <w:rFonts w:ascii="Arial" w:cs="Arial" w:eastAsia="Arial" w:hAnsi="Arial"/>
                <w:color w:val="64748B"/>
                <w:sz w:val="21"/>
                <w:szCs w:val="21"/>
              </w:rPr>
              <w:t xml:space="preserve">We must process personal data only for specified, explicit, and legitimate purposes.</w:t>
            </w:r>
          </w:p>
          <w:p>
            <w:pPr>
              <w:spacing w:after="0" w:before="0"/>
              <w:jc w:val="both"/>
            </w:pPr>
            <w:r>
              <w:rPr>
                <w:rFonts w:ascii="Arial" w:cs="Arial" w:eastAsia="Arial" w:hAnsi="Arial"/>
                <w:color w:val="1E293B"/>
                <w:sz w:val="21"/>
                <w:szCs w:val="21"/>
              </w:rPr>
              <w:t xml:space="preserve">Personal data must only be processed for the specific, explicit, and legitimate purposes communicated to data subjects in accordance with Rule 2. Further processing for incompatible purposes is only permitted with the data subject's consent or as permitted by applicable law. Where further processing is intended, a compatibility assessment must be conducted by the Data Protection Officer taking into account: the link between original and intended purposes; the context of collection; the nature of the data (particularly if sensitive); possible consequences for data subjects; and whether appropriate safeguards are in place.</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4 — Data Minimisation  </w:t>
            </w:r>
            <w:r>
              <w:rPr>
                <w:rFonts w:ascii="Arial" w:cs="Arial" w:eastAsia="Arial" w:hAnsi="Arial"/>
                <w:color w:val="64748B"/>
                <w:sz w:val="21"/>
                <w:szCs w:val="21"/>
              </w:rPr>
              <w:t xml:space="preserve">We must collect and process only the personal data that is necessary for the stated purpose.</w:t>
            </w:r>
          </w:p>
          <w:p>
            <w:pPr>
              <w:spacing w:after="0" w:before="0"/>
              <w:jc w:val="both"/>
            </w:pPr>
            <w:r>
              <w:rPr>
                <w:rFonts w:ascii="Arial" w:cs="Arial" w:eastAsia="Arial" w:hAnsi="Arial"/>
                <w:color w:val="1E293B"/>
                <w:sz w:val="21"/>
                <w:szCs w:val="21"/>
              </w:rPr>
              <w:t xml:space="preserve">Personal data collected and processed by Group Members must be adequate, relevant, and limited to what is necessary in relation to the purposes for which it is processed. Group Members must not collect personal data 'just in case' it may be useful in future. Before initiating any new processing activity, the responsible team must conduct a data minimisation review to confirm that only necessary personal data is collected, and document the outcome of that review.</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5 — Data Accuracy  </w:t>
            </w:r>
            <w:r>
              <w:rPr>
                <w:rFonts w:ascii="Arial" w:cs="Arial" w:eastAsia="Arial" w:hAnsi="Arial"/>
                <w:color w:val="64748B"/>
                <w:sz w:val="21"/>
                <w:szCs w:val="21"/>
              </w:rPr>
              <w:t xml:space="preserve">We must keep personal data accurate, complete, and up to date.</w:t>
            </w:r>
          </w:p>
          <w:p>
            <w:pPr>
              <w:spacing w:after="0" w:before="0"/>
              <w:jc w:val="both"/>
            </w:pPr>
            <w:r>
              <w:rPr>
                <w:rFonts w:ascii="Arial" w:cs="Arial" w:eastAsia="Arial" w:hAnsi="Arial"/>
                <w:color w:val="1E293B"/>
                <w:sz w:val="21"/>
                <w:szCs w:val="21"/>
              </w:rPr>
              <w:t xml:space="preserve">Group Members must take all reasonable steps to ensure that personal data is accurate and, where necessary, kept up to date. Inaccurate personal data must be erased or rectified without delay. Group Members must implement reasonable processes to allow data subjects to update their personal data, and must propagate corrections to all other Group Members and sub-processors who hold the same data.</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6 — Storage Limitation  </w:t>
            </w:r>
            <w:r>
              <w:rPr>
                <w:rFonts w:ascii="Arial" w:cs="Arial" w:eastAsia="Arial" w:hAnsi="Arial"/>
                <w:color w:val="64748B"/>
                <w:sz w:val="21"/>
                <w:szCs w:val="21"/>
              </w:rPr>
              <w:t xml:space="preserve">We must not retain personal data for longer than is necessary.</w:t>
            </w:r>
          </w:p>
          <w:p>
            <w:pPr>
              <w:spacing w:after="0" w:before="0"/>
              <w:jc w:val="both"/>
            </w:pPr>
            <w:r>
              <w:rPr>
                <w:rFonts w:ascii="Arial" w:cs="Arial" w:eastAsia="Arial" w:hAnsi="Arial"/>
                <w:color w:val="1E293B"/>
                <w:sz w:val="21"/>
                <w:szCs w:val="21"/>
              </w:rPr>
              <w:t xml:space="preserve">Personal data must be retained only for as long as is necessary for the purposes for which it was collected, in accordance with SIGN's Data Retention Schedule (available from the DPO on request) and applicable legal retention obligations. Where personal data is no longer required for its original purpose, it must be erased, anonymised, or archived in accordance with SIGN's data deletion procedures. The DPO must review the Data Retention Schedule at least annually to ensure it reflects current processing activities and applicable law.</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7 — Security  </w:t>
            </w:r>
            <w:r>
              <w:rPr>
                <w:rFonts w:ascii="Arial" w:cs="Arial" w:eastAsia="Arial" w:hAnsi="Arial"/>
                <w:color w:val="64748B"/>
                <w:sz w:val="21"/>
                <w:szCs w:val="21"/>
              </w:rPr>
              <w:t xml:space="preserve">We must implement appropriate technical and organisational measures to protect personal data.</w:t>
            </w:r>
          </w:p>
          <w:p>
            <w:pPr>
              <w:spacing w:after="0" w:before="0"/>
              <w:jc w:val="both"/>
            </w:pPr>
            <w:r>
              <w:rPr>
                <w:rFonts w:ascii="Arial" w:cs="Arial" w:eastAsia="Arial" w:hAnsi="Arial"/>
                <w:color w:val="1E293B"/>
                <w:sz w:val="21"/>
                <w:szCs w:val="21"/>
              </w:rPr>
              <w:t xml:space="preserve">Group Members must implement and maintain technical and organisational security measures appropriate to the risk to personal data, including: encryption of personal data in transit (minimum TLS 1.2) and at rest (minimum AES-256); role-based access controls limiting access to personal data to authorised personnel with a need to know; multi-factor authentication for systems processing personal data; regular security assessments, vulnerability scanning, and penetration testing; employee security training as described in Section 13; and incident response procedures enabling timely breach notification. The security measures applicable to specific categories of personal data are further described in SIGN's Security Attachment.</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8 — Data Breach Notification  </w:t>
            </w:r>
            <w:r>
              <w:rPr>
                <w:rFonts w:ascii="Arial" w:cs="Arial" w:eastAsia="Arial" w:hAnsi="Arial"/>
                <w:color w:val="64748B"/>
                <w:sz w:val="21"/>
                <w:szCs w:val="21"/>
              </w:rPr>
              <w:t xml:space="preserve">We must notify data subjects and authorities of data breaches in accordance with applicable law.</w:t>
            </w:r>
          </w:p>
          <w:p>
            <w:pPr>
              <w:spacing w:after="0" w:before="0"/>
              <w:jc w:val="both"/>
            </w:pPr>
            <w:r>
              <w:rPr>
                <w:rFonts w:ascii="Arial" w:cs="Arial" w:eastAsia="Arial" w:hAnsi="Arial"/>
                <w:color w:val="1E293B"/>
                <w:sz w:val="21"/>
                <w:szCs w:val="21"/>
              </w:rPr>
              <w:t xml:space="preserve">When SIGN becomes aware of a personal data breach that is likely to result in a risk to the rights and freedoms of natural persons, SIGN must: notify the relevant supervisory authority without undue delay and, where feasible, within 72 hours of becoming aware of the breach; notify affected data subjects without undue delay if the breach is likely to result in a high risk to their rights and freedoms; document all breaches regardless of whether notification is required; and notify the DPO immediately upon discovering a potential breach. Breach notifications must include: the nature of the breach and categories of data and data subjects affected; the name and contact details of the DPO; the likely consequences of the breach; and the measures taken or proposed to address the breach.</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9 — Individual Rights  </w:t>
            </w:r>
            <w:r>
              <w:rPr>
                <w:rFonts w:ascii="Arial" w:cs="Arial" w:eastAsia="Arial" w:hAnsi="Arial"/>
                <w:color w:val="64748B"/>
                <w:sz w:val="21"/>
                <w:szCs w:val="21"/>
              </w:rPr>
              <w:t xml:space="preserve">We must respect and facilitate the exercise of data subjects' rights.</w:t>
            </w:r>
          </w:p>
          <w:p>
            <w:pPr>
              <w:spacing w:after="0" w:before="0"/>
              <w:jc w:val="both"/>
            </w:pPr>
            <w:r>
              <w:rPr>
                <w:rFonts w:ascii="Arial" w:cs="Arial" w:eastAsia="Arial" w:hAnsi="Arial"/>
                <w:color w:val="1E293B"/>
                <w:sz w:val="21"/>
                <w:szCs w:val="21"/>
              </w:rPr>
              <w:t xml:space="preserve">SIGN must facilitate the exercise of the following rights by data subjects in relation to their personal data: (a) Right to Access — provide a copy of personal data held and information about processing; (b) Right to Rectification — correct inaccurate or incomplete data; (c) Right to Erasure — delete data when no longer necessary, consent withdrawn, or processing unlawful; (d) Right to Restriction — restrict processing in specified circumstances; (e) Right to Data Portability — provide personal data in machine-readable format; (f) Right to Object — object to processing based on legitimate interests or for direct marketing; and (g) Right Not to Be Subject to Solely Automated Decisions — where applicable. The Data Protection Rights Procedure in Appendix A5 governs how SIGN handles these requests.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10 — International Transfers  </w:t>
            </w:r>
            <w:r>
              <w:rPr>
                <w:rFonts w:ascii="Arial" w:cs="Arial" w:eastAsia="Arial" w:hAnsi="Arial"/>
                <w:color w:val="64748B"/>
                <w:sz w:val="21"/>
                <w:szCs w:val="21"/>
              </w:rPr>
              <w:t xml:space="preserve">We must ensure adequate protection for personal data transferred across borders.</w:t>
            </w:r>
          </w:p>
          <w:p>
            <w:pPr>
              <w:spacing w:after="0" w:before="0"/>
              <w:jc w:val="both"/>
            </w:pPr>
            <w:r>
              <w:rPr>
                <w:rFonts w:ascii="Arial" w:cs="Arial" w:eastAsia="Arial" w:hAnsi="Arial"/>
                <w:color w:val="1E293B"/>
                <w:sz w:val="21"/>
                <w:szCs w:val="21"/>
              </w:rPr>
              <w:t xml:space="preserve">Personal data may only be transferred from a Group Member in one country to a Group Member in another country, or to a third party in another country, where adequate protection is ensured. Adequate protection may be provided by: this Privacy Code itself (for intra-group transfers); Standard Contractual Clauses (for transfers to third parties, particularly from EU/EEA); adequacy decisions (for transfers to countries recognized as providing adequate protection); specific derogations permitted by applicable data protection law; or other approved transfer mechanisms. Before any new cross-border transfer, a Transfer Impact Assessment must be conducted in accordance with Section 17.</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11 — Accountability  </w:t>
            </w:r>
            <w:r>
              <w:rPr>
                <w:rFonts w:ascii="Arial" w:cs="Arial" w:eastAsia="Arial" w:hAnsi="Arial"/>
                <w:color w:val="64748B"/>
                <w:sz w:val="21"/>
                <w:szCs w:val="21"/>
              </w:rPr>
              <w:t xml:space="preserve">We must demonstrate compliance with applicable data protection law and this Controller Policy.</w:t>
            </w:r>
          </w:p>
          <w:p>
            <w:pPr>
              <w:spacing w:after="0" w:before="0"/>
              <w:jc w:val="both"/>
            </w:pPr>
            <w:r>
              <w:rPr>
                <w:rFonts w:ascii="Arial" w:cs="Arial" w:eastAsia="Arial" w:hAnsi="Arial"/>
                <w:color w:val="1E293B"/>
                <w:sz w:val="21"/>
                <w:szCs w:val="21"/>
              </w:rPr>
              <w:t xml:space="preserve">SIGN must maintain records of processing activities, conduct Data Protection Impact Assessments (DPIAs) for high-risk processing, implement data protection by design and default, maintain this Privacy Code and update it as necessary, cooperate with supervisory authorities, and conduct periodic audits to assess compliance with this Controller Policy. The Privacy Compliance Structure in Appendix A6 sets out SIGN's accountability framework.</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12 — Sensitive Personal Data  </w:t>
            </w:r>
            <w:r>
              <w:rPr>
                <w:rFonts w:ascii="Arial" w:cs="Arial" w:eastAsia="Arial" w:hAnsi="Arial"/>
                <w:color w:val="64748B"/>
                <w:sz w:val="21"/>
                <w:szCs w:val="21"/>
              </w:rPr>
              <w:t xml:space="preserve">We must apply enhanced protection to sensitive categories of personal data.</w:t>
            </w:r>
          </w:p>
          <w:p>
            <w:pPr>
              <w:spacing w:after="0" w:before="0"/>
              <w:jc w:val="both"/>
            </w:pPr>
            <w:r>
              <w:rPr>
                <w:rFonts w:ascii="Arial" w:cs="Arial" w:eastAsia="Arial" w:hAnsi="Arial"/>
                <w:color w:val="1E293B"/>
                <w:sz w:val="21"/>
                <w:szCs w:val="21"/>
              </w:rPr>
              <w:t xml:space="preserve">Processing of sensitive personal data (as defined in Section 2) is permitted only where: the data subject has given explicit consent; processing is necessary for employment law purposes; processing is necessary to protect vital interests; processing relates to data manifestly made public by the data subject; or other specific legal basis applies under applicable law. Before initiating any processing of sensitive personal data, Group Members must consult the DPO and, where required, conduct a DPIA. Sensitive personal data must be encrypted at all times and access must be restricted to the minimum number of personnel necessary.</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4. DELIVERING COMPLIANCE IN PRACTICE — CONTROLLER</w:t>
      </w:r>
    </w:p>
    <w:p>
      <w:pPr>
        <w:pStyle w:val="Heading2"/>
        <w:spacing w:after="120" w:before="280"/>
      </w:pPr>
      <w:r>
        <w:rPr>
          <w:rFonts w:ascii="Arial" w:cs="Arial" w:eastAsia="Arial" w:hAnsi="Arial"/>
          <w:b/>
          <w:bCs/>
          <w:color w:val="0F1729"/>
          <w:sz w:val="25"/>
          <w:szCs w:val="25"/>
        </w:rPr>
        <w:t xml:space="preserve">4.1  Privacy by Design and Default</w:t>
      </w:r>
    </w:p>
    <w:p>
      <w:pPr>
        <w:spacing w:after="80" w:before="80" w:line="276"/>
        <w:jc w:val="both"/>
      </w:pPr>
      <w:r>
        <w:rPr>
          <w:rFonts w:ascii="Arial" w:cs="Arial" w:eastAsia="Arial" w:hAnsi="Arial"/>
          <w:b w:val="false"/>
          <w:bCs w:val="false"/>
          <w:i w:val="false"/>
          <w:iCs w:val="false"/>
          <w:color w:val="000000"/>
          <w:sz w:val="22"/>
          <w:szCs w:val="22"/>
        </w:rPr>
        <w:t xml:space="preserve">All new products, services, processing activities, and significant changes to existing processing must incorporate data protection principles from the earliest design stage. Privacy by Design requires that: data minimisation is embedded into technical specifications; access controls are designed before deployment; default settings protect the most personal data; only data strictly necessary for the specific purpose is processed by default. The DPO must be consulted during design and before launch of any new processing activity involving personal data.</w:t>
      </w:r>
    </w:p>
    <w:p>
      <w:pPr>
        <w:pStyle w:val="Heading2"/>
        <w:spacing w:after="120" w:before="280"/>
      </w:pPr>
      <w:r>
        <w:rPr>
          <w:rFonts w:ascii="Arial" w:cs="Arial" w:eastAsia="Arial" w:hAnsi="Arial"/>
          <w:b/>
          <w:bCs/>
          <w:color w:val="0F1729"/>
          <w:sz w:val="25"/>
          <w:szCs w:val="25"/>
        </w:rPr>
        <w:t xml:space="preserve">4.2  Data Protection Impact Assessments (DPIAs)</w:t>
      </w:r>
    </w:p>
    <w:p>
      <w:pPr>
        <w:spacing w:after="80" w:before="80" w:line="276"/>
        <w:jc w:val="both"/>
      </w:pPr>
      <w:r>
        <w:rPr>
          <w:rFonts w:ascii="Arial" w:cs="Arial" w:eastAsia="Arial" w:hAnsi="Arial"/>
          <w:b w:val="false"/>
          <w:bCs w:val="false"/>
          <w:i w:val="false"/>
          <w:iCs w:val="false"/>
          <w:color w:val="000000"/>
          <w:sz w:val="22"/>
          <w:szCs w:val="22"/>
        </w:rPr>
        <w:t xml:space="preserve">A DPIA must be conducted before commencing any processing that is likely to result in high risk to individuals' rights and freedoms. SIGN must conduct DPIAs for: large-scale processing of sensitive personal data; systematic monitoring of individuals; processing using new technologies; AI-based processing that may produce legal or similarly significant effects; and any transfer of personal data to a country without adequate protection. DPIAs must be reviewed by the DPO and, where required, consulted with the relevant supervisory authority.</w:t>
      </w:r>
    </w:p>
    <w:p>
      <w:pPr>
        <w:pStyle w:val="Heading2"/>
        <w:spacing w:after="120" w:before="280"/>
      </w:pPr>
      <w:r>
        <w:rPr>
          <w:rFonts w:ascii="Arial" w:cs="Arial" w:eastAsia="Arial" w:hAnsi="Arial"/>
          <w:b/>
          <w:bCs/>
          <w:color w:val="0F1729"/>
          <w:sz w:val="25"/>
          <w:szCs w:val="25"/>
        </w:rPr>
        <w:t xml:space="preserve">4.3  Records of Processing Activities</w:t>
      </w:r>
    </w:p>
    <w:p>
      <w:pPr>
        <w:spacing w:after="80" w:before="80" w:line="276"/>
        <w:jc w:val="both"/>
      </w:pPr>
      <w:r>
        <w:rPr>
          <w:rFonts w:ascii="Arial" w:cs="Arial" w:eastAsia="Arial" w:hAnsi="Arial"/>
          <w:b w:val="false"/>
          <w:bCs w:val="false"/>
          <w:i w:val="false"/>
          <w:iCs w:val="false"/>
          <w:color w:val="000000"/>
          <w:sz w:val="22"/>
          <w:szCs w:val="22"/>
        </w:rPr>
        <w:t xml:space="preserve">SIGN maintains a Record of Processing Activities (RoPA) in accordance with applicable data protection law. The RoPA documents: the identity of the controller and DPO; the purposes of processing; categories of data subjects and personal data; recipients or categories of recipients; details of cross-border transfers; retention periods; and a description of security measures. The RoPA is maintained by the DPO and reviewed at least annually.</w:t>
      </w:r>
    </w:p>
    <w:p>
      <w:pPr>
        <w:pStyle w:val="Heading2"/>
        <w:spacing w:after="120" w:before="280"/>
      </w:pPr>
      <w:r>
        <w:rPr>
          <w:rFonts w:ascii="Arial" w:cs="Arial" w:eastAsia="Arial" w:hAnsi="Arial"/>
          <w:b/>
          <w:bCs/>
          <w:color w:val="0F1729"/>
          <w:sz w:val="25"/>
          <w:szCs w:val="25"/>
        </w:rPr>
        <w:t xml:space="preserve">4.4  Vendor and Processor Due Diligence</w:t>
      </w:r>
    </w:p>
    <w:p>
      <w:pPr>
        <w:spacing w:after="80" w:before="80" w:line="276"/>
        <w:jc w:val="both"/>
      </w:pPr>
      <w:r>
        <w:rPr>
          <w:rFonts w:ascii="Arial" w:cs="Arial" w:eastAsia="Arial" w:hAnsi="Arial"/>
          <w:b w:val="false"/>
          <w:bCs w:val="false"/>
          <w:i w:val="false"/>
          <w:iCs w:val="false"/>
          <w:color w:val="000000"/>
          <w:sz w:val="22"/>
          <w:szCs w:val="22"/>
        </w:rPr>
        <w:t xml:space="preserve">Before appointing any third-party processor, SIGN must: conduct due diligence on the processor's data protection practices; execute a Data Processing Agreement (DPA) that complies with applicable data protection law; ensure the DPA incorporates appropriate cross-border transfer safeguards where applicable; and monitor processor compliance on an ongoing basis. Current sub-processors are listed in Appendix A7 and at www.sign.io/legal/subprocessors.</w:t>
      </w:r>
    </w:p>
    <w:p>
      <w:pPr>
        <w:pStyle w:val="Heading2"/>
        <w:spacing w:after="120" w:before="280"/>
      </w:pPr>
      <w:r>
        <w:rPr>
          <w:rFonts w:ascii="Arial" w:cs="Arial" w:eastAsia="Arial" w:hAnsi="Arial"/>
          <w:b/>
          <w:bCs/>
          <w:color w:val="0F1729"/>
          <w:sz w:val="25"/>
          <w:szCs w:val="25"/>
        </w:rPr>
        <w:t xml:space="preserve">4.5  Staff Training and Awareness</w:t>
      </w:r>
    </w:p>
    <w:p>
      <w:pPr>
        <w:spacing w:after="80" w:before="80" w:line="276"/>
        <w:jc w:val="both"/>
      </w:pPr>
      <w:r>
        <w:rPr>
          <w:rFonts w:ascii="Arial" w:cs="Arial" w:eastAsia="Arial" w:hAnsi="Arial"/>
          <w:b w:val="false"/>
          <w:bCs w:val="false"/>
          <w:i w:val="false"/>
          <w:iCs w:val="false"/>
          <w:color w:val="000000"/>
          <w:sz w:val="22"/>
          <w:szCs w:val="22"/>
        </w:rPr>
        <w:t xml:space="preserve">All Staff must receive data protection training appropriate to their role. Training requirements are set out in Section 13. The DPO maintains records of all training completed. Staff who fail to complete mandatory training within the required timeframe will have their access to personal data systems restricted until training is completed.</w:t>
      </w:r>
    </w:p>
    <w:p>
      <w:pPr>
        <w:pStyle w:val="Heading2"/>
        <w:spacing w:after="120" w:before="280"/>
      </w:pPr>
      <w:r>
        <w:rPr>
          <w:rFonts w:ascii="Arial" w:cs="Arial" w:eastAsia="Arial" w:hAnsi="Arial"/>
          <w:b/>
          <w:bCs/>
          <w:color w:val="0F1729"/>
          <w:sz w:val="25"/>
          <w:szCs w:val="25"/>
        </w:rPr>
        <w:t xml:space="preserve">4.6  Internal Reporting</w:t>
      </w:r>
    </w:p>
    <w:p>
      <w:pPr>
        <w:spacing w:after="80" w:before="80" w:line="276"/>
        <w:jc w:val="both"/>
      </w:pPr>
      <w:r>
        <w:rPr>
          <w:rFonts w:ascii="Arial" w:cs="Arial" w:eastAsia="Arial" w:hAnsi="Arial"/>
          <w:b w:val="false"/>
          <w:bCs w:val="false"/>
          <w:i w:val="false"/>
          <w:iCs w:val="false"/>
          <w:color w:val="000000"/>
          <w:sz w:val="22"/>
          <w:szCs w:val="22"/>
        </w:rPr>
        <w:t xml:space="preserve">Group Members must report the following to the DPO immediately: any suspected or confirmed personal data breach; any government or law enforcement request for personal data; any complaint from a data subject regarding SIGN's data processing; any new processing activity involving personal data; and any significant change to existing processing activities.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5. THIRD-PARTY BENEFICIARY RIGHTS — CONTROLLER</w:t>
      </w:r>
    </w:p>
    <w:p>
      <w:pPr>
        <w:pStyle w:val="Heading2"/>
        <w:spacing w:after="120" w:before="280"/>
      </w:pPr>
      <w:r>
        <w:rPr>
          <w:rFonts w:ascii="Arial" w:cs="Arial" w:eastAsia="Arial" w:hAnsi="Arial"/>
          <w:b/>
          <w:bCs/>
          <w:color w:val="0F1729"/>
          <w:sz w:val="25"/>
          <w:szCs w:val="25"/>
        </w:rPr>
        <w:t xml:space="preserve">5.1  Rights of Data Subjects as Third-Party Beneficiaries</w:t>
      </w:r>
    </w:p>
    <w:p>
      <w:pPr>
        <w:spacing w:after="80" w:before="80" w:line="276"/>
        <w:jc w:val="both"/>
      </w:pPr>
      <w:r>
        <w:rPr>
          <w:rFonts w:ascii="Arial" w:cs="Arial" w:eastAsia="Arial" w:hAnsi="Arial"/>
          <w:b w:val="false"/>
          <w:bCs w:val="false"/>
          <w:i w:val="false"/>
          <w:iCs w:val="false"/>
          <w:color w:val="000000"/>
          <w:sz w:val="22"/>
          <w:szCs w:val="22"/>
        </w:rPr>
        <w:t xml:space="preserve">Data subjects whose personal data is protected under this Controller Policy are third-party beneficiaries of the obligations set out herein. This means that data subjects have the right to enforce the obligations in this Controller Policy against any SIGN Group Member as if they were a party to this Policy. This right exists regardless of whether the data subject has a direct contractual relationship with the relevant Group Member.</w:t>
      </w:r>
    </w:p>
    <w:p>
      <w:pPr>
        <w:pStyle w:val="Heading2"/>
        <w:spacing w:after="120" w:before="280"/>
      </w:pPr>
      <w:r>
        <w:rPr>
          <w:rFonts w:ascii="Arial" w:cs="Arial" w:eastAsia="Arial" w:hAnsi="Arial"/>
          <w:b/>
          <w:bCs/>
          <w:color w:val="0F1729"/>
          <w:sz w:val="25"/>
          <w:szCs w:val="25"/>
        </w:rPr>
        <w:t xml:space="preserve">5.2  Enforcement Against the Accountable Group Member</w:t>
      </w:r>
    </w:p>
    <w:p>
      <w:pPr>
        <w:spacing w:after="80" w:before="80" w:line="276"/>
        <w:jc w:val="both"/>
      </w:pPr>
      <w:r>
        <w:rPr>
          <w:rFonts w:ascii="Arial" w:cs="Arial" w:eastAsia="Arial" w:hAnsi="Arial"/>
          <w:b w:val="false"/>
          <w:bCs w:val="false"/>
          <w:i w:val="false"/>
          <w:iCs w:val="false"/>
          <w:color w:val="000000"/>
          <w:sz w:val="22"/>
          <w:szCs w:val="22"/>
        </w:rPr>
        <w:t xml:space="preserve">Where a non-UAE Group Member (or a third-party processor appointed by a Group Member) processes personal data in breach of this Controller Policy, the data subject may enforce the Policy against SIGN Technologies LLC as the accountable entity. SIGN Technologies LLC accepts responsibility for compliance by all Group Members and sub-processors and will be responsible for demonstrating that any alleged breach did not occur or that the breaching entity is responsible.</w:t>
      </w:r>
    </w:p>
    <w:p>
      <w:pPr>
        <w:pStyle w:val="Heading2"/>
        <w:spacing w:after="120" w:before="280"/>
      </w:pPr>
      <w:r>
        <w:rPr>
          <w:rFonts w:ascii="Arial" w:cs="Arial" w:eastAsia="Arial" w:hAnsi="Arial"/>
          <w:b/>
          <w:bCs/>
          <w:color w:val="0F1729"/>
          <w:sz w:val="25"/>
          <w:szCs w:val="25"/>
        </w:rPr>
        <w:t xml:space="preserve">5.3  Right to Lodge Complaints</w:t>
      </w:r>
    </w:p>
    <w:p>
      <w:pPr>
        <w:spacing w:after="80" w:before="80" w:line="276"/>
        <w:jc w:val="both"/>
      </w:pPr>
      <w:r>
        <w:rPr>
          <w:rFonts w:ascii="Arial" w:cs="Arial" w:eastAsia="Arial" w:hAnsi="Arial"/>
          <w:b w:val="false"/>
          <w:bCs w:val="false"/>
          <w:i w:val="false"/>
          <w:iCs w:val="false"/>
          <w:color w:val="000000"/>
          <w:sz w:val="22"/>
          <w:szCs w:val="22"/>
        </w:rPr>
        <w:t xml:space="preserve">Data subjects may lodge complaints regarding SIGN's data processing practices with: the DPO at privacy@sign.io; the UAE Data Office (for UAE-based data subjects); the relevant national supervisory authority in their jurisdiction; or through SIGN's Complaint Handling Procedure in Section 15. SIGN will respond to all complaints within 30 days of receipt.</w:t>
      </w:r>
    </w:p>
    <w:p>
      <w:pPr>
        <w:pStyle w:val="Heading2"/>
        <w:spacing w:after="120" w:before="280"/>
      </w:pPr>
      <w:r>
        <w:rPr>
          <w:rFonts w:ascii="Arial" w:cs="Arial" w:eastAsia="Arial" w:hAnsi="Arial"/>
          <w:b/>
          <w:bCs/>
          <w:color w:val="0F1729"/>
          <w:sz w:val="25"/>
          <w:szCs w:val="25"/>
        </w:rPr>
        <w:t xml:space="preserve">5.4  Right to Judicial Remedy</w:t>
      </w:r>
    </w:p>
    <w:p>
      <w:pPr>
        <w:spacing w:after="80" w:before="80" w:line="276"/>
        <w:jc w:val="both"/>
      </w:pPr>
      <w:r>
        <w:rPr>
          <w:rFonts w:ascii="Arial" w:cs="Arial" w:eastAsia="Arial" w:hAnsi="Arial"/>
          <w:b w:val="false"/>
          <w:bCs w:val="false"/>
          <w:i w:val="false"/>
          <w:iCs w:val="false"/>
          <w:color w:val="000000"/>
          <w:sz w:val="22"/>
          <w:szCs w:val="22"/>
        </w:rPr>
        <w:t xml:space="preserve">Data subjects have the right to seek judicial remedy in their jurisdiction of habitual residence or establishment if they believe their rights under this Privacy Code have been infringed and SIGN has failed to adequately address their complaint.</w:t>
      </w:r>
    </w:p>
    <w:p>
      <w:pPr>
        <w:spacing w:after="120" w:before="0"/>
      </w:pPr>
      <w:r>
        <w:rPr>
          <w:rFonts w:ascii="Arial" w:cs="Arial" w:eastAsia="Arial" w:hAnsi="Arial"/>
          <w:b w:val="false"/>
          <w:bCs w:val="false"/>
          <w:i w:val="false"/>
          <w:iCs w:val="false"/>
          <w:color w:val="000000"/>
          <w:sz w:val="22"/>
          <w:szCs w:val="22"/>
        </w:rPr>
        <w:t xml:space="preserve"/>
      </w:r>
    </w:p>
    <w:p>
      <w:pPr>
        <w:pBdr>
          <w:bottom w:val="single" w:color="4F6EF7" w:sz="4" w:space="4"/>
        </w:pBdr>
        <w:spacing w:after="200" w:before="200"/>
      </w:pPr>
      <w:r>
        <w:rPr>
          <w:rFonts w:ascii="Arial" w:cs="Arial" w:eastAsia="Arial" w:hAnsi="Arial"/>
          <w:b w:val="false"/>
          <w:bCs w:val="false"/>
          <w:i w:val="false"/>
          <w:iCs w:val="false"/>
          <w:color w:val="000000"/>
          <w:sz w:val="22"/>
          <w:szCs w:val="22"/>
        </w:rPr>
        <w:t xml:space="preserve"/>
      </w:r>
    </w:p>
    <w:p>
      <w:pPr>
        <w:pBdr>
          <w:top w:val="single" w:color="0D9488" w:sz="8"/>
          <w:bottom w:val="single" w:color="0D9488" w:sz="8"/>
        </w:pBdr>
        <w:shd w:fill="0F1729" w:val="clear"/>
        <w:spacing w:after="0" w:before="0"/>
        <w:jc w:val="center"/>
      </w:pPr>
      <w:r>
        <w:rPr>
          <w:rFonts w:ascii="Arial" w:cs="Arial" w:eastAsia="Arial" w:hAnsi="Arial"/>
          <w:b/>
          <w:bCs/>
          <w:color w:val="FFFFFF"/>
          <w:sz w:val="36"/>
          <w:szCs w:val="36"/>
        </w:rPr>
        <w:t xml:space="preserve">PART B — BCR PROCESSOR POLICY</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6. INTRODUCTION AND SCOPE — PROCESSOR POLICY</w:t>
      </w:r>
    </w:p>
    <w:p>
      <w:pPr>
        <w:pStyle w:val="Heading2"/>
        <w:spacing w:after="120" w:before="280"/>
      </w:pPr>
      <w:r>
        <w:rPr>
          <w:rFonts w:ascii="Arial" w:cs="Arial" w:eastAsia="Arial" w:hAnsi="Arial"/>
          <w:b/>
          <w:bCs/>
          <w:color w:val="0F1729"/>
          <w:sz w:val="25"/>
          <w:szCs w:val="25"/>
        </w:rPr>
        <w:t xml:space="preserve">6.1  Purpose of the Processor Policy</w:t>
      </w:r>
    </w:p>
    <w:p>
      <w:pPr>
        <w:spacing w:after="80" w:before="80" w:line="276"/>
        <w:jc w:val="both"/>
      </w:pPr>
      <w:r>
        <w:rPr>
          <w:rFonts w:ascii="Arial" w:cs="Arial" w:eastAsia="Arial" w:hAnsi="Arial"/>
          <w:b w:val="false"/>
          <w:bCs w:val="false"/>
          <w:i w:val="false"/>
          <w:iCs w:val="false"/>
          <w:color w:val="000000"/>
          <w:sz w:val="22"/>
          <w:szCs w:val="22"/>
        </w:rPr>
        <w:t xml:space="preserve">This Binding Corporate Rules: Processor Policy ("Processor Policy") establishes SIGN Technologies LLC's approach to compliance with applicable data protection laws when processing personal data on behalf of a third-party controller (a "Customer").</w:t>
      </w:r>
    </w:p>
    <w:p>
      <w:pPr>
        <w:spacing w:after="80" w:before="80" w:line="276"/>
        <w:jc w:val="both"/>
      </w:pPr>
      <w:r>
        <w:rPr>
          <w:rFonts w:ascii="Arial" w:cs="Arial" w:eastAsia="Arial" w:hAnsi="Arial"/>
          <w:b w:val="false"/>
          <w:bCs w:val="false"/>
          <w:i w:val="false"/>
          <w:iCs w:val="false"/>
          <w:color w:val="000000"/>
          <w:sz w:val="22"/>
          <w:szCs w:val="22"/>
        </w:rPr>
        <w:t xml:space="preserve">This Processor Policy sets worldwide standards that apply to all SIGN Group Members when processing personal data as a processor, regardless of the country in which the Group Member is located. The rights and obligations under this Processor Policy travel with the personal data whenever it is transferred to or between Group Members or sub-processors.</w:t>
      </w:r>
    </w:p>
    <w:p>
      <w:pPr>
        <w:pStyle w:val="Heading2"/>
        <w:spacing w:after="120" w:before="280"/>
      </w:pPr>
      <w:r>
        <w:rPr>
          <w:rFonts w:ascii="Arial" w:cs="Arial" w:eastAsia="Arial" w:hAnsi="Arial"/>
          <w:b/>
          <w:bCs/>
          <w:color w:val="0F1729"/>
          <w:sz w:val="25"/>
          <w:szCs w:val="25"/>
        </w:rPr>
        <w:t xml:space="preserve">6.2  Scope</w:t>
      </w:r>
    </w:p>
    <w:p>
      <w:pPr>
        <w:spacing w:after="80" w:before="80" w:line="276"/>
        <w:jc w:val="both"/>
      </w:pPr>
      <w:r>
        <w:rPr>
          <w:rFonts w:ascii="Arial" w:cs="Arial" w:eastAsia="Arial" w:hAnsi="Arial"/>
          <w:b w:val="false"/>
          <w:bCs w:val="false"/>
          <w:i w:val="false"/>
          <w:iCs w:val="false"/>
          <w:color w:val="000000"/>
          <w:sz w:val="22"/>
          <w:szCs w:val="22"/>
        </w:rPr>
        <w:t xml:space="preserve">This Processor Policy applies when a SIGN Group Member processes personal data as a processor on behalf of a Customer — for example, when processing construction contract documents uploaded by a Customer to the SIGN Platform. The material scope of this Processor Policy is set out in Appendix A3.</w:t>
      </w:r>
    </w:p>
    <w:p>
      <w:pPr>
        <w:pStyle w:val="Heading2"/>
        <w:spacing w:after="120" w:before="280"/>
      </w:pPr>
      <w:r>
        <w:rPr>
          <w:rFonts w:ascii="Arial" w:cs="Arial" w:eastAsia="Arial" w:hAnsi="Arial"/>
          <w:b/>
          <w:bCs/>
          <w:color w:val="0F1729"/>
          <w:sz w:val="25"/>
          <w:szCs w:val="25"/>
        </w:rPr>
        <w:t xml:space="preserve">6.3  Customer's Role as Controller</w:t>
      </w:r>
    </w:p>
    <w:p>
      <w:pPr>
        <w:spacing w:after="80" w:before="80" w:line="276"/>
        <w:jc w:val="both"/>
      </w:pPr>
      <w:r>
        <w:rPr>
          <w:rFonts w:ascii="Arial" w:cs="Arial" w:eastAsia="Arial" w:hAnsi="Arial"/>
          <w:b w:val="false"/>
          <w:bCs w:val="false"/>
          <w:i w:val="false"/>
          <w:iCs w:val="false"/>
          <w:color w:val="000000"/>
          <w:sz w:val="22"/>
          <w:szCs w:val="22"/>
        </w:rPr>
        <w:t xml:space="preserve">Under this Processor Policy, the Customer is the data controller who determines the purposes and means of processing. SIGN processes personal data only in accordance with the Customer's documented instructions. Where SIGN is unable to comply with Customer instructions or cannot fulfil its obligations under this Processor Policy, SIGN will notify the Customer promptly.</w:t>
      </w:r>
    </w:p>
    <w:p>
      <w:pPr>
        <w:pStyle w:val="Heading2"/>
        <w:spacing w:after="120" w:before="280"/>
      </w:pPr>
      <w:r>
        <w:rPr>
          <w:rFonts w:ascii="Arial" w:cs="Arial" w:eastAsia="Arial" w:hAnsi="Arial"/>
          <w:b/>
          <w:bCs/>
          <w:color w:val="0F1729"/>
          <w:sz w:val="25"/>
          <w:szCs w:val="25"/>
        </w:rPr>
        <w:t xml:space="preserve">6.4  Responsibility to Customers</w:t>
      </w:r>
    </w:p>
    <w:p>
      <w:pPr>
        <w:spacing w:after="80" w:before="80" w:line="276"/>
        <w:jc w:val="both"/>
      </w:pPr>
      <w:r>
        <w:rPr>
          <w:rFonts w:ascii="Arial" w:cs="Arial" w:eastAsia="Arial" w:hAnsi="Arial"/>
          <w:b w:val="false"/>
          <w:bCs w:val="false"/>
          <w:i w:val="false"/>
          <w:iCs w:val="false"/>
          <w:color w:val="000000"/>
          <w:sz w:val="22"/>
          <w:szCs w:val="22"/>
        </w:rPr>
        <w:t xml:space="preserve">A Customer may enforce this Processor Policy against any SIGN Group Member that breaches it. Where a non-UAE Group Member or sub-processor processes Customer personal data in breach of this Processor Policy, the Customer may enforce the Policy against SIGN Technologies LLC as the accountable entity.</w:t>
      </w:r>
    </w:p>
    <w:p>
      <w:pPr>
        <w:pStyle w:val="Heading2"/>
        <w:spacing w:after="120" w:before="280"/>
      </w:pPr>
      <w:r>
        <w:rPr>
          <w:rFonts w:ascii="Arial" w:cs="Arial" w:eastAsia="Arial" w:hAnsi="Arial"/>
          <w:b/>
          <w:bCs/>
          <w:color w:val="0F1729"/>
          <w:sz w:val="25"/>
          <w:szCs w:val="25"/>
        </w:rPr>
        <w:t xml:space="preserve">6.5  Incorporation into Customer Contracts</w:t>
      </w:r>
    </w:p>
    <w:p>
      <w:pPr>
        <w:spacing w:after="80" w:before="80" w:line="276"/>
        <w:jc w:val="both"/>
      </w:pPr>
      <w:r>
        <w:rPr>
          <w:rFonts w:ascii="Arial" w:cs="Arial" w:eastAsia="Arial" w:hAnsi="Arial"/>
          <w:b w:val="false"/>
          <w:bCs w:val="false"/>
          <w:i w:val="false"/>
          <w:iCs w:val="false"/>
          <w:color w:val="000000"/>
          <w:sz w:val="22"/>
          <w:szCs w:val="22"/>
        </w:rPr>
        <w:t xml:space="preserve">When a Customer transfers personal data to SIGN for processing under this Processor Policy, a reference to this Processor Policy is incorporated into the applicable Data Processing Agreement with that Customer. Customers who choose not to rely on this Processor Policy must implement other appropriate safeguards in accordance with applicable data protection law.</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7. PROCESSOR OBLIGATIONS — RULES 1 TO 11</w:t>
      </w:r>
    </w:p>
    <w:p>
      <w:pPr>
        <w:spacing w:after="80" w:before="80" w:line="276"/>
        <w:jc w:val="both"/>
      </w:pPr>
      <w:r>
        <w:rPr>
          <w:rFonts w:ascii="Arial" w:cs="Arial" w:eastAsia="Arial" w:hAnsi="Arial"/>
          <w:b w:val="false"/>
          <w:bCs w:val="false"/>
          <w:i w:val="false"/>
          <w:iCs w:val="false"/>
          <w:color w:val="000000"/>
          <w:sz w:val="22"/>
          <w:szCs w:val="22"/>
        </w:rPr>
        <w:t xml:space="preserve">All SIGN Group Members and Staff must comply with the following rules when processing personal data as a processor on behalf of a Customer.</w:t>
      </w:r>
    </w:p>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 — Lawfulness  </w:t>
            </w:r>
            <w:r>
              <w:rPr>
                <w:rFonts w:ascii="Arial" w:cs="Arial" w:eastAsia="Arial" w:hAnsi="Arial"/>
                <w:color w:val="64748B"/>
                <w:sz w:val="21"/>
                <w:szCs w:val="21"/>
              </w:rPr>
              <w:t xml:space="preserve">We must ensure that processing complies with applicable law and this Processor Policy.</w:t>
            </w:r>
          </w:p>
          <w:p>
            <w:pPr>
              <w:spacing w:after="0" w:before="0"/>
              <w:jc w:val="both"/>
            </w:pPr>
            <w:r>
              <w:rPr>
                <w:rFonts w:ascii="Arial" w:cs="Arial" w:eastAsia="Arial" w:hAnsi="Arial"/>
                <w:color w:val="1E293B"/>
                <w:sz w:val="21"/>
                <w:szCs w:val="21"/>
              </w:rPr>
              <w:t xml:space="preserve">Group Members must comply with applicable data protection laws and this Processor Policy when processing personal data as a processor. Where applicable data protection laws exceed this Policy's standards, the law prevails. Where no applicable law exists or the law provides lower standards, this Policy prevails. The rights and obligations in this Processor Policy travel with the personal data whenever it is transferred between Group Members or sub-processors.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2 — Cooperation with Customers  </w:t>
            </w:r>
            <w:r>
              <w:rPr>
                <w:rFonts w:ascii="Arial" w:cs="Arial" w:eastAsia="Arial" w:hAnsi="Arial"/>
                <w:color w:val="64748B"/>
                <w:sz w:val="21"/>
                <w:szCs w:val="21"/>
              </w:rPr>
              <w:t xml:space="preserve">We must cooperate with and assist the Customer to comply with its obligations.</w:t>
            </w:r>
          </w:p>
          <w:p>
            <w:pPr>
              <w:spacing w:after="0" w:before="0"/>
              <w:jc w:val="both"/>
            </w:pPr>
            <w:r>
              <w:rPr>
                <w:rFonts w:ascii="Arial" w:cs="Arial" w:eastAsia="Arial" w:hAnsi="Arial"/>
                <w:color w:val="1E293B"/>
                <w:sz w:val="21"/>
                <w:szCs w:val="21"/>
              </w:rPr>
              <w:t xml:space="preserve">SIGN must cooperate with and assist its Customer to comply with the Customer's obligations under applicable data protection law within a reasonable time and to the extent reasonably possible. Assistance includes helping the Customer to: keep personal data accurate and up to date; provide data subjects with access to their data; conduct Data Protection Impact Assessments; respond to regulatory investigations; and implement appropriate security measures. The scope of assistance will be defined in the applicable Data Processing Agreement.</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3 — Fairness and Transparency  </w:t>
            </w:r>
            <w:r>
              <w:rPr>
                <w:rFonts w:ascii="Arial" w:cs="Arial" w:eastAsia="Arial" w:hAnsi="Arial"/>
                <w:color w:val="64748B"/>
                <w:sz w:val="21"/>
                <w:szCs w:val="21"/>
              </w:rPr>
              <w:t xml:space="preserve">We must assist Customers to explain to individuals how their personal data will be processed.</w:t>
            </w:r>
          </w:p>
          <w:p>
            <w:pPr>
              <w:spacing w:after="0" w:before="0"/>
              <w:jc w:val="both"/>
            </w:pPr>
            <w:r>
              <w:rPr>
                <w:rFonts w:ascii="Arial" w:cs="Arial" w:eastAsia="Arial" w:hAnsi="Arial"/>
                <w:color w:val="1E293B"/>
                <w:sz w:val="21"/>
                <w:szCs w:val="21"/>
              </w:rPr>
              <w:t xml:space="preserve">Where SIGN processes personal data on behalf of a Customer, the Customer has the primary duty to explain to data subjects how and why their personal data will be used. SIGN will assist Customers in meeting this obligation by: providing information about SIGN's processing activities and sub-processors upon request; making this Processor Policy publicly available; and complying with any Customer contract terms that require SIGN to provide transparency information to data subjects.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4 — Purpose Limitation / Instruction Processing  </w:t>
            </w:r>
            <w:r>
              <w:rPr>
                <w:rFonts w:ascii="Arial" w:cs="Arial" w:eastAsia="Arial" w:hAnsi="Arial"/>
                <w:color w:val="64748B"/>
                <w:sz w:val="21"/>
                <w:szCs w:val="21"/>
              </w:rPr>
              <w:t xml:space="preserve">We will only process personal data in accordance with the Customer's instructions.</w:t>
            </w:r>
          </w:p>
          <w:p>
            <w:pPr>
              <w:spacing w:after="0" w:before="0"/>
              <w:jc w:val="both"/>
            </w:pPr>
            <w:r>
              <w:rPr>
                <w:rFonts w:ascii="Arial" w:cs="Arial" w:eastAsia="Arial" w:hAnsi="Arial"/>
                <w:color w:val="1E293B"/>
                <w:sz w:val="21"/>
                <w:szCs w:val="21"/>
              </w:rPr>
              <w:t xml:space="preserve">SIGN must only process personal data on behalf of the Customer in accordance with the Customer's documented instructions, including with regard to international transfers. If SIGN believes an instruction infringes applicable data protection law, SIGN must inform the Customer. If SIGN is unable to comply with an instruction, the Customer may suspend data transfers to SIGN and/or terminate the processing contract. SIGN will then return or securely delete personal data as required by the contract and, if requested, certify to the Customer that this has been done.</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5 — Data Accuracy and Minimisation  </w:t>
            </w:r>
            <w:r>
              <w:rPr>
                <w:rFonts w:ascii="Arial" w:cs="Arial" w:eastAsia="Arial" w:hAnsi="Arial"/>
                <w:color w:val="64748B"/>
                <w:sz w:val="21"/>
                <w:szCs w:val="21"/>
              </w:rPr>
              <w:t xml:space="preserve">We will assist our Customer to keep personal data accurate and up to date.</w:t>
            </w:r>
          </w:p>
          <w:p>
            <w:pPr>
              <w:spacing w:after="0" w:before="0"/>
              <w:jc w:val="both"/>
            </w:pPr>
            <w:r>
              <w:rPr>
                <w:rFonts w:ascii="Arial" w:cs="Arial" w:eastAsia="Arial" w:hAnsi="Arial"/>
                <w:color w:val="1E293B"/>
                <w:sz w:val="21"/>
                <w:szCs w:val="21"/>
              </w:rPr>
              <w:t xml:space="preserve">Where a Customer informs SIGN that personal data held by SIGN is inaccurate, SIGN must assist the Customer to update, correct, or erase that data without delay. SIGN must also take steps to inform other Group Members and sub-processors to whom the data has been disclosed of the need to make the same correction.</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6 — Storage Limitation  </w:t>
            </w:r>
            <w:r>
              <w:rPr>
                <w:rFonts w:ascii="Arial" w:cs="Arial" w:eastAsia="Arial" w:hAnsi="Arial"/>
                <w:color w:val="64748B"/>
                <w:sz w:val="21"/>
                <w:szCs w:val="21"/>
              </w:rPr>
              <w:t xml:space="preserve">We will assist our Customer to store personal data only for as long as necessary.</w:t>
            </w:r>
          </w:p>
          <w:p>
            <w:pPr>
              <w:spacing w:after="0" w:before="0"/>
              <w:jc w:val="both"/>
            </w:pPr>
            <w:r>
              <w:rPr>
                <w:rFonts w:ascii="Arial" w:cs="Arial" w:eastAsia="Arial" w:hAnsi="Arial"/>
                <w:color w:val="1E293B"/>
                <w:sz w:val="21"/>
                <w:szCs w:val="21"/>
              </w:rPr>
              <w:t xml:space="preserve">Where a Customer instructs SIGN that personal data is no longer needed for the purposes for which it was collected, SIGN will assist the Customer to erase, restrict, or anonymise that personal data without delay in accordance with the contract terms. SIGN will also notify other Group Members and sub-processors of the need to take the same action.</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7 — Security, Integrity, and Confidentiality  </w:t>
            </w:r>
            <w:r>
              <w:rPr>
                <w:rFonts w:ascii="Arial" w:cs="Arial" w:eastAsia="Arial" w:hAnsi="Arial"/>
                <w:color w:val="64748B"/>
                <w:sz w:val="21"/>
                <w:szCs w:val="21"/>
              </w:rPr>
              <w:t xml:space="preserve">We must implement appropriate technical and organisational security measures.</w:t>
            </w:r>
          </w:p>
          <w:p>
            <w:pPr>
              <w:spacing w:after="0" w:before="0"/>
              <w:jc w:val="both"/>
            </w:pPr>
            <w:r>
              <w:rPr>
                <w:rFonts w:ascii="Arial" w:cs="Arial" w:eastAsia="Arial" w:hAnsi="Arial"/>
                <w:color w:val="1E293B"/>
                <w:sz w:val="21"/>
                <w:szCs w:val="21"/>
              </w:rPr>
              <w:t xml:space="preserve">SIGN must implement and maintain the security measures specified in the applicable Data Processing Agreement with the Customer, consistent with applicable data protection law. All Staff with access to Customer personal data must: access such data only for purposes consistent with the Customer's instructions; be subject to a binding duty of confidentiality; and receive appropriate data protection training. Security measures include, at minimum: TLS 1.2+ encryption in transit; AES-256 encryption at rest; role-based access controls; multi-factor authentication; and regular security assessments.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8 — Security Incident Reporting  </w:t>
            </w:r>
            <w:r>
              <w:rPr>
                <w:rFonts w:ascii="Arial" w:cs="Arial" w:eastAsia="Arial" w:hAnsi="Arial"/>
                <w:color w:val="64748B"/>
                <w:sz w:val="21"/>
                <w:szCs w:val="21"/>
              </w:rPr>
              <w:t xml:space="preserve">We must notify Customers of any security incident affecting their personal data.</w:t>
            </w:r>
          </w:p>
          <w:p>
            <w:pPr>
              <w:spacing w:after="0" w:before="0"/>
              <w:jc w:val="both"/>
            </w:pPr>
            <w:r>
              <w:rPr>
                <w:rFonts w:ascii="Arial" w:cs="Arial" w:eastAsia="Arial" w:hAnsi="Arial"/>
                <w:color w:val="1E293B"/>
                <w:sz w:val="21"/>
                <w:szCs w:val="21"/>
              </w:rPr>
              <w:t xml:space="preserve">When SIGN becomes aware of a security incident that presents a risk to Customer personal data, SIGN must immediately notify the DPO and follow SIGN's Incident Response Procedure. The DPO will assess the incident and notify the affected Customer without undue delay where a personal data breach has occurred. Notification will include: the nature of the breach; categories of personal data and data subjects affected; DPO contact details; likely consequences of the breach; and measures taken or proposed. All incidents are logged and documentation made available to supervisory authorities on request.</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9 — Sub-Processors  </w:t>
            </w:r>
            <w:r>
              <w:rPr>
                <w:rFonts w:ascii="Arial" w:cs="Arial" w:eastAsia="Arial" w:hAnsi="Arial"/>
                <w:color w:val="64748B"/>
                <w:sz w:val="21"/>
                <w:szCs w:val="21"/>
              </w:rPr>
              <w:t xml:space="preserve">We may only appoint sub-processors with Customer authorisation and under binding obligations.</w:t>
            </w:r>
          </w:p>
          <w:p>
            <w:pPr>
              <w:spacing w:after="0" w:before="0"/>
              <w:jc w:val="both"/>
            </w:pPr>
            <w:r>
              <w:rPr>
                <w:rFonts w:ascii="Arial" w:cs="Arial" w:eastAsia="Arial" w:hAnsi="Arial"/>
                <w:color w:val="1E293B"/>
                <w:sz w:val="21"/>
                <w:szCs w:val="21"/>
              </w:rPr>
              <w:t xml:space="preserve">SIGN may only appoint or replace sub-processors: (a) under a general authorisation from the Customer (in which case SIGN must inform the Customer of any intended sub-processor additions or changes and give the Customer the opportunity to object); or (b) with specific prior written consent from the Customer. All sub-processors must be subject to written data processing agreements that impose data protection obligations equivalent to those in this Processor Policy. SIGN remains fully liable to the Customer for the acts and omissions of its sub-processors. Current sub-processors are listed in Appendix A7 and at www.sign.io/legal/subprocessors.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10 — Data Subject Rights Assistance  </w:t>
            </w:r>
            <w:r>
              <w:rPr>
                <w:rFonts w:ascii="Arial" w:cs="Arial" w:eastAsia="Arial" w:hAnsi="Arial"/>
                <w:color w:val="64748B"/>
                <w:sz w:val="21"/>
                <w:szCs w:val="21"/>
              </w:rPr>
              <w:t xml:space="preserve">We must assist the Customer to fulfil its obligations to respond to data subject rights requests.</w:t>
            </w:r>
          </w:p>
          <w:p>
            <w:pPr>
              <w:spacing w:after="0" w:before="0"/>
              <w:jc w:val="both"/>
            </w:pPr>
            <w:r>
              <w:rPr>
                <w:rFonts w:ascii="Arial" w:cs="Arial" w:eastAsia="Arial" w:hAnsi="Arial"/>
                <w:color w:val="1E293B"/>
                <w:sz w:val="21"/>
                <w:szCs w:val="21"/>
              </w:rPr>
              <w:t xml:space="preserve">To the extent technically possible and in accordance with the applicable Data Processing Agreement, SIGN must assist the Customer in responding to requests from data subjects to exercise their rights under applicable data protection law (including rights to access, rectification, erasure, restriction, portability, and objection). SIGN will implement technical measures that enable Customers to address data subject rights requests without requiring individual engineering interventions by SIGN for standard request types.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6EF7" w:sz="4"/>
              <w:left w:val="single" w:color="4F6EF7" w:sz="16"/>
              <w:bottom w:val="single" w:color="CBD5E1" w:sz="1"/>
              <w:right w:val="single" w:color="CBD5E1" w:sz="1"/>
            </w:tcBorders>
            <w:shd w:fill="FAFBFF" w:val="clear"/>
            <w:tcMar>
              <w:top w:type="dxa" w:w="140"/>
              <w:left w:type="dxa" w:w="200"/>
              <w:bottom w:type="dxa" w:w="140"/>
              <w:right w:type="dxa" w:w="200"/>
            </w:tcMar>
          </w:tcPr>
          <w:p>
            <w:pPr>
              <w:spacing w:after="80" w:before="0"/>
            </w:pPr>
            <w:r>
              <w:rPr>
                <w:rFonts w:ascii="Arial" w:cs="Arial" w:eastAsia="Arial" w:hAnsi="Arial"/>
                <w:b/>
                <w:bCs/>
                <w:color w:val="0F1729"/>
                <w:sz w:val="22"/>
                <w:szCs w:val="22"/>
              </w:rPr>
              <w:t xml:space="preserve">Rule 11 — Audit Rights  </w:t>
            </w:r>
            <w:r>
              <w:rPr>
                <w:rFonts w:ascii="Arial" w:cs="Arial" w:eastAsia="Arial" w:hAnsi="Arial"/>
                <w:color w:val="64748B"/>
                <w:sz w:val="21"/>
                <w:szCs w:val="21"/>
              </w:rPr>
              <w:t xml:space="preserve">We must allow and contribute to audits conducted by Customers or their mandated auditors.</w:t>
            </w:r>
          </w:p>
          <w:p>
            <w:pPr>
              <w:spacing w:after="0" w:before="0"/>
              <w:jc w:val="both"/>
            </w:pPr>
            <w:r>
              <w:rPr>
                <w:rFonts w:ascii="Arial" w:cs="Arial" w:eastAsia="Arial" w:hAnsi="Arial"/>
                <w:color w:val="1E293B"/>
                <w:sz w:val="21"/>
                <w:szCs w:val="21"/>
              </w:rPr>
              <w:t xml:space="preserve">SIGN must make available to Customers all information necessary to demonstrate compliance with its processor obligations, and must allow for and contribute to audits and inspections conducted by the Customer or an auditor mandated by the Customer. Audits must be conducted during normal business hours with reasonable notice (minimum 14 days except in cases of suspected serious breach), no more than once per year per Customer, and must be subject to confidentiality obligations. SIGN may require auditors to sign a non-disclosure agreement before commencing an audit.</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8. DELIVERING COMPLIANCE IN PRACTICE — PROCESSOR</w:t>
      </w:r>
    </w:p>
    <w:p>
      <w:pPr>
        <w:pStyle w:val="Heading2"/>
        <w:spacing w:after="120" w:before="280"/>
      </w:pPr>
      <w:r>
        <w:rPr>
          <w:rFonts w:ascii="Arial" w:cs="Arial" w:eastAsia="Arial" w:hAnsi="Arial"/>
          <w:b/>
          <w:bCs/>
          <w:color w:val="0F1729"/>
          <w:sz w:val="25"/>
          <w:szCs w:val="25"/>
        </w:rPr>
        <w:t xml:space="preserve">8.1  Data Processing Agreements</w:t>
      </w:r>
    </w:p>
    <w:p>
      <w:pPr>
        <w:spacing w:after="80" w:before="80" w:line="276"/>
        <w:jc w:val="both"/>
      </w:pPr>
      <w:r>
        <w:rPr>
          <w:rFonts w:ascii="Arial" w:cs="Arial" w:eastAsia="Arial" w:hAnsi="Arial"/>
          <w:b w:val="false"/>
          <w:bCs w:val="false"/>
          <w:i w:val="false"/>
          <w:iCs w:val="false"/>
          <w:color w:val="000000"/>
          <w:sz w:val="22"/>
          <w:szCs w:val="22"/>
        </w:rPr>
        <w:t xml:space="preserve">SIGN executes a Data Processing Agreement (DPA) with every Customer whose personal data SIGN processes as a processor. The DPA incorporates: the scope and nature of processing; the categories of personal data and data subjects; the Customer's instructions regarding processing; the technical and organisational security measures SIGN will implement; sub-processor authorisation and change notification procedures; data subject rights assistance procedures; breach notification timelines; data deletion or return obligations; and Customer audit rights.</w:t>
      </w:r>
    </w:p>
    <w:p>
      <w:pPr>
        <w:spacing w:after="80" w:before="80" w:line="276"/>
        <w:jc w:val="both"/>
      </w:pPr>
      <w:r>
        <w:rPr>
          <w:rFonts w:ascii="Arial" w:cs="Arial" w:eastAsia="Arial" w:hAnsi="Arial"/>
          <w:b w:val="false"/>
          <w:bCs w:val="false"/>
          <w:i w:val="false"/>
          <w:iCs w:val="false"/>
          <w:color w:val="000000"/>
          <w:sz w:val="22"/>
          <w:szCs w:val="22"/>
        </w:rPr>
        <w:t xml:space="preserve">SIGN's standard DPA template is available upon request from privacy@sign.io. Enterprise Customers may negotiate customised DPA terms.</w:t>
      </w:r>
    </w:p>
    <w:p>
      <w:pPr>
        <w:pStyle w:val="Heading2"/>
        <w:spacing w:after="120" w:before="280"/>
      </w:pPr>
      <w:r>
        <w:rPr>
          <w:rFonts w:ascii="Arial" w:cs="Arial" w:eastAsia="Arial" w:hAnsi="Arial"/>
          <w:b/>
          <w:bCs/>
          <w:color w:val="0F1729"/>
          <w:sz w:val="25"/>
          <w:szCs w:val="25"/>
        </w:rPr>
        <w:t xml:space="preserve">8.2  Sub-Processor Management</w:t>
      </w:r>
    </w:p>
    <w:p>
      <w:pPr>
        <w:spacing w:after="80" w:before="80" w:line="276"/>
        <w:jc w:val="both"/>
      </w:pPr>
      <w:r>
        <w:rPr>
          <w:rFonts w:ascii="Arial" w:cs="Arial" w:eastAsia="Arial" w:hAnsi="Arial"/>
          <w:b w:val="false"/>
          <w:bCs w:val="false"/>
          <w:i w:val="false"/>
          <w:iCs w:val="false"/>
          <w:color w:val="000000"/>
          <w:sz w:val="22"/>
          <w:szCs w:val="22"/>
        </w:rPr>
        <w:t xml:space="preserve">SIGN maintains a current list of approved sub-processors at www.sign.io/legal/subprocessors. SIGN notifies Customers of intended additions or replacements of sub-processors at least 30 days before the change takes effect, giving Customers the opportunity to object. Where a Customer objects to a proposed sub-processor and SIGN cannot accommodate the objection by providing an equivalent service without the sub-processor, the Customer may terminate the affected part of the service without penalty.</w:t>
      </w:r>
    </w:p>
    <w:p>
      <w:pPr>
        <w:pStyle w:val="Heading2"/>
        <w:spacing w:after="120" w:before="280"/>
      </w:pPr>
      <w:r>
        <w:rPr>
          <w:rFonts w:ascii="Arial" w:cs="Arial" w:eastAsia="Arial" w:hAnsi="Arial"/>
          <w:b/>
          <w:bCs/>
          <w:color w:val="0F1729"/>
          <w:sz w:val="25"/>
          <w:szCs w:val="25"/>
        </w:rPr>
        <w:t xml:space="preserve">8.3  Processor Audit Protocol</w:t>
      </w:r>
    </w:p>
    <w:p>
      <w:pPr>
        <w:spacing w:after="80" w:before="80" w:line="276"/>
        <w:jc w:val="both"/>
      </w:pPr>
      <w:r>
        <w:rPr>
          <w:rFonts w:ascii="Arial" w:cs="Arial" w:eastAsia="Arial" w:hAnsi="Arial"/>
          <w:b w:val="false"/>
          <w:bCs w:val="false"/>
          <w:i w:val="false"/>
          <w:iCs w:val="false"/>
          <w:color w:val="000000"/>
          <w:sz w:val="22"/>
          <w:szCs w:val="22"/>
        </w:rPr>
        <w:t xml:space="preserve">Customer audit rights under Rule 11 are supplemented by: SIGN's annual internal audit of processor compliance (conducted by the DPO or an independent auditor); SIGN's provision of relevant third-party audit reports and certifications (such as ISO 27001 and SOC 2) to Customers on request; and SIGN's participation in supervisory authority investigations where required. The full audit protocol is set out in Section 14.</w:t>
      </w:r>
    </w:p>
    <w:p>
      <w:pPr>
        <w:pStyle w:val="Heading2"/>
        <w:spacing w:after="120" w:before="280"/>
      </w:pPr>
      <w:r>
        <w:rPr>
          <w:rFonts w:ascii="Arial" w:cs="Arial" w:eastAsia="Arial" w:hAnsi="Arial"/>
          <w:b/>
          <w:bCs/>
          <w:color w:val="0F1729"/>
          <w:sz w:val="25"/>
          <w:szCs w:val="25"/>
        </w:rPr>
        <w:t xml:space="preserve">8.4  Return and Deletion of Customer Data</w:t>
      </w:r>
    </w:p>
    <w:p>
      <w:pPr>
        <w:spacing w:after="80" w:before="80" w:line="276"/>
        <w:jc w:val="both"/>
      </w:pPr>
      <w:r>
        <w:rPr>
          <w:rFonts w:ascii="Arial" w:cs="Arial" w:eastAsia="Arial" w:hAnsi="Arial"/>
          <w:b w:val="false"/>
          <w:bCs w:val="false"/>
          <w:i w:val="false"/>
          <w:iCs w:val="false"/>
          <w:color w:val="000000"/>
          <w:sz w:val="22"/>
          <w:szCs w:val="22"/>
        </w:rPr>
        <w:t xml:space="preserve">At the end of the provision of services, SIGN will, at the Customer's election and in accordance with the DPA: (a) return all Customer personal data to the Customer in a standard machine-readable format; or (b) securely delete all Customer personal data. SIGN will certify in writing to the Customer that all Customer personal data has been returned or deleted, including all copies held by sub-processors. Exceptions apply where SIGN is required to retain data by applicable law; in such cases SIGN will inform the Customer of the retention requirement and duration.</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9. THIRD-PARTY BENEFICIARY RIGHTS — PROCESSOR</w:t>
      </w:r>
    </w:p>
    <w:p>
      <w:pPr>
        <w:pStyle w:val="Heading2"/>
        <w:spacing w:after="120" w:before="280"/>
      </w:pPr>
      <w:r>
        <w:rPr>
          <w:rFonts w:ascii="Arial" w:cs="Arial" w:eastAsia="Arial" w:hAnsi="Arial"/>
          <w:b/>
          <w:bCs/>
          <w:color w:val="0F1729"/>
          <w:sz w:val="25"/>
          <w:szCs w:val="25"/>
        </w:rPr>
        <w:t xml:space="preserve">9.1  Customers as Third-Party Beneficiaries</w:t>
      </w:r>
    </w:p>
    <w:p>
      <w:pPr>
        <w:spacing w:after="80" w:before="80" w:line="276"/>
        <w:jc w:val="both"/>
      </w:pPr>
      <w:r>
        <w:rPr>
          <w:rFonts w:ascii="Arial" w:cs="Arial" w:eastAsia="Arial" w:hAnsi="Arial"/>
          <w:b w:val="false"/>
          <w:bCs w:val="false"/>
          <w:i w:val="false"/>
          <w:iCs w:val="false"/>
          <w:color w:val="000000"/>
          <w:sz w:val="22"/>
          <w:szCs w:val="22"/>
        </w:rPr>
        <w:t xml:space="preserve">Customers whose personal data is processed by SIGN under this Processor Policy are third-party beneficiaries of the obligations set out herein. Customers have the right to enforce the obligations in this Processor Policy against any SIGN Group Member as if they were a party to this Policy. A Customer may enforce this Processor Policy against SIGN Technologies LLC as the accountable entity regardless of which Group Member committed the breach.</w:t>
      </w:r>
    </w:p>
    <w:p>
      <w:pPr>
        <w:pStyle w:val="Heading2"/>
        <w:spacing w:after="120" w:before="280"/>
      </w:pPr>
      <w:r>
        <w:rPr>
          <w:rFonts w:ascii="Arial" w:cs="Arial" w:eastAsia="Arial" w:hAnsi="Arial"/>
          <w:b/>
          <w:bCs/>
          <w:color w:val="0F1729"/>
          <w:sz w:val="25"/>
          <w:szCs w:val="25"/>
        </w:rPr>
        <w:t xml:space="preserve">9.2  Data Subjects as Third-Party Beneficiaries</w:t>
      </w:r>
    </w:p>
    <w:p>
      <w:pPr>
        <w:spacing w:after="80" w:before="80" w:line="276"/>
        <w:jc w:val="both"/>
      </w:pPr>
      <w:r>
        <w:rPr>
          <w:rFonts w:ascii="Arial" w:cs="Arial" w:eastAsia="Arial" w:hAnsi="Arial"/>
          <w:b w:val="false"/>
          <w:bCs w:val="false"/>
          <w:i w:val="false"/>
          <w:iCs w:val="false"/>
          <w:color w:val="000000"/>
          <w:sz w:val="22"/>
          <w:szCs w:val="22"/>
        </w:rPr>
        <w:t xml:space="preserve">To the extent permitted by applicable law, data subjects whose personal data is processed by SIGN as a processor on behalf of a Customer are also third-party beneficiaries of this Processor Policy. Data subjects may lodge complaints regarding SIGN's processing of their personal data with the DPO or with the relevant supervisory authority, even where their personal data is processed on behalf of a Customer rather than by SIGN as controller.</w:t>
      </w:r>
    </w:p>
    <w:p>
      <w:pPr>
        <w:pStyle w:val="Heading2"/>
        <w:spacing w:after="120" w:before="280"/>
      </w:pPr>
      <w:r>
        <w:rPr>
          <w:rFonts w:ascii="Arial" w:cs="Arial" w:eastAsia="Arial" w:hAnsi="Arial"/>
          <w:b/>
          <w:bCs/>
          <w:color w:val="0F1729"/>
          <w:sz w:val="25"/>
          <w:szCs w:val="25"/>
        </w:rPr>
        <w:t xml:space="preserve">9.3  Complaint Handling</w:t>
      </w:r>
    </w:p>
    <w:p>
      <w:pPr>
        <w:spacing w:after="80" w:before="80" w:line="276"/>
        <w:jc w:val="both"/>
      </w:pPr>
      <w:r>
        <w:rPr>
          <w:rFonts w:ascii="Arial" w:cs="Arial" w:eastAsia="Arial" w:hAnsi="Arial"/>
          <w:b w:val="false"/>
          <w:bCs w:val="false"/>
          <w:i w:val="false"/>
          <w:iCs w:val="false"/>
          <w:color w:val="000000"/>
          <w:sz w:val="22"/>
          <w:szCs w:val="22"/>
        </w:rPr>
        <w:t xml:space="preserve">Complaints from data subjects or Customers regarding SIGN's processor activities are handled in accordance with the Complaint Handling Procedure in Section 15.</w:t>
      </w:r>
    </w:p>
    <w:p>
      <w:pPr>
        <w:spacing w:after="120" w:before="0"/>
      </w:pPr>
      <w:r>
        <w:rPr>
          <w:rFonts w:ascii="Arial" w:cs="Arial" w:eastAsia="Arial" w:hAnsi="Arial"/>
          <w:b w:val="false"/>
          <w:bCs w:val="false"/>
          <w:i w:val="false"/>
          <w:iCs w:val="false"/>
          <w:color w:val="000000"/>
          <w:sz w:val="22"/>
          <w:szCs w:val="22"/>
        </w:rPr>
        <w:t xml:space="preserve"/>
      </w:r>
    </w:p>
    <w:p>
      <w:pPr>
        <w:pBdr>
          <w:bottom w:val="single" w:color="4F6EF7" w:sz="4" w:space="4"/>
        </w:pBdr>
        <w:spacing w:after="200" w:before="200"/>
      </w:pPr>
      <w:r>
        <w:rPr>
          <w:rFonts w:ascii="Arial" w:cs="Arial" w:eastAsia="Arial" w:hAnsi="Arial"/>
          <w:b w:val="false"/>
          <w:bCs w:val="false"/>
          <w:i w:val="false"/>
          <w:iCs w:val="false"/>
          <w:color w:val="000000"/>
          <w:sz w:val="22"/>
          <w:szCs w:val="22"/>
        </w:rPr>
        <w:t xml:space="preserve"/>
      </w:r>
    </w:p>
    <w:p>
      <w:pPr>
        <w:pBdr>
          <w:top w:val="single" w:color="16A34A" w:sz="8"/>
          <w:bottom w:val="single" w:color="16A34A" w:sz="8"/>
        </w:pBdr>
        <w:shd w:fill="0F1729" w:val="clear"/>
        <w:spacing w:after="0" w:before="0"/>
        <w:jc w:val="center"/>
      </w:pPr>
      <w:r>
        <w:rPr>
          <w:rFonts w:ascii="Arial" w:cs="Arial" w:eastAsia="Arial" w:hAnsi="Arial"/>
          <w:b/>
          <w:bCs/>
          <w:color w:val="FFFFFF"/>
          <w:sz w:val="36"/>
          <w:szCs w:val="36"/>
        </w:rPr>
        <w:t xml:space="preserve">PART C — COMMON PROVISIONS</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10. SIGN GROUP MEMBERS</w:t>
      </w:r>
    </w:p>
    <w:p>
      <w:pPr>
        <w:spacing w:after="80" w:before="80" w:line="276"/>
        <w:jc w:val="both"/>
      </w:pPr>
      <w:r>
        <w:rPr>
          <w:rFonts w:ascii="Arial" w:cs="Arial" w:eastAsia="Arial" w:hAnsi="Arial"/>
          <w:b w:val="false"/>
          <w:bCs w:val="false"/>
          <w:i w:val="false"/>
          <w:iCs w:val="false"/>
          <w:color w:val="000000"/>
          <w:sz w:val="22"/>
          <w:szCs w:val="22"/>
        </w:rPr>
        <w:t xml:space="preserve">The following entities are members of the SIGN group of companies bound by this Privacy Code. The full and current list of Group Members is maintained in Appendix A1 and updated in accordance with Section 18 (Updating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W w:type="dxa" w:w="5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Jurisdiction</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Technologies LLC (accountable entity)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Dubai Internet City Free Zone, Dubai, United Arab Emirates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[Additional Group Members as established]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added as the group expands]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[Future subsidiaries, affiliates, or joint ventures]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added upon establishment and notification to supervisory authorities]</w:t>
            </w:r>
          </w:p>
        </w:tc>
      </w:tr>
    </w:tbl>
    <w:p>
      <w:pPr>
        <w:spacing w:after="80" w:before="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4F6EF7" w:sz="12"/>
              <w:bottom w:val="single" w:color="CBD5E1" w:sz="1"/>
              <w:right w:val="none" w:color="FFFFFF" w:sz="0"/>
            </w:tcBorders>
            <w:shd w:fill="EFF6FF" w:val="clear"/>
            <w:tcMar>
              <w:top w:type="dxa" w:w="120"/>
              <w:left w:type="dxa" w:w="180"/>
              <w:bottom w:type="dxa" w:w="120"/>
              <w:right w:type="dxa" w:w="180"/>
            </w:tcMar>
          </w:tcPr>
          <w:p>
            <w:pPr>
              <w:spacing w:after="60" w:before="0"/>
            </w:pPr>
            <w:r>
              <w:rPr>
                <w:rFonts w:ascii="Arial" w:cs="Arial" w:eastAsia="Arial" w:hAnsi="Arial"/>
                <w:b/>
                <w:bCs/>
                <w:color w:val="0F1729"/>
                <w:sz w:val="22"/>
                <w:szCs w:val="22"/>
              </w:rPr>
              <w:t xml:space="preserve">Accountable Entity</w:t>
            </w:r>
          </w:p>
          <w:p>
            <w:pPr>
              <w:spacing w:after="0" w:before="0"/>
              <w:jc w:val="both"/>
            </w:pPr>
            <w:r>
              <w:rPr>
                <w:rFonts w:ascii="Arial" w:cs="Arial" w:eastAsia="Arial" w:hAnsi="Arial"/>
                <w:color w:val="1E293B"/>
                <w:sz w:val="21"/>
                <w:szCs w:val="21"/>
              </w:rPr>
              <w:t xml:space="preserve">SIGN Technologies LLC, incorporated in the Dubai Internet City Free Zone, UAE, is the accountable entity for this Privacy Code. It is responsible for demonstrating compliance by all Group Members and accepts liability for breaches by Group Members and sub-processors where a data subject or Customer cannot obtain compensation from the responsible Group Member or sub-processor.</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11. MENA DATA TRANSFER FRAMEWORK</w:t>
      </w:r>
    </w:p>
    <w:p>
      <w:pPr>
        <w:pStyle w:val="Heading2"/>
        <w:spacing w:after="120" w:before="280"/>
      </w:pPr>
      <w:r>
        <w:rPr>
          <w:rFonts w:ascii="Arial" w:cs="Arial" w:eastAsia="Arial" w:hAnsi="Arial"/>
          <w:b/>
          <w:bCs/>
          <w:color w:val="0F1729"/>
          <w:sz w:val="25"/>
          <w:szCs w:val="25"/>
        </w:rPr>
        <w:t xml:space="preserve">11.1  UAE — Primary Jurisdiction</w:t>
      </w:r>
    </w:p>
    <w:p>
      <w:pPr>
        <w:spacing w:after="80" w:before="80" w:line="276"/>
        <w:jc w:val="both"/>
      </w:pPr>
      <w:r>
        <w:rPr>
          <w:rFonts w:ascii="Arial" w:cs="Arial" w:eastAsia="Arial" w:hAnsi="Arial"/>
          <w:b w:val="false"/>
          <w:bCs w:val="false"/>
          <w:i w:val="false"/>
          <w:iCs w:val="false"/>
          <w:color w:val="000000"/>
          <w:sz w:val="22"/>
          <w:szCs w:val="22"/>
        </w:rPr>
        <w:t xml:space="preserve">SIGN's primary regulatory framework for cross-border data transfers is the UAE Federal Decree-Law No. 45/2021 on Personal Data Protection (UAE PDPL) and its Executive Regulations. As a company incorporated in the Dubai Internet City Free Zone, Dubai, United Arab Emirates, SIGN is directly subject to UAE PDPL.</w:t>
      </w:r>
    </w:p>
    <w:p>
      <w:pPr>
        <w:spacing w:after="80" w:before="80" w:line="276"/>
        <w:jc w:val="both"/>
      </w:pPr>
      <w:r>
        <w:rPr>
          <w:rFonts w:ascii="Arial" w:cs="Arial" w:eastAsia="Arial" w:hAnsi="Arial"/>
          <w:b w:val="false"/>
          <w:bCs w:val="false"/>
          <w:i w:val="false"/>
          <w:iCs w:val="false"/>
          <w:color w:val="000000"/>
          <w:sz w:val="22"/>
          <w:szCs w:val="22"/>
        </w:rPr>
        <w:t xml:space="preserve">Under the UAE PDPL, personal data may only be transferred outside the UAE where: (a) an adequacy decision has been issued for the recipient country; (b) appropriate safeguards are in place (such as contractual clauses or this Privacy Code); (c) the transfer is necessary for the performance of a contract; or (d) the data subject has explicitly consented. This Privacy Code constitutes an appropriate safeguard for intra-group transfers of personal data from UAE Group Members to other Group Members.</w:t>
      </w:r>
    </w:p>
    <w:p>
      <w:pPr>
        <w:pStyle w:val="Heading2"/>
        <w:spacing w:after="120" w:before="280"/>
      </w:pPr>
      <w:r>
        <w:rPr>
          <w:rFonts w:ascii="Arial" w:cs="Arial" w:eastAsia="Arial" w:hAnsi="Arial"/>
          <w:b/>
          <w:bCs/>
          <w:color w:val="0F1729"/>
          <w:sz w:val="25"/>
          <w:szCs w:val="25"/>
        </w:rPr>
        <w:t xml:space="preserve">11.2  Saudi Arabia — PDPL and SDAIA</w:t>
      </w:r>
    </w:p>
    <w:p>
      <w:pPr>
        <w:spacing w:after="80" w:before="80" w:line="276"/>
        <w:jc w:val="both"/>
      </w:pPr>
      <w:r>
        <w:rPr>
          <w:rFonts w:ascii="Arial" w:cs="Arial" w:eastAsia="Arial" w:hAnsi="Arial"/>
          <w:b w:val="false"/>
          <w:bCs w:val="false"/>
          <w:i w:val="false"/>
          <w:iCs w:val="false"/>
          <w:color w:val="000000"/>
          <w:sz w:val="22"/>
          <w:szCs w:val="22"/>
        </w:rPr>
        <w:t xml:space="preserve">For personal data of data subjects located in the Kingdom of Saudi Arabia, SIGN complies with Saudi Arabia's Personal Data Protection Law (PDPL), regulated by SDAIA/NDMO. Saudi PDPL imposes specific requirements on cross-border data transfers including: SDAIA approval for certain categories of transfers; data localization obligations for specific sensitive data categories; and contractual safeguards equivalent to those in this Privacy Code. SIGN will apply Saudi PDPL requirements to transfers of Saudi data subjects' personal data and will seek SDAIA approval where required.</w:t>
      </w:r>
    </w:p>
    <w:p>
      <w:pPr>
        <w:pStyle w:val="Heading2"/>
        <w:spacing w:after="120" w:before="280"/>
      </w:pPr>
      <w:r>
        <w:rPr>
          <w:rFonts w:ascii="Arial" w:cs="Arial" w:eastAsia="Arial" w:hAnsi="Arial"/>
          <w:b/>
          <w:bCs/>
          <w:color w:val="0F1729"/>
          <w:sz w:val="25"/>
          <w:szCs w:val="25"/>
        </w:rPr>
        <w:t xml:space="preserve">11.3  Egypt — PDPL No. 151/2020</w:t>
      </w:r>
    </w:p>
    <w:p>
      <w:pPr>
        <w:spacing w:after="80" w:before="80" w:line="276"/>
        <w:jc w:val="both"/>
      </w:pPr>
      <w:r>
        <w:rPr>
          <w:rFonts w:ascii="Arial" w:cs="Arial" w:eastAsia="Arial" w:hAnsi="Arial"/>
          <w:b w:val="false"/>
          <w:bCs w:val="false"/>
          <w:i w:val="false"/>
          <w:iCs w:val="false"/>
          <w:color w:val="000000"/>
          <w:sz w:val="22"/>
          <w:szCs w:val="22"/>
        </w:rPr>
        <w:t xml:space="preserve">For personal data of data subjects located in Egypt, SIGN complies with Egypt's Personal Data Protection Law No. 151/2020 (PDPL). Cross-border transfers of Egyptian personal data require: (a) the data subject's consent; (b) the transfer being necessary for a contract; or (c) the recipient country providing equivalent data protection. This Privacy Code, together with appropriate contractual safeguards, provides the necessary protection for transfers of Egyptian personal data.</w:t>
      </w:r>
    </w:p>
    <w:p>
      <w:pPr>
        <w:pStyle w:val="Heading2"/>
        <w:spacing w:after="120" w:before="280"/>
      </w:pPr>
      <w:r>
        <w:rPr>
          <w:rFonts w:ascii="Arial" w:cs="Arial" w:eastAsia="Arial" w:hAnsi="Arial"/>
          <w:b/>
          <w:bCs/>
          <w:color w:val="0F1729"/>
          <w:sz w:val="25"/>
          <w:szCs w:val="25"/>
        </w:rPr>
        <w:t xml:space="preserve">11.4  GDPR — EU/EEA Data Subjects</w:t>
      </w:r>
    </w:p>
    <w:p>
      <w:pPr>
        <w:spacing w:after="80" w:before="80" w:line="276"/>
        <w:jc w:val="both"/>
      </w:pPr>
      <w:r>
        <w:rPr>
          <w:rFonts w:ascii="Arial" w:cs="Arial" w:eastAsia="Arial" w:hAnsi="Arial"/>
          <w:b w:val="false"/>
          <w:bCs w:val="false"/>
          <w:i w:val="false"/>
          <w:iCs w:val="false"/>
          <w:color w:val="000000"/>
          <w:sz w:val="22"/>
          <w:szCs w:val="22"/>
        </w:rPr>
        <w:t xml:space="preserve">For personal data of data subjects located in the European Union or EEA, SIGN implements the following cross-border transfer mechanisms in accordance with GDPR Chapter V:</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Standard Contractual Clauses (SCCs): SIGN uses the EU Commission's 2021 SCCs for transfers to third-country processors and controllers, supplemented by Transfer Impact Assessments as required.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This Privacy Code: SIGN is in the process of seeking recognition of this Privacy Code by a relevant EU supervisory authority as BCR-equivalent safeguards for intra-group transfers. Pending such recognition, SCCs apply to EU/EEA transfers.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Adequacy Decisions: Where available, SIGN relies on EU adequacy decisions for transfers to specific countries.</w:t>
      </w:r>
    </w:p>
    <w:p>
      <w:pPr>
        <w:pStyle w:val="Heading2"/>
        <w:spacing w:after="120" w:before="280"/>
      </w:pPr>
      <w:r>
        <w:rPr>
          <w:rFonts w:ascii="Arial" w:cs="Arial" w:eastAsia="Arial" w:hAnsi="Arial"/>
          <w:b/>
          <w:bCs/>
          <w:color w:val="0F1729"/>
          <w:sz w:val="25"/>
          <w:szCs w:val="25"/>
        </w:rPr>
        <w:t xml:space="preserve">11.5  Other MENA Jurisdictions</w:t>
      </w:r>
    </w:p>
    <w:p>
      <w:pPr>
        <w:spacing w:after="80" w:before="80" w:line="276"/>
        <w:jc w:val="both"/>
      </w:pPr>
      <w:r>
        <w:rPr>
          <w:rFonts w:ascii="Arial" w:cs="Arial" w:eastAsia="Arial" w:hAnsi="Arial"/>
          <w:b w:val="false"/>
          <w:bCs w:val="false"/>
          <w:i w:val="false"/>
          <w:iCs w:val="false"/>
          <w:color w:val="000000"/>
          <w:sz w:val="22"/>
          <w:szCs w:val="22"/>
        </w:rPr>
        <w:t xml:space="preserve">For personal data of data subjects in Qatar, Bahrain, Jordan, and Kuwait, SIGN applies appropriate contractual safeguards (Data Processing Agreements incorporating MENA-appropriate transfer clauses) for cross-border transfers. SIGN monitors developments in data transfer law in these jurisdictions and updates its transfer mechanisms accordingly.</w:t>
      </w:r>
    </w:p>
    <w:p>
      <w:pPr>
        <w:pStyle w:val="Heading2"/>
        <w:spacing w:after="120" w:before="280"/>
      </w:pPr>
      <w:r>
        <w:rPr>
          <w:rFonts w:ascii="Arial" w:cs="Arial" w:eastAsia="Arial" w:hAnsi="Arial"/>
          <w:b/>
          <w:bCs/>
          <w:color w:val="0F1729"/>
          <w:sz w:val="25"/>
          <w:szCs w:val="25"/>
        </w:rPr>
        <w:t xml:space="preserve">11.6  Conflict of Laws</w:t>
      </w:r>
    </w:p>
    <w:p>
      <w:pPr>
        <w:spacing w:after="80" w:before="80" w:line="276"/>
        <w:jc w:val="both"/>
      </w:pPr>
      <w:r>
        <w:rPr>
          <w:rFonts w:ascii="Arial" w:cs="Arial" w:eastAsia="Arial" w:hAnsi="Arial"/>
          <w:b w:val="false"/>
          <w:bCs w:val="false"/>
          <w:i w:val="false"/>
          <w:iCs w:val="false"/>
          <w:color w:val="000000"/>
          <w:sz w:val="22"/>
          <w:szCs w:val="22"/>
        </w:rPr>
        <w:t xml:space="preserve">Where applicable data protection law prohibits a transfer that this Privacy Code would otherwise permit, the applicable law prevails and the transfer must not be made. Where SIGN faces conflicting legal obligations from different jurisdictions regarding a data transfer, SIGN will seek legal advice and, where possible, notify the affected data subject or Customer before acting.</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12. GOVERNANCE AND ACCOUNTABILITY STRUCTURE</w:t>
      </w:r>
    </w:p>
    <w:p>
      <w:pPr>
        <w:pStyle w:val="Heading2"/>
        <w:spacing w:after="120" w:before="280"/>
      </w:pPr>
      <w:r>
        <w:rPr>
          <w:rFonts w:ascii="Arial" w:cs="Arial" w:eastAsia="Arial" w:hAnsi="Arial"/>
          <w:b/>
          <w:bCs/>
          <w:color w:val="0F1729"/>
          <w:sz w:val="25"/>
          <w:szCs w:val="25"/>
        </w:rPr>
        <w:t xml:space="preserve">12.1  Data Protection Officer</w:t>
      </w:r>
    </w:p>
    <w:p>
      <w:pPr>
        <w:spacing w:after="80" w:before="80" w:line="276"/>
        <w:jc w:val="both"/>
      </w:pPr>
      <w:r>
        <w:rPr>
          <w:rFonts w:ascii="Arial" w:cs="Arial" w:eastAsia="Arial" w:hAnsi="Arial"/>
          <w:b w:val="false"/>
          <w:bCs w:val="false"/>
          <w:i w:val="false"/>
          <w:iCs w:val="false"/>
          <w:color w:val="000000"/>
          <w:sz w:val="22"/>
          <w:szCs w:val="22"/>
        </w:rPr>
        <w:t xml:space="preserve">SIGN's Data Protection Officer (DPO) is responsible for: independently monitoring compliance with applicable data protection law and this Privacy Code; advising Group Members on data protection matters; acting as the contact point for data subjects and supervisory authorities; overseeing DPIAs and Transfer Impact Assessments; managing the data rights request process; and managing data breach response. The DPO may be contacted at privacy@sign.io.</w:t>
      </w:r>
    </w:p>
    <w:p>
      <w:pPr>
        <w:pStyle w:val="Heading2"/>
        <w:spacing w:after="120" w:before="280"/>
      </w:pPr>
      <w:r>
        <w:rPr>
          <w:rFonts w:ascii="Arial" w:cs="Arial" w:eastAsia="Arial" w:hAnsi="Arial"/>
          <w:b/>
          <w:bCs/>
          <w:color w:val="0F1729"/>
          <w:sz w:val="25"/>
          <w:szCs w:val="25"/>
        </w:rPr>
        <w:t xml:space="preserve">12.2  Privacy Compliance Structure</w:t>
      </w:r>
    </w:p>
    <w:p>
      <w:pPr>
        <w:spacing w:after="80" w:before="80" w:line="276"/>
        <w:jc w:val="both"/>
      </w:pPr>
      <w:r>
        <w:rPr>
          <w:rFonts w:ascii="Arial" w:cs="Arial" w:eastAsia="Arial" w:hAnsi="Arial"/>
          <w:b w:val="false"/>
          <w:bCs w:val="false"/>
          <w:i w:val="false"/>
          <w:iCs w:val="false"/>
          <w:color w:val="000000"/>
          <w:sz w:val="22"/>
          <w:szCs w:val="22"/>
        </w:rPr>
        <w:t xml:space="preserve">SIGN's privacy governance structure is set out in Appendix A6 and comprises: the DPO (independent oversight); the Legal Team (policy and regulatory compliance); the Security Team (technical security measures); Product and Engineering Team (privacy by design implementation); and Customer Success (DPA management). The DPO reports directly to SIGN's Chief Executive Officer and has access to SIGN's board.</w:t>
      </w:r>
    </w:p>
    <w:p>
      <w:pPr>
        <w:pStyle w:val="Heading2"/>
        <w:spacing w:after="120" w:before="280"/>
      </w:pPr>
      <w:r>
        <w:rPr>
          <w:rFonts w:ascii="Arial" w:cs="Arial" w:eastAsia="Arial" w:hAnsi="Arial"/>
          <w:b/>
          <w:bCs/>
          <w:color w:val="0F1729"/>
          <w:sz w:val="25"/>
          <w:szCs w:val="25"/>
        </w:rPr>
        <w:t xml:space="preserve">12.3  Compliance Monitoring</w:t>
      </w:r>
    </w:p>
    <w:p>
      <w:pPr>
        <w:spacing w:after="80" w:before="80" w:line="276"/>
        <w:jc w:val="both"/>
      </w:pPr>
      <w:r>
        <w:rPr>
          <w:rFonts w:ascii="Arial" w:cs="Arial" w:eastAsia="Arial" w:hAnsi="Arial"/>
          <w:b w:val="false"/>
          <w:bCs w:val="false"/>
          <w:i w:val="false"/>
          <w:iCs w:val="false"/>
          <w:color w:val="000000"/>
          <w:sz w:val="22"/>
          <w:szCs w:val="22"/>
        </w:rPr>
        <w:t xml:space="preserve">Compliance with this Privacy Code is monitored through: annual internal audits of all processing activities; periodic assessment of third-party sub-processor compliance; monitoring of regulatory developments in all MENA jurisdictions; annual staff training completion tracking; and incident log review. The DPO reports to SIGN's board on the state of privacy compliance at least annually.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Governance Element</w:t>
            </w:r>
          </w:p>
        </w:tc>
        <w:tc>
          <w:tcPr>
            <w:tcW w:type="dxa" w:w="5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Responsible Party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BCR overall accountability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Chief Executive Officer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Privacy Code maintenance and updates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Data Protection Officer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compliance and regulatory liaison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Legal Team / DPO</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Technical security implementation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Security Team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Privacy by design (product)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Product and Engineering Team + DPO</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DPA management (customers)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Customer Success + Legal Team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Staff training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HR + DPO</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Audit coordination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 External Auditor (annual)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Breach response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 Security Team + Legal Team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Supervisory authority relations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 Legal Team</w:t>
            </w:r>
          </w:p>
        </w:tc>
      </w:tr>
    </w:tbl>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13. TRAINING REQUIREMENTS</w:t>
      </w:r>
    </w:p>
    <w:p>
      <w:pPr>
        <w:pStyle w:val="Heading2"/>
        <w:spacing w:after="120" w:before="280"/>
      </w:pPr>
      <w:r>
        <w:rPr>
          <w:rFonts w:ascii="Arial" w:cs="Arial" w:eastAsia="Arial" w:hAnsi="Arial"/>
          <w:b/>
          <w:bCs/>
          <w:color w:val="0F1729"/>
          <w:sz w:val="25"/>
          <w:szCs w:val="25"/>
        </w:rPr>
        <w:t xml:space="preserve">13.1  Mandatory Training for All Staff</w:t>
      </w:r>
    </w:p>
    <w:p>
      <w:pPr>
        <w:spacing w:after="80" w:before="80" w:line="276"/>
        <w:jc w:val="both"/>
      </w:pPr>
      <w:r>
        <w:rPr>
          <w:rFonts w:ascii="Arial" w:cs="Arial" w:eastAsia="Arial" w:hAnsi="Arial"/>
          <w:b w:val="false"/>
          <w:bCs w:val="false"/>
          <w:i w:val="false"/>
          <w:iCs w:val="false"/>
          <w:color w:val="000000"/>
          <w:sz w:val="22"/>
          <w:szCs w:val="22"/>
        </w:rPr>
        <w:t xml:space="preserve">All Staff must complete SIGN's foundational data protection training within 30 days of commencing their engagement and annually thereafter. The foundational training covers: key data protection principles under UAE PDPL and this Privacy Code; the distinction between controller and processor roles; data subjects' rights and SIGN's obligations; security obligations and incident reporting; and the consequences of non-compliance.</w:t>
      </w:r>
    </w:p>
    <w:p>
      <w:pPr>
        <w:pStyle w:val="Heading2"/>
        <w:spacing w:after="120" w:before="280"/>
      </w:pPr>
      <w:r>
        <w:rPr>
          <w:rFonts w:ascii="Arial" w:cs="Arial" w:eastAsia="Arial" w:hAnsi="Arial"/>
          <w:b/>
          <w:bCs/>
          <w:color w:val="0F1729"/>
          <w:sz w:val="25"/>
          <w:szCs w:val="25"/>
        </w:rPr>
        <w:t xml:space="preserve">13.2  Role-Specific Training</w:t>
      </w:r>
    </w:p>
    <w:p>
      <w:pPr>
        <w:spacing w:after="80" w:before="80" w:line="276"/>
        <w:jc w:val="both"/>
      </w:pPr>
      <w:r>
        <w:rPr>
          <w:rFonts w:ascii="Arial" w:cs="Arial" w:eastAsia="Arial" w:hAnsi="Arial"/>
          <w:b w:val="false"/>
          <w:bCs w:val="false"/>
          <w:i w:val="false"/>
          <w:iCs w:val="false"/>
          <w:color w:val="000000"/>
          <w:sz w:val="22"/>
          <w:szCs w:val="22"/>
        </w:rPr>
        <w:t xml:space="preserve">Staff with specific data-related responsibilities must complete additional role-specific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4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Additional Training Required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Engineers / Developers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by Design implementation; security coding practices; encryption standards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 Success / Account Management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DPA obligations; Customer data handling; sub-processor notification procedures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Team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BCR updates; cross-border transfer mechanisms; regulatory developments in MENA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Support Team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Data rights request handling; breach identification and reporting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Management / Leadership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governance; accountability obligations; regulatory risk</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13.3  Training Records</w:t>
      </w:r>
    </w:p>
    <w:p>
      <w:pPr>
        <w:spacing w:after="80" w:before="80" w:line="276"/>
        <w:jc w:val="both"/>
      </w:pPr>
      <w:r>
        <w:rPr>
          <w:rFonts w:ascii="Arial" w:cs="Arial" w:eastAsia="Arial" w:hAnsi="Arial"/>
          <w:b w:val="false"/>
          <w:bCs w:val="false"/>
          <w:i w:val="false"/>
          <w:iCs w:val="false"/>
          <w:color w:val="000000"/>
          <w:sz w:val="22"/>
          <w:szCs w:val="22"/>
        </w:rPr>
        <w:t xml:space="preserve">The DPO maintains records of all mandatory training completed by Staff, including the date of completion, the training module completed, and the Staff member's name and role. Training records are retained for the duration of employment plus 3 years. Training records are made available to supervisory authorities on request.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14. AUDIT PROTOCOL</w:t>
      </w:r>
    </w:p>
    <w:p>
      <w:pPr>
        <w:pStyle w:val="Heading2"/>
        <w:spacing w:after="120" w:before="280"/>
      </w:pPr>
      <w:r>
        <w:rPr>
          <w:rFonts w:ascii="Arial" w:cs="Arial" w:eastAsia="Arial" w:hAnsi="Arial"/>
          <w:b/>
          <w:bCs/>
          <w:color w:val="0F1729"/>
          <w:sz w:val="25"/>
          <w:szCs w:val="25"/>
        </w:rPr>
        <w:t xml:space="preserve">14.1  Internal Audits</w:t>
      </w:r>
    </w:p>
    <w:p>
      <w:pPr>
        <w:spacing w:after="80" w:before="80" w:line="276"/>
        <w:jc w:val="both"/>
      </w:pPr>
      <w:r>
        <w:rPr>
          <w:rFonts w:ascii="Arial" w:cs="Arial" w:eastAsia="Arial" w:hAnsi="Arial"/>
          <w:b w:val="false"/>
          <w:bCs w:val="false"/>
          <w:i w:val="false"/>
          <w:iCs w:val="false"/>
          <w:color w:val="000000"/>
          <w:sz w:val="22"/>
          <w:szCs w:val="22"/>
        </w:rPr>
        <w:t xml:space="preserve">SIGN conducts annual internal audits of compliance with this Privacy Code, covering: all Group Members' processing activities; data protection documentation (RoPA, DPIAs, TIAs); data rights request handling; breach incident log; training completion records; and sub-processor compliance verification. Internal audits are conducted by the DPO or, for objectivity, by an independent internal auditor reporting to the DPO.</w:t>
      </w:r>
    </w:p>
    <w:p>
      <w:pPr>
        <w:pStyle w:val="Heading2"/>
        <w:spacing w:after="120" w:before="280"/>
      </w:pPr>
      <w:r>
        <w:rPr>
          <w:rFonts w:ascii="Arial" w:cs="Arial" w:eastAsia="Arial" w:hAnsi="Arial"/>
          <w:b/>
          <w:bCs/>
          <w:color w:val="0F1729"/>
          <w:sz w:val="25"/>
          <w:szCs w:val="25"/>
        </w:rPr>
        <w:t xml:space="preserve">14.2  External Audits</w:t>
      </w:r>
    </w:p>
    <w:p>
      <w:pPr>
        <w:spacing w:after="80" w:before="80" w:line="276"/>
        <w:jc w:val="both"/>
      </w:pPr>
      <w:r>
        <w:rPr>
          <w:rFonts w:ascii="Arial" w:cs="Arial" w:eastAsia="Arial" w:hAnsi="Arial"/>
          <w:b w:val="false"/>
          <w:bCs w:val="false"/>
          <w:i w:val="false"/>
          <w:iCs w:val="false"/>
          <w:color w:val="000000"/>
          <w:sz w:val="22"/>
          <w:szCs w:val="22"/>
        </w:rPr>
        <w:t xml:space="preserve">SIGN engages an independent external auditor at least every two years to conduct a comprehensive audit of this Privacy Code's implementation across all Group Members. External audit reports are reviewed by SIGN's board and material findings are addressed within 90 days of report issuance.</w:t>
      </w:r>
    </w:p>
    <w:p>
      <w:pPr>
        <w:pStyle w:val="Heading2"/>
        <w:spacing w:after="120" w:before="280"/>
      </w:pPr>
      <w:r>
        <w:rPr>
          <w:rFonts w:ascii="Arial" w:cs="Arial" w:eastAsia="Arial" w:hAnsi="Arial"/>
          <w:b/>
          <w:bCs/>
          <w:color w:val="0F1729"/>
          <w:sz w:val="25"/>
          <w:szCs w:val="25"/>
        </w:rPr>
        <w:t xml:space="preserve">14.3  Customer Audit Rights</w:t>
      </w:r>
    </w:p>
    <w:p>
      <w:pPr>
        <w:spacing w:after="80" w:before="80" w:line="276"/>
        <w:jc w:val="both"/>
      </w:pPr>
      <w:r>
        <w:rPr>
          <w:rFonts w:ascii="Arial" w:cs="Arial" w:eastAsia="Arial" w:hAnsi="Arial"/>
          <w:b w:val="false"/>
          <w:bCs w:val="false"/>
          <w:i w:val="false"/>
          <w:iCs w:val="false"/>
          <w:color w:val="000000"/>
          <w:sz w:val="22"/>
          <w:szCs w:val="22"/>
        </w:rPr>
        <w:t xml:space="preserve">Customers have audit rights under their applicable DPA in accordance with Rule 11 of the Processor Policy. Customer audits are subject to: 14 days' advance notice; execution of a non-disclosure agreement; limitation to once per year per Customer absent specific cause; scope limited to the Customer's data and processing activities; and SIGN's right to require that audits be conducted by an independent third-party auditor at the Customer's expense.</w:t>
      </w:r>
    </w:p>
    <w:p>
      <w:pPr>
        <w:pStyle w:val="Heading2"/>
        <w:spacing w:after="120" w:before="280"/>
      </w:pPr>
      <w:r>
        <w:rPr>
          <w:rFonts w:ascii="Arial" w:cs="Arial" w:eastAsia="Arial" w:hAnsi="Arial"/>
          <w:b/>
          <w:bCs/>
          <w:color w:val="0F1729"/>
          <w:sz w:val="25"/>
          <w:szCs w:val="25"/>
        </w:rPr>
        <w:t xml:space="preserve">14.4  Supervisory Authority Cooperation</w:t>
      </w:r>
    </w:p>
    <w:p>
      <w:pPr>
        <w:spacing w:after="80" w:before="80" w:line="276"/>
        <w:jc w:val="both"/>
      </w:pPr>
      <w:r>
        <w:rPr>
          <w:rFonts w:ascii="Arial" w:cs="Arial" w:eastAsia="Arial" w:hAnsi="Arial"/>
          <w:b w:val="false"/>
          <w:bCs w:val="false"/>
          <w:i w:val="false"/>
          <w:iCs w:val="false"/>
          <w:color w:val="000000"/>
          <w:sz w:val="22"/>
          <w:szCs w:val="22"/>
        </w:rPr>
        <w:t xml:space="preserve">SIGN cooperates fully with supervisory authority investigations and inspections. SIGN will provide supervisory authorities with access to this Privacy Code, the RoPA, audit reports, DPIAs, TIAs, and other compliance documentation upon lawful request. Section 19 governs SIGN's cooperation with supervisory authorities in detail.</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15. COMPLAINT HANDLING PROCEDURE</w:t>
      </w:r>
    </w:p>
    <w:p>
      <w:pPr>
        <w:pStyle w:val="Heading2"/>
        <w:spacing w:after="120" w:before="280"/>
      </w:pPr>
      <w:r>
        <w:rPr>
          <w:rFonts w:ascii="Arial" w:cs="Arial" w:eastAsia="Arial" w:hAnsi="Arial"/>
          <w:b/>
          <w:bCs/>
          <w:color w:val="0F1729"/>
          <w:sz w:val="25"/>
          <w:szCs w:val="25"/>
        </w:rPr>
        <w:t xml:space="preserve">15.1  How to Submit a Complaint</w:t>
      </w:r>
    </w:p>
    <w:p>
      <w:pPr>
        <w:spacing w:after="80" w:before="80" w:line="276"/>
        <w:jc w:val="both"/>
      </w:pPr>
      <w:r>
        <w:rPr>
          <w:rFonts w:ascii="Arial" w:cs="Arial" w:eastAsia="Arial" w:hAnsi="Arial"/>
          <w:b w:val="false"/>
          <w:bCs w:val="false"/>
          <w:i w:val="false"/>
          <w:iCs w:val="false"/>
          <w:color w:val="000000"/>
          <w:sz w:val="22"/>
          <w:szCs w:val="22"/>
        </w:rPr>
        <w:t xml:space="preserve">Data subjects, Customers, or any other party may submit complaints regarding SIGN's compliance with this Privacy Code to the DPO at privacy@sign.io. Complaints must include: the complainant's name and contact details; a description of the processing activity or incident giving rise to the complaint; the specific obligation under this Privacy Code that the complainant believes SIGN has breached; and any relevant evidence or documentation.</w:t>
      </w:r>
    </w:p>
    <w:p>
      <w:pPr>
        <w:pStyle w:val="Heading2"/>
        <w:spacing w:after="120" w:before="280"/>
      </w:pPr>
      <w:r>
        <w:rPr>
          <w:rFonts w:ascii="Arial" w:cs="Arial" w:eastAsia="Arial" w:hAnsi="Arial"/>
          <w:b/>
          <w:bCs/>
          <w:color w:val="0F1729"/>
          <w:sz w:val="25"/>
          <w:szCs w:val="25"/>
        </w:rPr>
        <w:t xml:space="preserve">15.2  Complaint Handling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Stage</w:t>
            </w:r>
          </w:p>
        </w:tc>
        <w:tc>
          <w:tcPr>
            <w:tcW w:type="dxa" w:w="4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Acknowledgment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acknowledges receipt of the complaint and provides a reference number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Initial Assessment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assesses the complaint and determines the appropriate response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Investigation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investigates the complaint, consulting relevant Group Members and sub-processors as necessary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Response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provides the complainant with a written response including findings and any remedial action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Escalation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If not resolved, the complainant is informed of their right to escalate to a supervisory authority</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15.3  Escalation to Supervisory Authorities</w:t>
      </w:r>
    </w:p>
    <w:p>
      <w:pPr>
        <w:spacing w:after="80" w:before="80" w:line="276"/>
        <w:jc w:val="both"/>
      </w:pPr>
      <w:r>
        <w:rPr>
          <w:rFonts w:ascii="Arial" w:cs="Arial" w:eastAsia="Arial" w:hAnsi="Arial"/>
          <w:b w:val="false"/>
          <w:bCs w:val="false"/>
          <w:i w:val="false"/>
          <w:iCs w:val="false"/>
          <w:color w:val="000000"/>
          <w:sz w:val="22"/>
          <w:szCs w:val="22"/>
        </w:rPr>
        <w:t xml:space="preserve">If a complainant is not satisfied with SIGN's response, they may escalate their complaint to the relevant supervisory authority in their jurisdiction. SIGN cooperates fully with supervisory authority complaint investigations and will implement any remedial measures required by supervisory authority decisions.</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16. GOVERNMENT DATA REQUEST PROCEDURE</w:t>
      </w:r>
    </w:p>
    <w:p>
      <w:pPr>
        <w:spacing w:after="80" w:before="80" w:line="276"/>
        <w:jc w:val="both"/>
      </w:pPr>
      <w:r>
        <w:rPr>
          <w:rFonts w:ascii="Arial" w:cs="Arial" w:eastAsia="Arial" w:hAnsi="Arial"/>
          <w:b w:val="false"/>
          <w:bCs w:val="false"/>
          <w:i w:val="false"/>
          <w:iCs w:val="false"/>
          <w:color w:val="000000"/>
          <w:sz w:val="22"/>
          <w:szCs w:val="22"/>
        </w:rPr>
        <w:t xml:space="preserve">SIGN's response to government and law enforcement requests for Customer personal data is governed by SIGN's Law Enforcement and Government Request Policy, available at www.sign.io/legal/law-enforcement. In summary: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will disclose Customer personal data to government authorities only in response to valid legal process issued by a competent authority with jurisdiction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will notify the affected Customer before producing their personal data unless prohibited by a court order or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will challenge overly broad, legally deficient, or disproportionate government data requests through all available legal means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 will maintain records of all government data requests and publish an annual Transparency Report summarizing the volume and nature of requests received</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Where a government data request conflicts with SIGN's obligations to a Customer under applicable data protection law, SIGN will notify the Customer and seek legal advice before complying</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17. TRANSFER IMPACT ASSESSMENT POLICY</w:t>
      </w:r>
    </w:p>
    <w:p>
      <w:pPr>
        <w:pStyle w:val="Heading2"/>
        <w:spacing w:after="120" w:before="280"/>
      </w:pPr>
      <w:r>
        <w:rPr>
          <w:rFonts w:ascii="Arial" w:cs="Arial" w:eastAsia="Arial" w:hAnsi="Arial"/>
          <w:b/>
          <w:bCs/>
          <w:color w:val="0F1729"/>
          <w:sz w:val="25"/>
          <w:szCs w:val="25"/>
        </w:rPr>
        <w:t xml:space="preserve">17.1  Purpose</w:t>
      </w:r>
    </w:p>
    <w:p>
      <w:pPr>
        <w:spacing w:after="80" w:before="80" w:line="276"/>
        <w:jc w:val="both"/>
      </w:pPr>
      <w:r>
        <w:rPr>
          <w:rFonts w:ascii="Arial" w:cs="Arial" w:eastAsia="Arial" w:hAnsi="Arial"/>
          <w:b w:val="false"/>
          <w:bCs w:val="false"/>
          <w:i w:val="false"/>
          <w:iCs w:val="false"/>
          <w:color w:val="000000"/>
          <w:sz w:val="22"/>
          <w:szCs w:val="22"/>
        </w:rPr>
        <w:t xml:space="preserve">A Transfer Impact Assessment (TIA) is conducted by SIGN before making a cross-border transfer of personal data to evaluate: whether the legal framework of the destination country provides adequate protection for the data; whether the destination country's laws would require the recipient to disclose the data to government authorities in a way that could undermine the privacy protections in this Privacy Code; and whether supplementary measures are needed to ensure adequate protection.</w:t>
      </w:r>
    </w:p>
    <w:p>
      <w:pPr>
        <w:pStyle w:val="Heading2"/>
        <w:spacing w:after="120" w:before="280"/>
      </w:pPr>
      <w:r>
        <w:rPr>
          <w:rFonts w:ascii="Arial" w:cs="Arial" w:eastAsia="Arial" w:hAnsi="Arial"/>
          <w:b/>
          <w:bCs/>
          <w:color w:val="0F1729"/>
          <w:sz w:val="25"/>
          <w:szCs w:val="25"/>
        </w:rPr>
        <w:t xml:space="preserve">17.2  When a TIA Is Required</w:t>
      </w:r>
    </w:p>
    <w:p>
      <w:pPr>
        <w:spacing w:after="80" w:before="80" w:line="276"/>
        <w:jc w:val="both"/>
      </w:pPr>
      <w:r>
        <w:rPr>
          <w:rFonts w:ascii="Arial" w:cs="Arial" w:eastAsia="Arial" w:hAnsi="Arial"/>
          <w:b w:val="false"/>
          <w:bCs w:val="false"/>
          <w:i w:val="false"/>
          <w:iCs w:val="false"/>
          <w:color w:val="000000"/>
          <w:sz w:val="22"/>
          <w:szCs w:val="22"/>
        </w:rPr>
        <w:t xml:space="preserve">A TIA must be conducted before: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new transfer of personal data from a MENA jurisdiction to a country outside the MENA Region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transfer of EU/EEA personal data to a third country without an EU adequacy decision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Any significant change to an existing cross-border transfer arrangement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Appointment of a new sub-processor in a country not previously assessed</w:t>
      </w:r>
    </w:p>
    <w:p>
      <w:pPr>
        <w:pStyle w:val="Heading2"/>
        <w:spacing w:after="120" w:before="280"/>
      </w:pPr>
      <w:r>
        <w:rPr>
          <w:rFonts w:ascii="Arial" w:cs="Arial" w:eastAsia="Arial" w:hAnsi="Arial"/>
          <w:b/>
          <w:bCs/>
          <w:color w:val="0F1729"/>
          <w:sz w:val="25"/>
          <w:szCs w:val="25"/>
        </w:rPr>
        <w:t xml:space="preserve">17.3  TIA Process</w:t>
      </w:r>
    </w:p>
    <w:p>
      <w:pPr>
        <w:spacing w:after="80" w:before="80" w:line="276"/>
        <w:jc w:val="both"/>
      </w:pPr>
      <w:r>
        <w:rPr>
          <w:rFonts w:ascii="Arial" w:cs="Arial" w:eastAsia="Arial" w:hAnsi="Arial"/>
          <w:b w:val="false"/>
          <w:bCs w:val="false"/>
          <w:i w:val="false"/>
          <w:iCs w:val="false"/>
          <w:color w:val="000000"/>
          <w:sz w:val="22"/>
          <w:szCs w:val="22"/>
        </w:rPr>
        <w:t xml:space="preserve">The TIA process consists of the following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8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1. Transfer identification</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Identify the specific personal data to be transferred, the legal basis for the transfer, and the destination country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2. Legal framework assessment</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Assess the data protection laws, government access laws, and rule of law indicators of the destination country</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3. Risk assessment</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Identify specific risks to the personal data in the destination country, including risks of government access, sub-processor exposure, and legal enforcement gaps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4. Safeguard identification</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Identify and implement supplementary technical and contractual safeguards to address identified risks (e.g., enhanced encryption, contractual restrictions on government access cooperation)</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5. Residual risk evaluation</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Evaluate whether residual risks are acceptable given the nature of the data and the purpose of the transfer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6. Documentation</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Document the TIA findings and conclusions in SIGN's TIA register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7. DPO review</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DPO reviews and approves the TIA before the transfer commences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8. Monitoring</w:t>
            </w:r>
          </w:p>
        </w:tc>
        <w:tc>
          <w:tcPr>
            <w:tcW w:type="dxa" w:w="8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Monitor for changes in the destination country's legal framework that may affect the TIA assessment and update the TIA annually or upon material change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2"/>
        <w:spacing w:after="120" w:before="280"/>
      </w:pPr>
      <w:r>
        <w:rPr>
          <w:rFonts w:ascii="Arial" w:cs="Arial" w:eastAsia="Arial" w:hAnsi="Arial"/>
          <w:b/>
          <w:bCs/>
          <w:color w:val="0F1729"/>
          <w:sz w:val="25"/>
          <w:szCs w:val="25"/>
        </w:rPr>
        <w:t xml:space="preserve">17.4  TIA Register</w:t>
      </w:r>
    </w:p>
    <w:p>
      <w:pPr>
        <w:spacing w:after="80" w:before="80" w:line="276"/>
        <w:jc w:val="both"/>
      </w:pPr>
      <w:r>
        <w:rPr>
          <w:rFonts w:ascii="Arial" w:cs="Arial" w:eastAsia="Arial" w:hAnsi="Arial"/>
          <w:b w:val="false"/>
          <w:bCs w:val="false"/>
          <w:i w:val="false"/>
          <w:iCs w:val="false"/>
          <w:color w:val="000000"/>
          <w:sz w:val="22"/>
          <w:szCs w:val="22"/>
        </w:rPr>
        <w:t xml:space="preserve">The DPO maintains a TIA Register documenting all Transfer Impact Assessments conducted by SIGN. The TIA Register is reviewed annually and updated following any change to the legal framework of a destination country that may affect the adequacy of protection. TIA Register records are available to supervisory authorities on request.</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18. UPDATING PROCEDURE</w:t>
      </w:r>
    </w:p>
    <w:p>
      <w:pPr>
        <w:pStyle w:val="Heading2"/>
        <w:spacing w:after="120" w:before="280"/>
      </w:pPr>
      <w:r>
        <w:rPr>
          <w:rFonts w:ascii="Arial" w:cs="Arial" w:eastAsia="Arial" w:hAnsi="Arial"/>
          <w:b/>
          <w:bCs/>
          <w:color w:val="0F1729"/>
          <w:sz w:val="25"/>
          <w:szCs w:val="25"/>
        </w:rPr>
        <w:t xml:space="preserve">18.1  How This Privacy Code Is Updated</w:t>
      </w:r>
    </w:p>
    <w:p>
      <w:pPr>
        <w:spacing w:after="80" w:before="80" w:line="276"/>
        <w:jc w:val="both"/>
      </w:pPr>
      <w:r>
        <w:rPr>
          <w:rFonts w:ascii="Arial" w:cs="Arial" w:eastAsia="Arial" w:hAnsi="Arial"/>
          <w:b w:val="false"/>
          <w:bCs w:val="false"/>
          <w:i w:val="false"/>
          <w:iCs w:val="false"/>
          <w:color w:val="000000"/>
          <w:sz w:val="22"/>
          <w:szCs w:val="22"/>
        </w:rPr>
        <w:t xml:space="preserve">This Privacy Code may be updated by SIGN at any time to reflect: changes in applicable data protection law; regulatory guidance from supervisory authorities; changes to SIGN's group structure (addition or removal of Group Members); changes to SIGN's processing activities; or improvements to SIGN's data protection practices.</w:t>
      </w:r>
    </w:p>
    <w:p>
      <w:pPr>
        <w:pStyle w:val="Heading2"/>
        <w:spacing w:after="120" w:before="280"/>
      </w:pPr>
      <w:r>
        <w:rPr>
          <w:rFonts w:ascii="Arial" w:cs="Arial" w:eastAsia="Arial" w:hAnsi="Arial"/>
          <w:b/>
          <w:bCs/>
          <w:color w:val="0F1729"/>
          <w:sz w:val="25"/>
          <w:szCs w:val="25"/>
        </w:rPr>
        <w:t xml:space="preserve">18.2  Notification of Changes</w:t>
      </w:r>
    </w:p>
    <w:p>
      <w:pPr>
        <w:spacing w:after="80" w:before="80" w:line="276"/>
        <w:jc w:val="both"/>
      </w:pPr>
      <w:r>
        <w:rPr>
          <w:rFonts w:ascii="Arial" w:cs="Arial" w:eastAsia="Arial" w:hAnsi="Arial"/>
          <w:b w:val="false"/>
          <w:bCs w:val="false"/>
          <w:i w:val="false"/>
          <w:iCs w:val="false"/>
          <w:color w:val="000000"/>
          <w:sz w:val="22"/>
          <w:szCs w:val="22"/>
        </w:rPr>
        <w:t xml:space="preserve">When SIGN updates this Privacy Code, it will:</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Notify all Group Members of the changes and the effective date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Update the 'Last Updated' date on the published version of this Privacy Code</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Notify affected Customers where changes materially affect the terms of their DPA</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Notify the relevant supervisory authority where changes are material and notification is required by applicable law</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Maintain a version history of this Privacy Code, with previous versions available upon request</w:t>
      </w:r>
    </w:p>
    <w:p>
      <w:pPr>
        <w:pStyle w:val="Heading2"/>
        <w:spacing w:after="120" w:before="280"/>
      </w:pPr>
      <w:r>
        <w:rPr>
          <w:rFonts w:ascii="Arial" w:cs="Arial" w:eastAsia="Arial" w:hAnsi="Arial"/>
          <w:b/>
          <w:bCs/>
          <w:color w:val="0F1729"/>
          <w:sz w:val="25"/>
          <w:szCs w:val="25"/>
        </w:rPr>
        <w:t xml:space="preserve">18.3  Emergency Updates</w:t>
      </w:r>
    </w:p>
    <w:p>
      <w:pPr>
        <w:spacing w:after="80" w:before="80" w:line="276"/>
        <w:jc w:val="both"/>
      </w:pPr>
      <w:r>
        <w:rPr>
          <w:rFonts w:ascii="Arial" w:cs="Arial" w:eastAsia="Arial" w:hAnsi="Arial"/>
          <w:b w:val="false"/>
          <w:bCs w:val="false"/>
          <w:i w:val="false"/>
          <w:iCs w:val="false"/>
          <w:color w:val="000000"/>
          <w:sz w:val="22"/>
          <w:szCs w:val="22"/>
        </w:rPr>
        <w:t xml:space="preserve">In the event of an urgent change required by new law or a supervisory authority direction, SIGN may update this Privacy Code with immediate effect. In such cases, SIGN will notify Group Members and affected Customers as soon as practicable and will provide a retrospective explanation of the change.</w:t>
      </w:r>
    </w:p>
    <w:p>
      <w:pPr>
        <w:spacing w:after="12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19. COOPERATION WITH SUPERVISORY AUTHORITIES</w:t>
      </w:r>
    </w:p>
    <w:p>
      <w:pPr>
        <w:pStyle w:val="Heading2"/>
        <w:spacing w:after="120" w:before="280"/>
      </w:pPr>
      <w:r>
        <w:rPr>
          <w:rFonts w:ascii="Arial" w:cs="Arial" w:eastAsia="Arial" w:hAnsi="Arial"/>
          <w:b/>
          <w:bCs/>
          <w:color w:val="0F1729"/>
          <w:sz w:val="25"/>
          <w:szCs w:val="25"/>
        </w:rPr>
        <w:t xml:space="preserve">19.1  SIGN's Commitment</w:t>
      </w:r>
    </w:p>
    <w:p>
      <w:pPr>
        <w:spacing w:after="80" w:before="80" w:line="276"/>
        <w:jc w:val="both"/>
      </w:pPr>
      <w:r>
        <w:rPr>
          <w:rFonts w:ascii="Arial" w:cs="Arial" w:eastAsia="Arial" w:hAnsi="Arial"/>
          <w:b w:val="false"/>
          <w:bCs w:val="false"/>
          <w:i w:val="false"/>
          <w:iCs w:val="false"/>
          <w:color w:val="000000"/>
          <w:sz w:val="22"/>
          <w:szCs w:val="22"/>
        </w:rPr>
        <w:t xml:space="preserve">SIGN is committed to full cooperation with supervisory authorities in all jurisdictions where it processes personal data. This commitment includes: responding promptly to supervisory authority inquiries; providing supervisory authorities with access to this Privacy Code and compliance documentation; implementing remedial measures required by supervisory authority decisions; and participating constructively in supervisory authority audits and investigations.</w:t>
      </w:r>
    </w:p>
    <w:p>
      <w:pPr>
        <w:pStyle w:val="Heading2"/>
        <w:spacing w:after="120" w:before="280"/>
      </w:pPr>
      <w:r>
        <w:rPr>
          <w:rFonts w:ascii="Arial" w:cs="Arial" w:eastAsia="Arial" w:hAnsi="Arial"/>
          <w:b/>
          <w:bCs/>
          <w:color w:val="0F1729"/>
          <w:sz w:val="25"/>
          <w:szCs w:val="25"/>
        </w:rPr>
        <w:t xml:space="preserve">19.2  Lead Supervisory Authority</w:t>
      </w:r>
    </w:p>
    <w:p>
      <w:pPr>
        <w:spacing w:after="80" w:before="80" w:line="276"/>
        <w:jc w:val="both"/>
      </w:pPr>
      <w:r>
        <w:rPr>
          <w:rFonts w:ascii="Arial" w:cs="Arial" w:eastAsia="Arial" w:hAnsi="Arial"/>
          <w:b w:val="false"/>
          <w:bCs w:val="false"/>
          <w:i w:val="false"/>
          <w:iCs w:val="false"/>
          <w:color w:val="000000"/>
          <w:sz w:val="22"/>
          <w:szCs w:val="22"/>
        </w:rPr>
        <w:t xml:space="preserve">As a company incorporated in Dubai Internet City Free Zone, SIGN's primary supervisory authority is the UAE Data Office. For EU/EEA processing activities, SIGN's lead supervisory authority within the EU will be determined in accordance with GDPR Chapter VII rules on the one-stop-shop mechanism, as SIGN expands its EU operations. SIGN is committed to engaging with a lead EU supervisory authority regarding recognition of this Privacy Code as adequate safeguards for intra-group transfers.</w:t>
      </w:r>
    </w:p>
    <w:p>
      <w:pPr>
        <w:pStyle w:val="Heading2"/>
        <w:spacing w:after="120" w:before="280"/>
      </w:pPr>
      <w:r>
        <w:rPr>
          <w:rFonts w:ascii="Arial" w:cs="Arial" w:eastAsia="Arial" w:hAnsi="Arial"/>
          <w:b/>
          <w:bCs/>
          <w:color w:val="0F1729"/>
          <w:sz w:val="25"/>
          <w:szCs w:val="25"/>
        </w:rPr>
        <w:t xml:space="preserve">19.3  Cooperation Procedure</w:t>
      </w:r>
    </w:p>
    <w:p>
      <w:pPr>
        <w:spacing w:after="80" w:before="80" w:line="276"/>
        <w:jc w:val="both"/>
      </w:pPr>
      <w:r>
        <w:rPr>
          <w:rFonts w:ascii="Arial" w:cs="Arial" w:eastAsia="Arial" w:hAnsi="Arial"/>
          <w:b w:val="false"/>
          <w:bCs w:val="false"/>
          <w:i w:val="false"/>
          <w:iCs w:val="false"/>
          <w:color w:val="000000"/>
          <w:sz w:val="22"/>
          <w:szCs w:val="22"/>
        </w:rPr>
        <w:t xml:space="preserve">The DPO is SIGN's point of contact for all supervisory authority communications. The DPO: maintains records of all supervisory authority communications; escalates material supervisory authority matters to SIGN's board; coordinates SIGN's response to supervisory authority investigations; and reports the outcome of supervisory authority investigations to all Group Members.</w:t>
      </w:r>
    </w:p>
    <w:p>
      <w:pPr>
        <w:spacing w:after="120" w:before="0"/>
      </w:pPr>
      <w:r>
        <w:rPr>
          <w:rFonts w:ascii="Arial" w:cs="Arial" w:eastAsia="Arial" w:hAnsi="Arial"/>
          <w:b w:val="false"/>
          <w:bCs w:val="false"/>
          <w:i w:val="false"/>
          <w:iCs w:val="false"/>
          <w:color w:val="000000"/>
          <w:sz w:val="22"/>
          <w:szCs w:val="22"/>
        </w:rPr>
        <w:t xml:space="preserve"/>
      </w:r>
    </w:p>
    <w:p>
      <w:pPr>
        <w:pBdr>
          <w:bottom w:val="single" w:color="4F6EF7" w:sz="4" w:space="4"/>
        </w:pBdr>
        <w:spacing w:after="200" w:before="200"/>
      </w:pPr>
      <w:r>
        <w:rPr>
          <w:rFonts w:ascii="Arial" w:cs="Arial" w:eastAsia="Arial" w:hAnsi="Arial"/>
          <w:b w:val="false"/>
          <w:bCs w:val="false"/>
          <w:i w:val="false"/>
          <w:iCs w:val="false"/>
          <w:color w:val="000000"/>
          <w:sz w:val="22"/>
          <w:szCs w:val="22"/>
        </w:rPr>
        <w:t xml:space="preserve"/>
      </w:r>
    </w:p>
    <w:p>
      <w:pPr>
        <w:pBdr>
          <w:top w:val="single" w:color="D97706" w:sz="8"/>
          <w:bottom w:val="single" w:color="D97706" w:sz="8"/>
        </w:pBdr>
        <w:shd w:fill="0F1729" w:val="clear"/>
        <w:spacing w:after="0" w:before="0"/>
        <w:jc w:val="center"/>
      </w:pPr>
      <w:r>
        <w:rPr>
          <w:rFonts w:ascii="Arial" w:cs="Arial" w:eastAsia="Arial" w:hAnsi="Arial"/>
          <w:b/>
          <w:bCs/>
          <w:color w:val="FFFFFF"/>
          <w:sz w:val="36"/>
          <w:szCs w:val="36"/>
        </w:rPr>
        <w:t xml:space="preserve">APPENDICES</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A1 — SIGN GROUP MEMBERS</w:t>
      </w:r>
    </w:p>
    <w:p>
      <w:pPr>
        <w:spacing w:after="80" w:before="80" w:line="276"/>
        <w:jc w:val="both"/>
      </w:pPr>
      <w:r>
        <w:rPr>
          <w:rFonts w:ascii="Arial" w:cs="Arial" w:eastAsia="Arial" w:hAnsi="Arial"/>
          <w:b w:val="false"/>
          <w:bCs w:val="false"/>
          <w:i w:val="false"/>
          <w:iCs w:val="false"/>
          <w:color w:val="000000"/>
          <w:sz w:val="22"/>
          <w:szCs w:val="22"/>
        </w:rPr>
        <w:t xml:space="preserve">The following entities are bound by this Privacy Code as Group Members. This list is current as of the Last Updated date of this Privacy Code and is maintained by the DPO. Updates to this list are made in accordance with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Entity</w:t>
            </w:r>
          </w:p>
        </w:tc>
        <w:tc>
          <w:tcPr>
            <w:tcW w:type="dxa" w:w="53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Incorporation Jurisdiction</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SIGN Technologies LLC (Accountable Entity)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Dubai Internet City Free Zone, Dubai, United Arab Emirates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[Future Group Members to be added]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specified upon establishment]</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A2 — MATERIAL SCOPE: CONTROLLER POLICY</w:t>
      </w:r>
    </w:p>
    <w:p>
      <w:pPr>
        <w:pStyle w:val="Heading2"/>
        <w:spacing w:after="120" w:before="280"/>
      </w:pPr>
      <w:r>
        <w:rPr>
          <w:rFonts w:ascii="Arial" w:cs="Arial" w:eastAsia="Arial" w:hAnsi="Arial"/>
          <w:b/>
          <w:bCs/>
          <w:color w:val="0F1729"/>
          <w:sz w:val="25"/>
          <w:szCs w:val="25"/>
        </w:rPr>
        <w:t xml:space="preserve">Categories of Personal Data</w:t>
      </w:r>
    </w:p>
    <w:p>
      <w:pPr>
        <w:spacing w:after="80" w:before="80" w:line="276"/>
        <w:jc w:val="both"/>
      </w:pPr>
      <w:r>
        <w:rPr>
          <w:rFonts w:ascii="Arial" w:cs="Arial" w:eastAsia="Arial" w:hAnsi="Arial"/>
          <w:b w:val="false"/>
          <w:bCs w:val="false"/>
          <w:i w:val="false"/>
          <w:iCs w:val="false"/>
          <w:color w:val="000000"/>
          <w:sz w:val="22"/>
          <w:szCs w:val="22"/>
        </w:rPr>
        <w:t xml:space="preserve">The following categories of personal data are processed by SIGN Group Members as controllers and are within the scope of this Controller Policy: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Customer and User identity data (name, email, job title, organization, contact details)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Account authentication data (username, hashed password, session tokens)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Subscription and billing data (payment method metadata, billing address, invoice records)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Platform usage data (login timestamps, feature usage, IP addresses, device information)</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Communication preference data (consent records, opt-in/opt-out history)</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Staff data (employee personal data processed for employment purposes)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Marketing and prospect data (contact details of prospects who have consented to marketing)</w:t>
      </w:r>
    </w:p>
    <w:p>
      <w:pPr>
        <w:pStyle w:val="Heading2"/>
        <w:spacing w:after="120" w:before="280"/>
      </w:pPr>
      <w:r>
        <w:rPr>
          <w:rFonts w:ascii="Arial" w:cs="Arial" w:eastAsia="Arial" w:hAnsi="Arial"/>
          <w:b/>
          <w:bCs/>
          <w:color w:val="0F1729"/>
          <w:sz w:val="25"/>
          <w:szCs w:val="25"/>
        </w:rPr>
        <w:t xml:space="preserve">Categories of Data Subjects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Customers (Account holders subscribing to SIGN services)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Authorized Users (individuals using the Platform under a Customer Account)</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Prospects (individuals who have expressed interest in SIGN services)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Staff (employees, contractors, and consultants of SIGN Group Members)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Website visitors</w:t>
      </w:r>
    </w:p>
    <w:p>
      <w:pPr>
        <w:pStyle w:val="Heading2"/>
        <w:spacing w:after="120" w:before="280"/>
      </w:pPr>
      <w:r>
        <w:rPr>
          <w:rFonts w:ascii="Arial" w:cs="Arial" w:eastAsia="Arial" w:hAnsi="Arial"/>
          <w:b/>
          <w:bCs/>
          <w:color w:val="0F1729"/>
          <w:sz w:val="25"/>
          <w:szCs w:val="25"/>
        </w:rPr>
        <w:t xml:space="preserve">Cross-Border Transfers</w:t>
      </w:r>
    </w:p>
    <w:p>
      <w:pPr>
        <w:spacing w:after="80" w:before="80" w:line="276"/>
        <w:jc w:val="both"/>
      </w:pPr>
      <w:r>
        <w:rPr>
          <w:rFonts w:ascii="Arial" w:cs="Arial" w:eastAsia="Arial" w:hAnsi="Arial"/>
          <w:b w:val="false"/>
          <w:bCs w:val="false"/>
          <w:i w:val="false"/>
          <w:iCs w:val="false"/>
          <w:color w:val="000000"/>
          <w:sz w:val="22"/>
          <w:szCs w:val="22"/>
        </w:rPr>
        <w:t xml:space="preserve">Cross-border transfers of personal data within scope of the Controller Policy include: transfers of User data between SIGN Group Members for Platform operation, support, and administration; transfers of Staff data between Group Members for HR purposes; and transfers to approved sub-processors for specific processing activities.</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A3 — MATERIAL SCOPE: PROCESSOR POLICY</w:t>
      </w:r>
    </w:p>
    <w:p>
      <w:pPr>
        <w:pStyle w:val="Heading2"/>
        <w:spacing w:after="120" w:before="280"/>
      </w:pPr>
      <w:r>
        <w:rPr>
          <w:rFonts w:ascii="Arial" w:cs="Arial" w:eastAsia="Arial" w:hAnsi="Arial"/>
          <w:b/>
          <w:bCs/>
          <w:color w:val="0F1729"/>
          <w:sz w:val="25"/>
          <w:szCs w:val="25"/>
        </w:rPr>
        <w:t xml:space="preserve">Categories of Personal Data</w:t>
      </w:r>
    </w:p>
    <w:p>
      <w:pPr>
        <w:spacing w:after="80" w:before="80" w:line="276"/>
        <w:jc w:val="both"/>
      </w:pPr>
      <w:r>
        <w:rPr>
          <w:rFonts w:ascii="Arial" w:cs="Arial" w:eastAsia="Arial" w:hAnsi="Arial"/>
          <w:b w:val="false"/>
          <w:bCs w:val="false"/>
          <w:i w:val="false"/>
          <w:iCs w:val="false"/>
          <w:color w:val="000000"/>
          <w:sz w:val="22"/>
          <w:szCs w:val="22"/>
        </w:rPr>
        <w:t xml:space="preserve">The following categories of personal data are processed by SIGN Group Members as processors on behalf of Customers: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Personal data contained in construction contract documents uploaded by Customers (including names, contact details, and roles of named individuals in contracts)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E-signature data (signer names, email addresses, IP addresses, timestamps)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Personal data in contractual notices, claims, and correspondence managed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Personal data in amendment and addendum documents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Personal data of Authorized Users to the extent processed by SIGN for service delivery purposes</w:t>
      </w:r>
    </w:p>
    <w:p>
      <w:pPr>
        <w:pStyle w:val="Heading2"/>
        <w:spacing w:after="120" w:before="280"/>
      </w:pPr>
      <w:r>
        <w:rPr>
          <w:rFonts w:ascii="Arial" w:cs="Arial" w:eastAsia="Arial" w:hAnsi="Arial"/>
          <w:b/>
          <w:bCs/>
          <w:color w:val="0F1729"/>
          <w:sz w:val="25"/>
          <w:szCs w:val="25"/>
        </w:rPr>
        <w:t xml:space="preserve">Categories of Data Subjects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Parties to construction contracts managed through the Platform</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Named individuals in contractual documents (engineers, representatives, consultants)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Signatories to documents executed through the Platform's e-signature workflows</w:t>
      </w:r>
    </w:p>
    <w:p>
      <w:pPr>
        <w:pStyle w:val="ListParagraph"/>
        <w:numPr>
          <w:ilvl w:val="0"/>
          <w:numId w:val="2"/>
        </w:numPr>
        <w:spacing w:after="40" w:before="40" w:line="276"/>
      </w:pPr>
      <w:r>
        <w:rPr>
          <w:rFonts w:ascii="Arial" w:cs="Arial" w:eastAsia="Arial" w:hAnsi="Arial"/>
          <w:b w:val="false"/>
          <w:bCs w:val="false"/>
          <w:i w:val="false"/>
          <w:iCs w:val="false"/>
          <w:color w:val="000000"/>
          <w:sz w:val="22"/>
          <w:szCs w:val="22"/>
        </w:rPr>
        <w:t xml:space="preserve">Recipients of contractual notices submitted through the Platform</w:t>
      </w:r>
    </w:p>
    <w:p>
      <w:pPr>
        <w:pStyle w:val="Heading2"/>
        <w:spacing w:after="120" w:before="280"/>
      </w:pPr>
      <w:r>
        <w:rPr>
          <w:rFonts w:ascii="Arial" w:cs="Arial" w:eastAsia="Arial" w:hAnsi="Arial"/>
          <w:b/>
          <w:bCs/>
          <w:color w:val="0F1729"/>
          <w:sz w:val="25"/>
          <w:szCs w:val="25"/>
        </w:rPr>
        <w:t xml:space="preserve">Types of Transfers</w:t>
      </w:r>
    </w:p>
    <w:p>
      <w:pPr>
        <w:spacing w:after="80" w:before="80" w:line="276"/>
        <w:jc w:val="both"/>
      </w:pPr>
      <w:r>
        <w:rPr>
          <w:rFonts w:ascii="Arial" w:cs="Arial" w:eastAsia="Arial" w:hAnsi="Arial"/>
          <w:b w:val="false"/>
          <w:bCs w:val="false"/>
          <w:i w:val="false"/>
          <w:iCs w:val="false"/>
          <w:color w:val="000000"/>
          <w:sz w:val="22"/>
          <w:szCs w:val="22"/>
        </w:rPr>
        <w:t xml:space="preserve">Cross-border transfers within scope of the Processor Policy include: transfers of Customer personal data between SIGN Group Members for service delivery, technical support, and security operations; and transfers of Customer personal data to approved sub-processors for specific processing activities (AI processing, cloud hosting, e-signature technology, payment processing).</w:t>
      </w:r>
    </w:p>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A4 — FAIR INFORMATION DISCLOSURES</w:t>
      </w:r>
    </w:p>
    <w:p>
      <w:pPr>
        <w:spacing w:after="80" w:before="80" w:line="276"/>
        <w:jc w:val="both"/>
      </w:pPr>
      <w:r>
        <w:rPr>
          <w:rFonts w:ascii="Arial" w:cs="Arial" w:eastAsia="Arial" w:hAnsi="Arial"/>
          <w:b w:val="false"/>
          <w:bCs w:val="false"/>
          <w:i w:val="false"/>
          <w:iCs w:val="false"/>
          <w:color w:val="000000"/>
          <w:sz w:val="22"/>
          <w:szCs w:val="22"/>
        </w:rPr>
        <w:t xml:space="preserve">SIGN provides the following information to data subjects when processing their personal data as a controller, in accordance with Rule 2 of the Controller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Disclosure Item</w:t>
            </w:r>
          </w:p>
        </w:tc>
        <w:tc>
          <w:tcPr>
            <w:tcW w:type="dxa" w:w="57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Provided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Identity of the controller (SIGN Technologies LLC) and DPO contact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account registration; e-signature invitation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Purposes of processing and legal basis for each purpose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cookie consent banner</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Categories of personal data collected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Recipients or categories of recipients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DPA (for Customer data)</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Cross-border transfer details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BCR (this document)</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retention periods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Cancellation and Downgrade Policy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subjects' rights and how to exercise them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Data Protection Rights Procedure (Appendix A5)</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Right to withdraw consent (where processing based on consent)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Communications Preferences Policy; Privacy Policy</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Right to lodge a complaint with a supervisory authority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Policy; this Privacy Code</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A5 — DATA PROTECTION RIGHTS PROCEDURE</w:t>
      </w:r>
    </w:p>
    <w:p>
      <w:pPr>
        <w:spacing w:after="80" w:before="80" w:line="276"/>
        <w:jc w:val="both"/>
      </w:pPr>
      <w:r>
        <w:rPr>
          <w:rFonts w:ascii="Arial" w:cs="Arial" w:eastAsia="Arial" w:hAnsi="Arial"/>
          <w:b w:val="false"/>
          <w:bCs w:val="false"/>
          <w:i w:val="false"/>
          <w:iCs w:val="false"/>
          <w:color w:val="000000"/>
          <w:sz w:val="22"/>
          <w:szCs w:val="22"/>
        </w:rPr>
        <w:t xml:space="preserve">Data subjects may exercise their data protection rights by submitting a request to privacy@sign.io. SIGN's handling procedure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Right</w:t>
            </w:r>
          </w:p>
        </w:tc>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Processing Time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Access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 (extendable by 2 months for complex requests)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Rectification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Without undue delay; within 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Erasure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Without undue delay; within 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Restriction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Without undue delay; within 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Portability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Object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Without undue delay; within 30 days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Complaint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Acknowledge within 5 days; resolve within 30 days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A6 — PRIVACY COMPLIANCE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65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Responsibilities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Chief Executive Officer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Ultimate accountability for BCR compliance; board reporting on privacy risk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Data Protection Officer (privacy@sign.io)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Independent oversight; regulatory liaison; rights request management; breach response; audit oversight; BCR maintenance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Legal Team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Regulatory compliance; DPA management; TIA oversight; policy drafting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Security Team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Technical security measures; vulnerability management; incident response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Engineering / Product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Privacy by design; DPIA support; data minimisation implementation</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Customer Success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DPA negotiation and execution; sub-processor notifications; Customer privacy queries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HR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Staff data protection; training records; employment contract privacy clauses</w:t>
            </w:r>
          </w:p>
        </w:tc>
      </w:tr>
    </w:tbl>
    <w:p>
      <w:pPr>
        <w:spacing w:after="80" w:before="0"/>
      </w:pPr>
      <w:r>
        <w:rPr>
          <w:rFonts w:ascii="Arial" w:cs="Arial" w:eastAsia="Arial" w:hAnsi="Arial"/>
          <w:b w:val="false"/>
          <w:bCs w:val="false"/>
          <w:i w:val="false"/>
          <w:iCs w:val="false"/>
          <w:color w:val="000000"/>
          <w:sz w:val="22"/>
          <w:szCs w:val="22"/>
        </w:rPr>
        <w:t xml:space="preserve"/>
      </w:r>
    </w:p>
    <w:p>
      <w:pPr>
        <w:pStyle w:val="Heading1"/>
        <w:pBdr>
          <w:bottom w:val="single" w:color="4F6EF7" w:sz="8" w:space="4"/>
        </w:pBdr>
        <w:spacing w:after="160" w:before="360"/>
      </w:pPr>
      <w:r>
        <w:rPr>
          <w:rFonts w:ascii="Arial" w:cs="Arial" w:eastAsia="Arial" w:hAnsi="Arial"/>
          <w:b/>
          <w:bCs/>
          <w:color w:val="0F1729"/>
          <w:sz w:val="30"/>
          <w:szCs w:val="30"/>
        </w:rPr>
        <w:t xml:space="preserve">APPENDIX A7 — SUBPROCESSORS LIST</w:t>
      </w:r>
    </w:p>
    <w:p>
      <w:pPr>
        <w:spacing w:after="80" w:before="80" w:line="276"/>
        <w:jc w:val="both"/>
      </w:pPr>
      <w:r>
        <w:rPr>
          <w:rFonts w:ascii="Arial" w:cs="Arial" w:eastAsia="Arial" w:hAnsi="Arial"/>
          <w:b w:val="false"/>
          <w:bCs w:val="false"/>
          <w:i w:val="false"/>
          <w:iCs w:val="false"/>
          <w:color w:val="000000"/>
          <w:sz w:val="22"/>
          <w:szCs w:val="22"/>
        </w:rPr>
        <w:t xml:space="preserve">The following sub-processors are authorized by SIGN to process Customer personal data on SIGN's behalf. The current and complete list is maintained at www.sign.io/legal/subprocessors and is updated within 30 days of any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18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Sub-Processor</w:t>
            </w:r>
          </w:p>
        </w:tc>
        <w:tc>
          <w:tcPr>
            <w:tcW w:type="dxa" w:w="24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216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3000"/>
            <w:tcBorders>
              <w:top w:val="single" w:color="CBD5E1" w:sz="1"/>
              <w:left w:val="single" w:color="CBD5E1" w:sz="1"/>
              <w:bottom w:val="single" w:color="CBD5E1" w:sz="1"/>
              <w:right w:val="single" w:color="CBD5E1" w:sz="1"/>
            </w:tcBorders>
            <w:shd w:fill="0F1729"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Processed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OpenAI</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AI/LLM model processing for contract analysis features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United States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Contract text submitted for AI analysis; anonymized for training only with consent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Microsoft Azure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Cloud infrastructure and hosting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UAE North / Global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All Customer data hosted on Platform</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DocuSign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E-signature workflow processing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United States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Signer identity data; document hashes; signature audit trails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Paymob</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Payment processing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Egypt / MENA</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Billing data; payment method metadata (not full card details)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Intercom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Customer support and live chat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United States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Support communications; User identity data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both"/>
            </w:pPr>
            <w:r>
              <w:rPr>
                <w:rFonts w:ascii="Arial" w:cs="Arial" w:eastAsia="Arial" w:hAnsi="Arial"/>
                <w:b/>
                <w:bCs/>
                <w:color w:val="0F1729"/>
                <w:sz w:val="20"/>
                <w:szCs w:val="20"/>
              </w:rPr>
              <w:t xml:space="preserve">[Additional sub-processors]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listed as engaged]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specified]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both"/>
            </w:pPr>
            <w:r>
              <w:rPr>
                <w:rFonts w:ascii="Arial" w:cs="Arial" w:eastAsia="Arial" w:hAnsi="Arial"/>
                <w:b w:val="false"/>
                <w:bCs w:val="false"/>
                <w:color w:val="000000"/>
                <w:sz w:val="20"/>
                <w:szCs w:val="20"/>
              </w:rPr>
              <w:t xml:space="preserve">[To be specified]</w:t>
            </w:r>
          </w:p>
        </w:tc>
      </w:tr>
    </w:tbl>
    <w:p>
      <w:pPr>
        <w:spacing w:after="200" w:before="0"/>
      </w:pPr>
      <w:r>
        <w:rPr>
          <w:rFonts w:ascii="Arial" w:cs="Arial" w:eastAsia="Arial" w:hAnsi="Arial"/>
          <w:b w:val="false"/>
          <w:bCs w:val="false"/>
          <w:i w:val="false"/>
          <w:iCs w:val="false"/>
          <w:color w:val="000000"/>
          <w:sz w:val="22"/>
          <w:szCs w:val="22"/>
        </w:rPr>
        <w:t xml:space="preserve"/>
      </w:r>
    </w:p>
    <w:p>
      <w:pPr>
        <w:spacing w:after="80" w:before="80" w:line="276"/>
        <w:jc w:val="center"/>
      </w:pPr>
      <w:r>
        <w:rPr>
          <w:rFonts w:ascii="Arial" w:cs="Arial" w:eastAsia="Arial" w:hAnsi="Arial"/>
          <w:b w:val="false"/>
          <w:bCs w:val="false"/>
          <w:i w:val="false"/>
          <w:iCs w:val="false"/>
          <w:color w:val="64748B"/>
          <w:sz w:val="21"/>
          <w:szCs w:val="21"/>
        </w:rPr>
        <w:t xml:space="preserve">This Binding Corporate Rules Privacy Code was last updated on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 and is effective as of </w:t>
      </w:r>
      <w:r>
        <w:rPr>
          <w:rFonts w:ascii="Arial" w:cs="Arial" w:eastAsia="Arial" w:hAnsi="Arial"/>
          <w:b/>
          <w:bCs/>
          <w:i w:val="false"/>
          <w:iCs w:val="false"/>
          <w:color w:val="0F1729"/>
          <w:sz w:val="21"/>
          <w:szCs w:val="21"/>
        </w:rPr>
        <w:t xml:space="preserve">June 1, 2025</w:t>
      </w:r>
      <w:r>
        <w:rPr>
          <w:rFonts w:ascii="Arial" w:cs="Arial" w:eastAsia="Arial" w:hAnsi="Arial"/>
          <w:b w:val="false"/>
          <w:bCs w:val="false"/>
          <w:i w:val="false"/>
          <w:iCs w:val="false"/>
          <w:color w:val="64748B"/>
          <w:sz w:val="21"/>
          <w:szCs w:val="21"/>
        </w:rPr>
        <w:t xml:space="preserve">.</w:t>
      </w:r>
    </w:p>
    <w:p>
      <w:pPr>
        <w:spacing w:after="80" w:before="0"/>
      </w:pPr>
      <w:r>
        <w:rPr>
          <w:rFonts w:ascii="Arial" w:cs="Arial" w:eastAsia="Arial" w:hAnsi="Arial"/>
          <w:b w:val="false"/>
          <w:bCs w:val="false"/>
          <w:i w:val="false"/>
          <w:iCs w:val="false"/>
          <w:color w:val="000000"/>
          <w:sz w:val="22"/>
          <w:szCs w:val="22"/>
        </w:rPr>
        <w:t xml:space="preserve"/>
      </w:r>
    </w:p>
    <w:p>
      <w:pPr>
        <w:spacing w:after="0" w:before="0"/>
        <w:jc w:val="center"/>
      </w:pPr>
      <w:r>
        <w:rPr>
          <w:rFonts w:ascii="Arial" w:cs="Arial" w:eastAsia="Arial" w:hAnsi="Arial"/>
          <w:color w:val="64748B"/>
          <w:sz w:val="20"/>
          <w:szCs w:val="20"/>
        </w:rPr>
        <w:t xml:space="preserve">© 2026 SIGN Technologies LLC.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F6EF7" w:sz="4" w:space="4"/>
      </w:pBdr>
      <w:spacing w:after="0" w:before="80"/>
      <w:jc w:val="center"/>
    </w:pPr>
    <w:r>
      <w:rPr>
        <w:rFonts w:ascii="Arial" w:cs="Arial" w:eastAsia="Arial" w:hAnsi="Arial"/>
        <w:color w:val="64748B"/>
        <w:sz w:val="16"/>
        <w:szCs w:val="16"/>
      </w:rPr>
      <w:t xml:space="preserve">© 2026 SIGN Technologies LLC  |  www.sign.io/legal/bcr  |  DPO: privacy@sign.io  |  Dubai Internet City Free Zone, UAE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6EF7" w:sz="4" w:space="4"/>
      </w:pBdr>
      <w:spacing w:after="80" w:before="0"/>
    </w:pPr>
    <w:r>
      <w:rPr>
        <w:rFonts w:ascii="Arial" w:cs="Arial" w:eastAsia="Arial" w:hAnsi="Arial"/>
        <w:color w:val="64748B"/>
        <w:sz w:val="16"/>
        <w:szCs w:val="16"/>
      </w:rPr>
      <w:t xml:space="preserve">SIGN TECHNOLOGIES LLC  |  BINDING CORPORATE RULES — CONTROLLER &amp; PROCESSOR PRIVACY CODE  |  June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0F1729"/>
      <w:sz w:val="25"/>
      <w:szCs w:val="25"/>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2026-05-08T10:59:38.498Z</dcterms:created>
  <dcterms:modified xsi:type="dcterms:W3CDTF">2026-05-08T10:59:38.501Z</dcterms:modified>
</cp:coreProperties>
</file>

<file path=docProps/custom.xml><?xml version="1.0" encoding="utf-8"?>
<Properties xmlns="http://schemas.openxmlformats.org/officeDocument/2006/custom-properties" xmlns:vt="http://schemas.openxmlformats.org/officeDocument/2006/docPropsVTypes"/>
</file>