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526B" w14:textId="193D1051" w:rsidR="00DC150D" w:rsidRPr="00704B39" w:rsidRDefault="0007308E" w:rsidP="00704B3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704B39">
        <w:rPr>
          <w:color w:val="FF0000"/>
          <w:sz w:val="52"/>
          <w:szCs w:val="52"/>
        </w:rPr>
        <w:t>N</w:t>
      </w:r>
      <w:r w:rsidR="000D3F88" w:rsidRPr="00704B39">
        <w:rPr>
          <w:color w:val="FF0000"/>
          <w:sz w:val="52"/>
          <w:szCs w:val="52"/>
        </w:rPr>
        <w:t>ame</w:t>
      </w:r>
      <w:r w:rsidRPr="00704B39">
        <w:rPr>
          <w:color w:val="FF0000"/>
          <w:sz w:val="52"/>
          <w:szCs w:val="52"/>
        </w:rPr>
        <w:t xml:space="preserve"> </w:t>
      </w:r>
      <w:r w:rsidRPr="00704B39">
        <w:rPr>
          <w:color w:val="FF0000"/>
          <w:sz w:val="36"/>
          <w:szCs w:val="36"/>
        </w:rPr>
        <w:t>:</w:t>
      </w:r>
      <w:proofErr w:type="gramEnd"/>
      <w:r w:rsidRPr="00704B39">
        <w:rPr>
          <w:color w:val="FF0000"/>
          <w:sz w:val="36"/>
          <w:szCs w:val="36"/>
        </w:rPr>
        <w:t xml:space="preserve"> </w:t>
      </w:r>
      <w:r w:rsidRPr="00704B39">
        <w:rPr>
          <w:sz w:val="32"/>
          <w:szCs w:val="32"/>
        </w:rPr>
        <w:t xml:space="preserve">Mohamed Samir </w:t>
      </w:r>
      <w:r w:rsidRPr="00704B39">
        <w:rPr>
          <w:sz w:val="32"/>
          <w:szCs w:val="32"/>
        </w:rPr>
        <w:t xml:space="preserve">Mohamed </w:t>
      </w:r>
      <w:r w:rsidRPr="00704B39">
        <w:rPr>
          <w:i/>
          <w:iCs/>
          <w:color w:val="000000" w:themeColor="text1"/>
          <w:sz w:val="32"/>
          <w:szCs w:val="32"/>
          <w:u w:val="single"/>
        </w:rPr>
        <w:t xml:space="preserve">Abd </w:t>
      </w:r>
      <w:proofErr w:type="spellStart"/>
      <w:r w:rsidR="00704B39" w:rsidRPr="00704B39">
        <w:rPr>
          <w:i/>
          <w:iCs/>
          <w:color w:val="000000" w:themeColor="text1"/>
          <w:sz w:val="32"/>
          <w:szCs w:val="32"/>
          <w:u w:val="single"/>
        </w:rPr>
        <w:t>Elghany</w:t>
      </w:r>
      <w:proofErr w:type="spellEnd"/>
      <w:r w:rsidR="00704B39" w:rsidRPr="00704B39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704B39" w:rsidRPr="00704B39">
        <w:rPr>
          <w:i/>
          <w:iCs/>
          <w:color w:val="000000" w:themeColor="text1"/>
          <w:sz w:val="32"/>
          <w:szCs w:val="32"/>
          <w:u w:val="single"/>
        </w:rPr>
        <w:t>Bedir</w:t>
      </w:r>
      <w:proofErr w:type="spellEnd"/>
      <w:r w:rsidRPr="00704B39">
        <w:rPr>
          <w:i/>
          <w:iCs/>
          <w:color w:val="000000" w:themeColor="text1"/>
          <w:sz w:val="40"/>
          <w:szCs w:val="40"/>
          <w:u w:val="single"/>
        </w:rPr>
        <w:t xml:space="preserve">             </w:t>
      </w:r>
    </w:p>
    <w:p w14:paraId="1253C5A9" w14:textId="4CF18C80" w:rsidR="0007308E" w:rsidRPr="006F761F" w:rsidRDefault="0007308E" w:rsidP="006F761F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proofErr w:type="gramStart"/>
      <w:r w:rsidRPr="0007308E">
        <w:rPr>
          <w:color w:val="FF0000"/>
          <w:sz w:val="52"/>
          <w:szCs w:val="52"/>
        </w:rPr>
        <w:t>B.N. :</w:t>
      </w:r>
      <w:proofErr w:type="gramEnd"/>
      <w:r w:rsidRPr="0007308E">
        <w:rPr>
          <w:color w:val="FF0000"/>
          <w:sz w:val="52"/>
          <w:szCs w:val="52"/>
        </w:rPr>
        <w:t xml:space="preserve">  </w:t>
      </w:r>
      <w:r w:rsidRPr="00704B39">
        <w:rPr>
          <w:b/>
          <w:bCs/>
          <w:i/>
          <w:iCs/>
          <w:color w:val="000000" w:themeColor="text1"/>
          <w:sz w:val="48"/>
          <w:szCs w:val="48"/>
        </w:rPr>
        <w:t>718</w:t>
      </w:r>
      <w:r w:rsidRPr="0007308E">
        <w:rPr>
          <w:b/>
          <w:bCs/>
          <w:i/>
          <w:iCs/>
          <w:color w:val="000000" w:themeColor="text1"/>
          <w:sz w:val="52"/>
          <w:szCs w:val="52"/>
        </w:rPr>
        <w:t xml:space="preserve"> </w:t>
      </w:r>
      <w:r w:rsidRPr="0007308E">
        <w:rPr>
          <w:color w:val="000000" w:themeColor="text1"/>
          <w:sz w:val="52"/>
          <w:szCs w:val="52"/>
        </w:rPr>
        <w:t xml:space="preserve"> </w:t>
      </w:r>
      <w:r w:rsidRPr="0007308E">
        <w:rPr>
          <w:color w:val="FF0000"/>
          <w:sz w:val="52"/>
          <w:szCs w:val="52"/>
        </w:rPr>
        <w:t xml:space="preserve">    </w:t>
      </w:r>
    </w:p>
    <w:p w14:paraId="7DD268DD" w14:textId="2C4E5704" w:rsidR="0007308E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7308E">
        <w:rPr>
          <w:i/>
          <w:iCs/>
          <w:color w:val="FF0000"/>
          <w:sz w:val="52"/>
          <w:szCs w:val="52"/>
        </w:rPr>
        <w:t xml:space="preserve">Groub </w:t>
      </w:r>
      <w:r w:rsidRPr="000D3F88">
        <w:rPr>
          <w:i/>
          <w:iCs/>
          <w:color w:val="FF0000"/>
          <w:sz w:val="52"/>
          <w:szCs w:val="52"/>
        </w:rPr>
        <w:t>:</w:t>
      </w:r>
      <w:r w:rsidRPr="0007308E">
        <w:rPr>
          <w:i/>
          <w:iCs/>
          <w:sz w:val="52"/>
          <w:szCs w:val="52"/>
        </w:rPr>
        <w:t xml:space="preserve"> 6</w:t>
      </w:r>
    </w:p>
    <w:p w14:paraId="11AB55FC" w14:textId="1C8431E8" w:rsidR="000D3F88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D3F88">
        <w:rPr>
          <w:i/>
          <w:iCs/>
          <w:color w:val="FF0000"/>
          <w:sz w:val="52"/>
          <w:szCs w:val="52"/>
        </w:rPr>
        <w:t>S</w:t>
      </w:r>
      <w:r w:rsidR="000D3F88" w:rsidRPr="000D3F88">
        <w:rPr>
          <w:i/>
          <w:iCs/>
          <w:color w:val="FF0000"/>
          <w:sz w:val="52"/>
          <w:szCs w:val="52"/>
        </w:rPr>
        <w:t>ection:</w:t>
      </w:r>
      <w:r w:rsidR="000D3F88" w:rsidRPr="000D3F88">
        <w:rPr>
          <w:i/>
          <w:iCs/>
          <w:sz w:val="52"/>
          <w:szCs w:val="52"/>
        </w:rPr>
        <w:t xml:space="preserve"> 33</w:t>
      </w:r>
    </w:p>
    <w:p w14:paraId="6780EC2E" w14:textId="5661514F" w:rsidR="000D3F88" w:rsidRPr="006F761F" w:rsidRDefault="000D3F88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D3F88">
        <w:rPr>
          <w:i/>
          <w:iCs/>
          <w:color w:val="FF0000"/>
          <w:sz w:val="52"/>
          <w:szCs w:val="52"/>
        </w:rPr>
        <w:t xml:space="preserve">Topic : </w:t>
      </w:r>
      <w:r>
        <w:rPr>
          <w:i/>
          <w:iCs/>
          <w:sz w:val="52"/>
          <w:szCs w:val="52"/>
        </w:rPr>
        <w:t>covid-19</w:t>
      </w:r>
    </w:p>
    <w:p w14:paraId="5EC2854E" w14:textId="6789B4C3" w:rsidR="000D3F88" w:rsidRDefault="000D3F88" w:rsidP="000D3F8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6F761F">
        <w:rPr>
          <w:i/>
          <w:iCs/>
          <w:color w:val="FF0000"/>
          <w:sz w:val="52"/>
          <w:szCs w:val="52"/>
        </w:rPr>
        <w:t xml:space="preserve">Application brief </w:t>
      </w:r>
      <w:r>
        <w:rPr>
          <w:i/>
          <w:iCs/>
          <w:sz w:val="52"/>
          <w:szCs w:val="52"/>
        </w:rPr>
        <w:t>:</w:t>
      </w:r>
      <w:r w:rsidRPr="000D3F88"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On March 13, 2020, the National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Science and Technology Advisors from a dozen countries, including the United States, called on publishers to voluntarily make their COVID-19 and coronavirus-related publications, and the available data supporting them, immediately accessible in PubMed Central (PMC) and other appropriate public repositories to support the ongoing public health emergency response efforts.</w:t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  <w:shd w:val="clear" w:color="auto" w:fill="FFFFFF"/>
        </w:rPr>
        <w:t>To date, more than fifty publishers (see </w:t>
      </w:r>
      <w:hyperlink r:id="rId5" w:anchor="collab" w:history="1">
        <w:r w:rsidRPr="006F761F">
          <w:rPr>
            <w:rStyle w:val="Hyperlink"/>
            <w:color w:val="2F4A8B"/>
            <w:sz w:val="32"/>
            <w:szCs w:val="32"/>
            <w:shd w:val="clear" w:color="auto" w:fill="FFFFFF"/>
          </w:rPr>
          <w:t>Collaborators</w:t>
        </w:r>
      </w:hyperlink>
      <w:r w:rsidRPr="006F761F">
        <w:rPr>
          <w:color w:val="000000"/>
          <w:sz w:val="32"/>
          <w:szCs w:val="32"/>
          <w:shd w:val="clear" w:color="auto" w:fill="FFFFFF"/>
        </w:rPr>
        <w:t> to the right) have responded to the call and volunteered to make their coronavirus-related articles accessible in PMC in formats and under license terms that facilitate text mining and secondary analysis. In addition, many other PMC journals and publishers make their coronavirus-related articles available the same way.</w:t>
      </w:r>
    </w:p>
    <w:p w14:paraId="572CF52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2F291C3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33921C7A" w14:textId="77777777" w:rsidR="000D3F88" w:rsidRPr="000D3F88" w:rsidRDefault="000D3F88" w:rsidP="000D3F88">
      <w:pPr>
        <w:rPr>
          <w:i/>
          <w:iCs/>
          <w:sz w:val="52"/>
          <w:szCs w:val="52"/>
        </w:rPr>
      </w:pPr>
    </w:p>
    <w:p w14:paraId="035B466B" w14:textId="0DDC9578" w:rsidR="0007308E" w:rsidRPr="001F0A4A" w:rsidRDefault="001F0A4A" w:rsidP="001F0A4A">
      <w:pPr>
        <w:pStyle w:val="ListParagraph"/>
        <w:numPr>
          <w:ilvl w:val="0"/>
          <w:numId w:val="1"/>
        </w:numPr>
        <w:rPr>
          <w:i/>
          <w:iCs/>
          <w:color w:val="FF0000"/>
          <w:sz w:val="52"/>
          <w:szCs w:val="52"/>
        </w:rPr>
      </w:pPr>
      <w:r w:rsidRPr="001F0A4A">
        <w:rPr>
          <w:i/>
          <w:iCs/>
          <w:color w:val="FF0000"/>
          <w:sz w:val="52"/>
          <w:szCs w:val="52"/>
        </w:rPr>
        <w:lastRenderedPageBreak/>
        <w:t>Screen shot</w:t>
      </w:r>
      <w:r>
        <w:rPr>
          <w:i/>
          <w:iCs/>
          <w:color w:val="FF0000"/>
          <w:sz w:val="52"/>
          <w:szCs w:val="52"/>
        </w:rPr>
        <w:t>s</w:t>
      </w:r>
      <w:r w:rsidRPr="001F0A4A">
        <w:rPr>
          <w:i/>
          <w:iCs/>
          <w:color w:val="FF0000"/>
          <w:sz w:val="52"/>
          <w:szCs w:val="52"/>
          <w:highlight w:val="yellow"/>
        </w:rPr>
        <w:t>:</w:t>
      </w:r>
      <w:r w:rsidRPr="001F0A4A">
        <w:rPr>
          <w:i/>
          <w:iCs/>
          <w:color w:val="FF0000"/>
          <w:sz w:val="52"/>
          <w:szCs w:val="52"/>
        </w:rPr>
        <w:t xml:space="preserve"> </w:t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3BE28187" wp14:editId="1F4C0F41">
            <wp:extent cx="54864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6F57D06D" wp14:editId="227738CF">
            <wp:extent cx="59626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482B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5B5684A3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07A5EBFF" w14:textId="3A46595F" w:rsidR="0007308E" w:rsidRPr="00D024DB" w:rsidRDefault="001F0A4A" w:rsidP="00D024DB">
      <w:pPr>
        <w:pStyle w:val="ListParagraph"/>
        <w:rPr>
          <w:i/>
          <w:iCs/>
          <w:noProof/>
          <w:color w:val="FF0000"/>
          <w:sz w:val="52"/>
          <w:szCs w:val="52"/>
        </w:rPr>
      </w:pPr>
      <w:r w:rsidRPr="00D024DB">
        <w:rPr>
          <w:noProof/>
          <w:color w:val="FF0000"/>
        </w:rPr>
        <w:lastRenderedPageBreak/>
        <w:drawing>
          <wp:inline distT="0" distB="0" distL="0" distR="0" wp14:anchorId="2D411AC8" wp14:editId="692A4B07">
            <wp:extent cx="69913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71" cy="33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B0D" w14:textId="7BFA62D0" w:rsidR="00D024DB" w:rsidRPr="00D024DB" w:rsidRDefault="00D024DB" w:rsidP="00D024DB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D024DB">
        <w:rPr>
          <w:color w:val="FF0000"/>
          <w:sz w:val="52"/>
          <w:szCs w:val="52"/>
        </w:rPr>
        <w:t xml:space="preserve">Source code : </w:t>
      </w:r>
      <w:r>
        <w:rPr>
          <w:noProof/>
          <w:color w:val="FF0000"/>
          <w:sz w:val="52"/>
          <w:szCs w:val="52"/>
        </w:rPr>
        <w:drawing>
          <wp:inline distT="0" distB="0" distL="0" distR="0" wp14:anchorId="531E8548" wp14:editId="06621633">
            <wp:extent cx="54768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A0FA" w14:textId="1F65638D" w:rsidR="00D024DB" w:rsidRPr="00D024DB" w:rsidRDefault="00D024DB" w:rsidP="00D024DB">
      <w:pPr>
        <w:rPr>
          <w:sz w:val="52"/>
          <w:szCs w:val="52"/>
        </w:rPr>
      </w:pPr>
    </w:p>
    <w:p w14:paraId="0FA8CBB4" w14:textId="599B63B3" w:rsidR="00D024DB" w:rsidRPr="00D024DB" w:rsidRDefault="00D024DB" w:rsidP="00D024DB">
      <w:pPr>
        <w:rPr>
          <w:sz w:val="52"/>
          <w:szCs w:val="52"/>
        </w:rPr>
      </w:pPr>
    </w:p>
    <w:p w14:paraId="394CA36B" w14:textId="4C260E19" w:rsidR="00D024DB" w:rsidRDefault="00D024DB" w:rsidP="00D024DB">
      <w:pPr>
        <w:rPr>
          <w:i/>
          <w:iCs/>
          <w:noProof/>
          <w:sz w:val="52"/>
          <w:szCs w:val="52"/>
        </w:rPr>
      </w:pPr>
    </w:p>
    <w:p w14:paraId="6AF7A0D5" w14:textId="7505B37B" w:rsidR="00D024DB" w:rsidRPr="00D024DB" w:rsidRDefault="00D024DB" w:rsidP="00D024DB">
      <w:pPr>
        <w:tabs>
          <w:tab w:val="left" w:pos="294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sectPr w:rsidR="00D024DB" w:rsidRPr="00D02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451"/>
    <w:multiLevelType w:val="hybridMultilevel"/>
    <w:tmpl w:val="94CE4446"/>
    <w:lvl w:ilvl="0" w:tplc="DFA4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1F3C"/>
    <w:multiLevelType w:val="hybridMultilevel"/>
    <w:tmpl w:val="253A91B6"/>
    <w:lvl w:ilvl="0" w:tplc="8280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8E"/>
    <w:rsid w:val="0007308E"/>
    <w:rsid w:val="000D3F88"/>
    <w:rsid w:val="001F0A4A"/>
    <w:rsid w:val="0044539F"/>
    <w:rsid w:val="006F761F"/>
    <w:rsid w:val="00704B39"/>
    <w:rsid w:val="00737637"/>
    <w:rsid w:val="00D024DB"/>
    <w:rsid w:val="00D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503"/>
  <w15:chartTrackingRefBased/>
  <w15:docId w15:val="{03C26DD0-B3EC-4371-A1EF-4EBB49E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3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bout/covid-1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3</cp:revision>
  <dcterms:created xsi:type="dcterms:W3CDTF">2021-06-07T14:32:00Z</dcterms:created>
  <dcterms:modified xsi:type="dcterms:W3CDTF">2021-06-07T15:46:00Z</dcterms:modified>
</cp:coreProperties>
</file>