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INQETRA: a research-design studio linking built-environment research questions to authoritative UK open data</w:t>
      </w:r>
    </w:p>
    <w:p>
      <w:pPr>
        <w:pStyle w:val="Date"/>
      </w:pPr>
      <w:r>
        <w:t xml:space="preserve">4 September 2026</w:t>
      </w:r>
    </w:p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Researchers in the built-environment sciences routinely begin a project with an</w:t>
      </w:r>
      <w:r>
        <w:t xml:space="preserve"> </w:t>
      </w:r>
      <w:r>
        <w:t xml:space="preserve">under-specified question and lose weeks discovering which authoritative datasets</w:t>
      </w:r>
      <w:r>
        <w:t xml:space="preserve"> </w:t>
      </w:r>
      <w:r>
        <w:t xml:space="preserve">exist, whether they are licensed for reuse, and how they can be joined. Existing</w:t>
      </w:r>
      <w:r>
        <w:t xml:space="preserve"> </w:t>
      </w:r>
      <w:r>
        <w:t xml:space="preserve">catalogues answer</w:t>
      </w:r>
      <w:r>
        <w:t xml:space="preserve"> </w:t>
      </w:r>
      <w:r>
        <w:t xml:space="preserve">“where is a dataset?”</w:t>
      </w:r>
      <w:r>
        <w:t xml:space="preserve"> </w:t>
      </w:r>
      <w:r>
        <w:t xml:space="preserve">but not</w:t>
      </w:r>
      <w:r>
        <w:t xml:space="preserve"> </w:t>
      </w:r>
      <w:r>
        <w:t xml:space="preserve">“does this dataset answer my</w:t>
      </w:r>
      <w:r>
        <w:t xml:space="preserve"> </w:t>
      </w:r>
      <w:r>
        <w:t xml:space="preserve">question, and can I lawfully and technically combine it with the others I need?”</w:t>
      </w:r>
      <w:r>
        <w:t xml:space="preserve"> </w:t>
      </w:r>
      <w:r>
        <w:t xml:space="preserve">INQETRA is a web-based research-design studio that closes this gap: it treats the</w:t>
      </w:r>
      <w:r>
        <w:t xml:space="preserve"> </w:t>
      </w:r>
      <w:r>
        <w:t xml:space="preserve">path from research problem to executable data plan as a graph of linked, auditable</w:t>
      </w:r>
      <w:r>
        <w:t xml:space="preserve"> </w:t>
      </w:r>
      <w:r>
        <w:t xml:space="preserve">objects — knowledge gaps, research questions, aims, methods, dataset requirements,</w:t>
      </w:r>
      <w:r>
        <w:t xml:space="preserve"> </w:t>
      </w:r>
      <w:r>
        <w:t xml:space="preserve">a dataset basket, an aim-by-dataset matrix, transformations and analysis steps —</w:t>
      </w:r>
      <w:r>
        <w:t xml:space="preserve"> </w:t>
      </w:r>
      <w:r>
        <w:t xml:space="preserve">and it records provenance, licence state and link health for every dataset along</w:t>
      </w:r>
      <w:r>
        <w:t xml:space="preserve"> </w:t>
      </w:r>
      <w:r>
        <w:t xml:space="preserve">the way. A researcher finishes an INQETRA session with a reproducible, exportable</w:t>
      </w:r>
      <w:r>
        <w:t xml:space="preserve"> </w:t>
      </w:r>
      <w:r>
        <w:t xml:space="preserve">Research Data Plan rather than a folder of bookmarks.</w:t>
      </w:r>
    </w:p>
    <w:bookmarkEnd w:id="9"/>
    <w:bookmarkStart w:id="10" w:name="statement-of-need"/>
    <w:p>
      <w:pPr>
        <w:pStyle w:val="Heading1"/>
      </w:pPr>
      <w:r>
        <w:t xml:space="preserve">Statement of need</w:t>
      </w:r>
    </w:p>
    <w:p>
      <w:pPr>
        <w:pStyle w:val="FirstParagraph"/>
      </w:pPr>
      <w:r>
        <w:t xml:space="preserve">Graduate researchers and practitioners in fields such as building performance,</w:t>
      </w:r>
      <w:r>
        <w:t xml:space="preserve"> </w:t>
      </w:r>
      <w:r>
        <w:t xml:space="preserve">energy, housing and climate adaptation must repeatedly assemble evidence bases from</w:t>
      </w:r>
      <w:r>
        <w:t xml:space="preserve"> </w:t>
      </w:r>
      <w:r>
        <w:t xml:space="preserve">fragmented public sources: national statistical portals, mapping agencies, and</w:t>
      </w:r>
      <w:r>
        <w:t xml:space="preserve"> </w:t>
      </w:r>
      <w:r>
        <w:t xml:space="preserve">meteorological services</w:t>
      </w:r>
      <w:r>
        <w:t xml:space="preserve"> </w:t>
      </w:r>
      <w:r>
        <w:t xml:space="preserve">(</w:t>
      </w:r>
      <w:hyperlink w:anchor="ref-metofficehadukgrid">
        <w:r>
          <w:rPr>
            <w:rStyle w:val="Hyperlink"/>
          </w:rPr>
          <w:t xml:space="preserve">Met Office et al. 2026</w:t>
        </w:r>
      </w:hyperlink>
      <w:r>
        <w:t xml:space="preserve">;</w:t>
      </w:r>
      <w:r>
        <w:t xml:space="preserve"> </w:t>
      </w:r>
      <w:hyperlink w:anchor="ref-mhclgepc">
        <w:r>
          <w:rPr>
            <w:rStyle w:val="Hyperlink"/>
          </w:rPr>
          <w:t xml:space="preserve">Ministry of Housing, Communities and Local Government 2026</w:t>
        </w:r>
      </w:hyperlink>
      <w:r>
        <w:t xml:space="preserve">)</w:t>
      </w:r>
      <w:r>
        <w:t xml:space="preserve">. Two failure modes are common. First, datasets are chosen</w:t>
      </w:r>
      <w:r>
        <w:t xml:space="preserve"> </w:t>
      </w:r>
      <w:r>
        <w:t xml:space="preserve">by availability rather than by derivation from the research questions, which</w:t>
      </w:r>
      <w:r>
        <w:t xml:space="preserve"> </w:t>
      </w:r>
      <w:r>
        <w:t xml:space="preserve">weakens the eventual inference; methodologists have long argued that data</w:t>
      </w:r>
      <w:r>
        <w:t xml:space="preserve"> </w:t>
      </w:r>
      <w:r>
        <w:t xml:space="preserve">management should follow the research design rather than accompany it, as</w:t>
      </w:r>
      <w:r>
        <w:t xml:space="preserve"> </w:t>
      </w:r>
      <w:r>
        <w:t xml:space="preserve">codified in the FAIR principles</w:t>
      </w:r>
      <w:r>
        <w:t xml:space="preserve"> </w:t>
      </w:r>
      <w:r>
        <w:t xml:space="preserve">(</w:t>
      </w:r>
      <w:hyperlink w:anchor="ref-wilkinson2016fair">
        <w:r>
          <w:rPr>
            <w:rStyle w:val="Hyperlink"/>
          </w:rPr>
          <w:t xml:space="preserve">Wilkinson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. Second, the legality and</w:t>
      </w:r>
      <w:r>
        <w:t xml:space="preserve"> </w:t>
      </w:r>
      <w:r>
        <w:t xml:space="preserve">mechanical compatibility of combinations — spatial scale mismatches, identifier</w:t>
      </w:r>
      <w:r>
        <w:t xml:space="preserve"> </w:t>
      </w:r>
      <w:r>
        <w:t xml:space="preserve">incompatibilities, licence restrictions — are discovered late, after analysis has</w:t>
      </w:r>
      <w:r>
        <w:t xml:space="preserve"> </w:t>
      </w:r>
      <w:r>
        <w:t xml:space="preserve">begun. Built-environment research adds a domain-specific burden: simulation-based</w:t>
      </w:r>
      <w:r>
        <w:t xml:space="preserve"> </w:t>
      </w:r>
      <w:r>
        <w:t xml:space="preserve">workflows</w:t>
      </w:r>
      <w:r>
        <w:t xml:space="preserve"> </w:t>
      </w:r>
      <w:r>
        <w:t xml:space="preserve">(e.g.</w:t>
      </w:r>
      <w:r>
        <w:t xml:space="preserve"> </w:t>
      </w:r>
      <w:hyperlink w:anchor="ref-crawley2008contrasting">
        <w:r>
          <w:rPr>
            <w:rStyle w:val="Hyperlink"/>
          </w:rPr>
          <w:t xml:space="preserve">Crawley et al. 2008</w:t>
        </w:r>
      </w:hyperlink>
      <w:r>
        <w:t xml:space="preserve">)</w:t>
      </w:r>
      <w:r>
        <w:t xml:space="preserve"> </w:t>
      </w:r>
      <w:r>
        <w:t xml:space="preserve">and overheating risk assessment</w:t>
      </w:r>
      <w:r>
        <w:t xml:space="preserve"> </w:t>
      </w:r>
      <w:r>
        <w:t xml:space="preserve">(</w:t>
      </w:r>
      <w:hyperlink w:anchor="ref-cibse2017tm59">
        <w:r>
          <w:rPr>
            <w:rStyle w:val="Hyperlink"/>
          </w:rPr>
          <w:t xml:space="preserve">Chartered Institution of Building Services Engineers (CIBSE) 2017</w:t>
        </w:r>
      </w:hyperlink>
      <w:r>
        <w:t xml:space="preserve">)</w:t>
      </w:r>
      <w:r>
        <w:t xml:space="preserve"> </w:t>
      </w:r>
      <w:r>
        <w:t xml:space="preserve">depend on weather and building-stock data whose provenance and versioning directly</w:t>
      </w:r>
      <w:r>
        <w:t xml:space="preserve"> </w:t>
      </w:r>
      <w:r>
        <w:t xml:space="preserve">affect the defensibility of results.</w:t>
      </w:r>
    </w:p>
    <w:p>
      <w:pPr>
        <w:pStyle w:val="BodyText"/>
      </w:pPr>
      <w:r>
        <w:t xml:space="preserve">No existing open tool connects the research-design layer (questions, aims, methods)</w:t>
      </w:r>
      <w:r>
        <w:t xml:space="preserve"> </w:t>
      </w:r>
      <w:r>
        <w:t xml:space="preserve">to a curated UK dataset catalogue with mechanical compatibility checking, gap</w:t>
      </w:r>
      <w:r>
        <w:t xml:space="preserve"> </w:t>
      </w:r>
      <w:r>
        <w:t xml:space="preserve">analysis and evidence-traced drafting. Spreadsheets and generic notebooks record</w:t>
      </w:r>
      <w:r>
        <w:t xml:space="preserve"> </w:t>
      </w:r>
      <w:r>
        <w:t xml:space="preserve">the outcome of design decisions but not the decisions themselves. INQETRA addresses</w:t>
      </w:r>
      <w:r>
        <w:t xml:space="preserve"> </w:t>
      </w:r>
      <w:r>
        <w:t xml:space="preserve">both failure modes in one place: requirements are derived from aims, candidate</w:t>
      </w:r>
      <w:r>
        <w:t xml:space="preserve"> </w:t>
      </w:r>
      <w:r>
        <w:t xml:space="preserve">datasets are matched against explicit requirements, a rule-based engine reports</w:t>
      </w:r>
      <w:r>
        <w:t xml:space="preserve"> </w:t>
      </w:r>
      <w:r>
        <w:t xml:space="preserve">mechanical compatibility (coverage, geography, granularity, identifiers, units,</w:t>
      </w:r>
      <w:r>
        <w:t xml:space="preserve"> </w:t>
      </w:r>
      <w:r>
        <w:t xml:space="preserve">format, access, licence, freshness), and an export renders the full plan with every</w:t>
      </w:r>
      <w:r>
        <w:t xml:space="preserve"> </w:t>
      </w:r>
      <w:r>
        <w:t xml:space="preserve">dataset claim traceable to its landing page and review date.</w:t>
      </w:r>
    </w:p>
    <w:bookmarkEnd w:id="10"/>
    <w:bookmarkStart w:id="11" w:name="state-of-the-field"/>
    <w:p>
      <w:pPr>
        <w:pStyle w:val="Heading1"/>
      </w:pPr>
      <w:r>
        <w:t xml:space="preserve">State of the field</w:t>
      </w:r>
    </w:p>
    <w:p>
      <w:pPr>
        <w:pStyle w:val="FirstParagraph"/>
      </w:pPr>
      <w:r>
        <w:t xml:space="preserve">General-purpose research-data catalogues and registries (for example data.gov.uk</w:t>
      </w:r>
      <w:r>
        <w:t xml:space="preserve"> </w:t>
      </w:r>
      <w:r>
        <w:t xml:space="preserve">and the Office for National Statistics portals) provide search over metadata but</w:t>
      </w:r>
      <w:r>
        <w:t xml:space="preserve"> </w:t>
      </w:r>
      <w:r>
        <w:t xml:space="preserve">no linkage to research design. Data-management-plan assistants operate at the level</w:t>
      </w:r>
      <w:r>
        <w:t xml:space="preserve"> </w:t>
      </w:r>
      <w:r>
        <w:t xml:space="preserve">of institutional policy rather than per-project dataset selection. Reference-manager</w:t>
      </w:r>
      <w:r>
        <w:t xml:space="preserve"> </w:t>
      </w:r>
      <w:r>
        <w:t xml:space="preserve">and qualitative-analysis tools cover citations, and computational notebooks cover</w:t>
      </w:r>
      <w:r>
        <w:t xml:space="preserve"> </w:t>
      </w:r>
      <w:r>
        <w:t xml:space="preserve">analysis, but the design layer between question and dataset — requirements,</w:t>
      </w:r>
      <w:r>
        <w:t xml:space="preserve"> </w:t>
      </w:r>
      <w:r>
        <w:t xml:space="preserve">compatibility and gap analysis — remains unmanaged in common practice. INQETRA is</w:t>
      </w:r>
      <w:r>
        <w:t xml:space="preserve"> </w:t>
      </w:r>
      <w:r>
        <w:t xml:space="preserve">complementary to these tools: it produces structured plans that feed analysis</w:t>
      </w:r>
      <w:r>
        <w:t xml:space="preserve"> </w:t>
      </w:r>
      <w:r>
        <w:t xml:space="preserve">workflows rather than replacing them.</w:t>
      </w:r>
    </w:p>
    <w:bookmarkEnd w:id="11"/>
    <w:bookmarkStart w:id="12" w:name="key-features-and-implementation"/>
    <w:p>
      <w:pPr>
        <w:pStyle w:val="Heading1"/>
      </w:pPr>
      <w:r>
        <w:t xml:space="preserve">Key features and implementation</w:t>
      </w:r>
    </w:p>
    <w:p>
      <w:pPr>
        <w:pStyle w:val="FirstParagraph"/>
      </w:pPr>
      <w:r>
        <w:t xml:space="preserve">INQETRA is a two-part web application. The backend (Python/FastAPI</w:t>
      </w:r>
      <w:r>
        <w:t xml:space="preserve"> </w:t>
      </w:r>
      <w:r>
        <w:t xml:space="preserve">(</w:t>
      </w:r>
      <w:hyperlink w:anchor="ref-fastapi">
        <w:r>
          <w:rPr>
            <w:rStyle w:val="Hyperlink"/>
          </w:rPr>
          <w:t xml:space="preserve">Ramírez 2026</w:t>
        </w:r>
      </w:hyperlink>
      <w:r>
        <w:t xml:space="preserve">)</w:t>
      </w:r>
      <w:r>
        <w:t xml:space="preserve">, SQLAlchemy)</w:t>
      </w:r>
      <w:r>
        <w:t xml:space="preserve"> </w:t>
      </w:r>
      <w:r>
        <w:t xml:space="preserve">serves a catalogue of 751 curated UK datasets spanning 18 domains — each record</w:t>
      </w:r>
      <w:r>
        <w:t xml:space="preserve"> </w:t>
      </w:r>
      <w:r>
        <w:t xml:space="preserve">carrying publisher, landing URL, link type, verification state, access mode,</w:t>
      </w:r>
      <w:r>
        <w:t xml:space="preserve"> </w:t>
      </w:r>
      <w:r>
        <w:t xml:space="preserve">licence and last review date, with CSV/JSON/Markdown parity views. Beyond the</w:t>
      </w:r>
      <w:r>
        <w:t xml:space="preserve"> </w:t>
      </w:r>
      <w:r>
        <w:t xml:space="preserve">catalogue it exposes the research-design graph (projects, questions, aims,</w:t>
      </w:r>
      <w:r>
        <w:t xml:space="preserve"> </w:t>
      </w:r>
      <w:r>
        <w:t xml:space="preserve">objectives, hypotheses, methods, dataset requirements, a basket, an aim-by-dataset</w:t>
      </w:r>
      <w:r>
        <w:t xml:space="preserve"> </w:t>
      </w:r>
      <w:r>
        <w:t xml:space="preserve">matrix, notes, results, transformations and ordered analysis steps), a rule-based</w:t>
      </w:r>
      <w:r>
        <w:t xml:space="preserve"> </w:t>
      </w:r>
      <w:r>
        <w:t xml:space="preserve">compatibility engine with a data-gap radar, a candidate inbox for external</w:t>
      </w:r>
      <w:r>
        <w:t xml:space="preserve"> </w:t>
      </w:r>
      <w:r>
        <w:t xml:space="preserve">discoveries that are never auto-published, robots-aware thumbnail extraction,</w:t>
      </w:r>
      <w:r>
        <w:t xml:space="preserve"> </w:t>
      </w:r>
      <w:r>
        <w:t xml:space="preserve">an optional provider-neutral AI assistant restricted to deterministic tool</w:t>
      </w:r>
      <w:r>
        <w:t xml:space="preserve"> </w:t>
      </w:r>
      <w:r>
        <w:t xml:space="preserve">outputs, and document</w:t>
      </w:r>
      <w:r>
        <w:t xml:space="preserve"> </w:t>
      </w:r>
      <w:r>
        <w:t xml:space="preserve">“paths”</w:t>
      </w:r>
      <w:r>
        <w:t xml:space="preserve"> </w:t>
      </w:r>
      <w:r>
        <w:t xml:space="preserve">(doctoral thesis, master’s dissertation, research</w:t>
      </w:r>
      <w:r>
        <w:t xml:space="preserve"> </w:t>
      </w:r>
      <w:r>
        <w:t xml:space="preserve">grant, journal and conference papers) that tailor section skeletons, word targets</w:t>
      </w:r>
      <w:r>
        <w:t xml:space="preserve"> </w:t>
      </w:r>
      <w:r>
        <w:t xml:space="preserve">and tool emphasis. Compatibility rules and research-kit templates are editable</w:t>
      </w:r>
      <w:r>
        <w:t xml:space="preserve"> </w:t>
      </w:r>
      <w:r>
        <w:t xml:space="preserve">first-class records, and users can author custom kits. The frontend (TypeScript,</w:t>
      </w:r>
      <w:r>
        <w:t xml:space="preserve"> </w:t>
      </w:r>
      <w:r>
        <w:t xml:space="preserve">Next.js</w:t>
      </w:r>
      <w:r>
        <w:t xml:space="preserve"> </w:t>
      </w:r>
      <w:r>
        <w:t xml:space="preserve">(</w:t>
      </w:r>
      <w:hyperlink w:anchor="ref-nextjs">
        <w:r>
          <w:rPr>
            <w:rStyle w:val="Hyperlink"/>
          </w:rPr>
          <w:t xml:space="preserve">Vercel 2026</w:t>
        </w:r>
      </w:hyperlink>
      <w:r>
        <w:t xml:space="preserve">)</w:t>
      </w:r>
      <w:r>
        <w:t xml:space="preserve">, React) renders the studio, catalogue, comparison and administration</w:t>
      </w:r>
      <w:r>
        <w:t xml:space="preserve"> </w:t>
      </w:r>
      <w:r>
        <w:t xml:space="preserve">interfaces, is adaptive to mobile viewports, and exports project reports and</w:t>
      </w:r>
      <w:r>
        <w:t xml:space="preserve"> </w:t>
      </w:r>
      <w:r>
        <w:t xml:space="preserve">basket coverage reports as print-ready PDF documents in a deliberately high-</w:t>
      </w:r>
      <w:r>
        <w:t xml:space="preserve"> </w:t>
      </w:r>
      <w:r>
        <w:t xml:space="preserve">contrast visual design.</w:t>
      </w:r>
    </w:p>
    <w:p>
      <w:pPr>
        <w:pStyle w:val="BodyText"/>
      </w:pPr>
      <w:r>
        <w:t xml:space="preserve">Three policies are enforced throughout: (i) landing-page reachability never</w:t>
      </w:r>
      <w:r>
        <w:t xml:space="preserve"> </w:t>
      </w:r>
      <w:r>
        <w:t xml:space="preserve">implies download access, licence permission or scientific fitness — every dataset</w:t>
      </w:r>
      <w:r>
        <w:t xml:space="preserve"> </w:t>
      </w:r>
      <w:r>
        <w:t xml:space="preserve">claim carries its source URL and verification state; (ii) external discoveries</w:t>
      </w:r>
      <w:r>
        <w:t xml:space="preserve"> </w:t>
      </w:r>
      <w:r>
        <w:t xml:space="preserve">enter a staging inbox and require curator review with provenance and link health</w:t>
      </w:r>
      <w:r>
        <w:t xml:space="preserve"> </w:t>
      </w:r>
      <w:r>
        <w:t xml:space="preserve">before becoming catalogue records; (iii) AI assistance is optional,</w:t>
      </w:r>
      <w:r>
        <w:t xml:space="preserve"> </w:t>
      </w:r>
      <w:r>
        <w:t xml:space="preserve">provider-neutral and restricted to structuring deterministic tool outputs, so it</w:t>
      </w:r>
      <w:r>
        <w:t xml:space="preserve"> </w:t>
      </w:r>
      <w:r>
        <w:t xml:space="preserve">cannot invent datasets, licences or results. Abstract drafts and exports render</w:t>
      </w:r>
      <w:r>
        <w:t xml:space="preserve"> </w:t>
      </w:r>
      <w:r>
        <w:t xml:space="preserve">only researcher-entered results; absent results are marked unresolved rather than</w:t>
      </w:r>
      <w:r>
        <w:t xml:space="preserve"> </w:t>
      </w:r>
      <w:r>
        <w:t xml:space="preserve">fabricated.</w:t>
      </w:r>
    </w:p>
    <w:bookmarkEnd w:id="12"/>
    <w:bookmarkStart w:id="13" w:name="quality-control"/>
    <w:p>
      <w:pPr>
        <w:pStyle w:val="Heading1"/>
      </w:pPr>
      <w:r>
        <w:t xml:space="preserve">Quality control</w:t>
      </w:r>
    </w:p>
    <w:p>
      <w:pPr>
        <w:pStyle w:val="FirstParagraph"/>
      </w:pPr>
      <w:r>
        <w:t xml:space="preserve">The repository contains a 33-test automated suite (pytest) covering catalogue</w:t>
      </w:r>
      <w:r>
        <w:t xml:space="preserve"> </w:t>
      </w:r>
      <w:r>
        <w:t xml:space="preserve">minimum counts and parity, required metadata fields, twelve domain filters, a</w:t>
      </w:r>
      <w:r>
        <w:t xml:space="preserve"> </w:t>
      </w:r>
      <w:r>
        <w:t xml:space="preserve">full golden-journey integration test from problem statement to exported plan,</w:t>
      </w:r>
      <w:r>
        <w:t xml:space="preserve"> </w:t>
      </w:r>
      <w:r>
        <w:t xml:space="preserve">compatibility and gap analysis, kit instantiation, harvester staging semantics,</w:t>
      </w:r>
      <w:r>
        <w:t xml:space="preserve"> </w:t>
      </w:r>
      <w:r>
        <w:t xml:space="preserve">resolver exact-match rules, thumbnail robots compliance (network mocked), AI-tool</w:t>
      </w:r>
      <w:r>
        <w:t xml:space="preserve"> </w:t>
      </w:r>
      <w:r>
        <w:t xml:space="preserve">provenance, submissions moderation and document paths. Continuous quality is</w:t>
      </w:r>
      <w:r>
        <w:t xml:space="preserve"> </w:t>
      </w:r>
      <w:r>
        <w:t xml:space="preserve">verified locally or on any external CI at the author’s discretion; the test suite</w:t>
      </w:r>
      <w:r>
        <w:t xml:space="preserve"> </w:t>
      </w:r>
      <w:r>
        <w:t xml:space="preserve">runs in seconds against an in-memory database.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documents the</w:t>
      </w:r>
      <w:r>
        <w:t xml:space="preserve"> </w:t>
      </w:r>
      <w:r>
        <w:t xml:space="preserve">development setup and</w:t>
      </w:r>
      <w:r>
        <w:t xml:space="preserve"> </w:t>
      </w:r>
      <w:r>
        <w:rPr>
          <w:rStyle w:val="VerbatimChar"/>
        </w:rPr>
        <w:t xml:space="preserve">CODE_OF_CONDUCT.md</w:t>
      </w:r>
      <w:r>
        <w:t xml:space="preserve"> </w:t>
      </w:r>
      <w:r>
        <w:t xml:space="preserve">the community standard.</w:t>
      </w:r>
    </w:p>
    <w:bookmarkEnd w:id="13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15" w:name="ref-cibse2017tm59"/>
    <w:p>
      <w:pPr>
        <w:pStyle w:val="Bibliography"/>
      </w:pPr>
      <w:r>
        <w:t xml:space="preserve">Chartered Institution of Building Services Engineers (CIBSE). 2017.</w:t>
      </w:r>
      <w:r>
        <w:t xml:space="preserve"> </w:t>
      </w:r>
      <w:r>
        <w:rPr>
          <w:i/>
          <w:iCs/>
        </w:rPr>
        <w:t xml:space="preserve">Design Methodology for the Assessment of Overheating Risk in Homes (CIBSE TM59)</w:t>
      </w:r>
      <w:r>
        <w:t xml:space="preserve">. CIBSE.</w:t>
      </w:r>
      <w:r>
        <w:t xml:space="preserve"> </w:t>
      </w:r>
      <w:hyperlink r:id="rId14">
        <w:r>
          <w:rPr>
            <w:rStyle w:val="Hyperlink"/>
          </w:rPr>
          <w:t xml:space="preserve">https://www.cibse.org/knowledge/knowledge-items/detail?id=a0q0V000008I6mNQAS</w:t>
        </w:r>
      </w:hyperlink>
      <w:r>
        <w:t xml:space="preserve">.</w:t>
      </w:r>
    </w:p>
    <w:bookmarkEnd w:id="15"/>
    <w:bookmarkStart w:id="17" w:name="ref-crawley2008contrasting"/>
    <w:p>
      <w:pPr>
        <w:pStyle w:val="Bibliography"/>
      </w:pPr>
      <w:r>
        <w:t xml:space="preserve">Crawley, Drury B., Jon W. Hand, Michael Kummert, and Brent T. Griffith. 2008.</w:t>
      </w:r>
      <w:r>
        <w:t xml:space="preserve"> </w:t>
      </w:r>
      <w:r>
        <w:t xml:space="preserve">“Contrasting the Capabilities of Building Energy Performance Simulation Programs.”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 </w:t>
      </w:r>
      <w:r>
        <w:t xml:space="preserve">40 (4): 651–62.</w:t>
      </w:r>
      <w:r>
        <w:t xml:space="preserve"> </w:t>
      </w:r>
      <w:hyperlink r:id="rId16">
        <w:r>
          <w:rPr>
            <w:rStyle w:val="Hyperlink"/>
          </w:rPr>
          <w:t xml:space="preserve">https://doi.org/10.1016/j.enbuild.2006.10.027</w:t>
        </w:r>
      </w:hyperlink>
      <w:r>
        <w:t xml:space="preserve">.</w:t>
      </w:r>
    </w:p>
    <w:bookmarkEnd w:id="17"/>
    <w:bookmarkStart w:id="19" w:name="ref-metofficehadukgrid"/>
    <w:p>
      <w:pPr>
        <w:pStyle w:val="Bibliography"/>
      </w:pPr>
      <w:r>
        <w:t xml:space="preserve">Met Office, David Hollis, Mark McCarthy, Mike Kendon, and Tim Legg. 2026.</w:t>
      </w:r>
      <w:r>
        <w:t xml:space="preserve"> </w:t>
      </w:r>
      <w:r>
        <w:rPr>
          <w:i/>
          <w:iCs/>
        </w:rPr>
        <w:t xml:space="preserve">HadUK-Grid: Gridded Climate Observations for the UK</w:t>
      </w:r>
      <w:r>
        <w:t xml:space="preserve">.</w:t>
      </w:r>
      <w:r>
        <w:t xml:space="preserve"> </w:t>
      </w:r>
      <w:hyperlink r:id="rId18">
        <w:r>
          <w:rPr>
            <w:rStyle w:val="Hyperlink"/>
          </w:rPr>
          <w:t xml:space="preserve">Https://www.metoffice.gov.uk/research/climate/maps-and-data/data/haduk-grid</w:t>
        </w:r>
      </w:hyperlink>
      <w:r>
        <w:t xml:space="preserve">.</w:t>
      </w:r>
    </w:p>
    <w:bookmarkEnd w:id="19"/>
    <w:bookmarkStart w:id="21" w:name="ref-mhclgepc"/>
    <w:p>
      <w:pPr>
        <w:pStyle w:val="Bibliography"/>
      </w:pPr>
      <w:r>
        <w:t xml:space="preserve">Ministry of Housing, Communities and Local Government. 2026.</w:t>
      </w:r>
      <w:r>
        <w:t xml:space="preserve"> </w:t>
      </w:r>
      <w:r>
        <w:rPr>
          <w:i/>
          <w:iCs/>
        </w:rPr>
        <w:t xml:space="preserve">Energy Performance of Buildings Data: Energy Performance Certificates and Displays</w:t>
      </w:r>
      <w:r>
        <w:t xml:space="preserve">.</w:t>
      </w:r>
      <w:r>
        <w:t xml:space="preserve"> </w:t>
      </w:r>
      <w:hyperlink r:id="rId20">
        <w:r>
          <w:rPr>
            <w:rStyle w:val="Hyperlink"/>
          </w:rPr>
          <w:t xml:space="preserve">Https://www.gov.uk/government/collections/energy-performance-of-buildings-data</w:t>
        </w:r>
      </w:hyperlink>
      <w:r>
        <w:t xml:space="preserve">.</w:t>
      </w:r>
    </w:p>
    <w:bookmarkEnd w:id="21"/>
    <w:bookmarkStart w:id="23" w:name="ref-fastapi"/>
    <w:p>
      <w:pPr>
        <w:pStyle w:val="Bibliography"/>
      </w:pPr>
      <w:r>
        <w:t xml:space="preserve">Ramírez, Sebastián. 2026.</w:t>
      </w:r>
      <w:r>
        <w:t xml:space="preserve"> </w:t>
      </w:r>
      <w:r>
        <w:rPr>
          <w:i/>
          <w:iCs/>
        </w:rPr>
        <w:t xml:space="preserve">FastAPI: Modern, Fast (High-Performance) Web Framework for Python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Https://fastapi.tiangolo.com/</w:t>
        </w:r>
      </w:hyperlink>
      <w:r>
        <w:t xml:space="preserve">.</w:t>
      </w:r>
    </w:p>
    <w:bookmarkEnd w:id="23"/>
    <w:bookmarkStart w:id="25" w:name="ref-nextjs"/>
    <w:p>
      <w:pPr>
        <w:pStyle w:val="Bibliography"/>
      </w:pPr>
      <w:r>
        <w:t xml:space="preserve">Vercel. 2026.</w:t>
      </w:r>
      <w:r>
        <w:t xml:space="preserve"> </w:t>
      </w:r>
      <w:r>
        <w:rPr>
          <w:i/>
          <w:iCs/>
        </w:rPr>
        <w:t xml:space="preserve">Next.js: The React Framework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Https://nextjs.org/</w:t>
        </w:r>
      </w:hyperlink>
      <w:r>
        <w:t xml:space="preserve">.</w:t>
      </w:r>
    </w:p>
    <w:bookmarkEnd w:id="25"/>
    <w:bookmarkStart w:id="27" w:name="ref-wilkinson2016fair"/>
    <w:p>
      <w:pPr>
        <w:pStyle w:val="Bibliography"/>
      </w:pPr>
      <w:r>
        <w:t xml:space="preserve">Wilkinson, Mark D., Michel Dumontier, IJsbrand Jan Aalbersberg, et al.</w:t>
      </w:r>
      <w:r>
        <w:t xml:space="preserve"> 2016.</w:t>
      </w:r>
      <w:r>
        <w:t xml:space="preserve"> </w:t>
      </w:r>
      <w:r>
        <w:t xml:space="preserve">“The FAIR Guiding Principles for Scientific Data Management and Stewardship.”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3: 160018.</w:t>
      </w:r>
      <w:r>
        <w:t xml:space="preserve"> </w:t>
      </w:r>
      <w:hyperlink r:id="rId26">
        <w:r>
          <w:rPr>
            <w:rStyle w:val="Hyperlink"/>
          </w:rPr>
          <w:t xml:space="preserve">https://doi.org/10.1038/sdata.2016.18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doi.org/10.1016/j.enbuild.2006.10.027" TargetMode="External" /><Relationship Type="http://schemas.openxmlformats.org/officeDocument/2006/relationships/hyperlink" Id="rId26" Target="https://doi.org/10.1038/sdata.2016.18" TargetMode="External" /><Relationship Type="http://schemas.openxmlformats.org/officeDocument/2006/relationships/hyperlink" Id="rId22" Target="https://fastapi.tiangolo.com/" TargetMode="External" /><Relationship Type="http://schemas.openxmlformats.org/officeDocument/2006/relationships/hyperlink" Id="rId24" Target="https://nextjs.org/" TargetMode="External" /><Relationship Type="http://schemas.openxmlformats.org/officeDocument/2006/relationships/hyperlink" Id="rId14" Target="https://www.cibse.org/knowledge/knowledge-items/detail?id=a0q0V000008I6mNQAS" TargetMode="External" /><Relationship Type="http://schemas.openxmlformats.org/officeDocument/2006/relationships/hyperlink" Id="rId20" Target="https://www.gov.uk/government/collections/energy-performance-of-buildings-data" TargetMode="External" /><Relationship Type="http://schemas.openxmlformats.org/officeDocument/2006/relationships/hyperlink" Id="rId18" Target="https://www.metoffice.gov.uk/research/climate/maps-and-data/data/haduk-gr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doi.org/10.1016/j.enbuild.2006.10.027" TargetMode="External" /><Relationship Type="http://schemas.openxmlformats.org/officeDocument/2006/relationships/hyperlink" Id="rId26" Target="https://doi.org/10.1038/sdata.2016.18" TargetMode="External" /><Relationship Type="http://schemas.openxmlformats.org/officeDocument/2006/relationships/hyperlink" Id="rId22" Target="https://fastapi.tiangolo.com/" TargetMode="External" /><Relationship Type="http://schemas.openxmlformats.org/officeDocument/2006/relationships/hyperlink" Id="rId24" Target="https://nextjs.org/" TargetMode="External" /><Relationship Type="http://schemas.openxmlformats.org/officeDocument/2006/relationships/hyperlink" Id="rId14" Target="https://www.cibse.org/knowledge/knowledge-items/detail?id=a0q0V000008I6mNQAS" TargetMode="External" /><Relationship Type="http://schemas.openxmlformats.org/officeDocument/2006/relationships/hyperlink" Id="rId20" Target="https://www.gov.uk/government/collections/energy-performance-of-buildings-data" TargetMode="External" /><Relationship Type="http://schemas.openxmlformats.org/officeDocument/2006/relationships/hyperlink" Id="rId18" Target="https://www.metoffice.gov.uk/research/climate/maps-and-data/data/haduk-gri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INQETRA: a research-design studio linking built-environment research questions to authoritative UK open data</dc:title>
  <dc:creator/>
  <cp:keywords/>
  <dcterms:created xsi:type="dcterms:W3CDTF">2026-09-04T22:22:16Z</dcterms:created>
  <dcterms:modified xsi:type="dcterms:W3CDTF">2026-09-04T22:22:16Z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graphy">
    <vt:lpwstr>paper.bib</vt:lpwstr>
  </property>
  <property fmtid="{D5CDD505-2E9C-101B-9397-08002B2CF9AE}" pid="5" name="date">
    <vt:lpwstr>4 September 2026</vt:lpwstr>
  </property>
  <property fmtid="{D5CDD505-2E9C-101B-9397-08002B2CF9AE}" pid="6" name="link-citations">
    <vt:lpwstr>True</vt:lpwstr>
  </property>
  <property fmtid="{D5CDD505-2E9C-101B-9397-08002B2CF9AE}" pid="7" name="tags">
    <vt:lpwstr/>
  </property>
</Properties>
</file>