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OverheatLens: a local-first, validation-first platform for domestic overheating assessment with versioned overheating standards</w:t>
      </w:r>
    </w:p>
    <w:p>
      <w:pPr>
        <w:pStyle w:val="Date"/>
      </w:pPr>
      <w:r>
        <w:t xml:space="preserve">4 September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OverheatLens is an open, local-first research platform for domestic overheating</w:t>
      </w:r>
      <w:r>
        <w:t xml:space="preserve"> </w:t>
      </w:r>
      <w:r>
        <w:t xml:space="preserve">assessment. It chains the full evidence workflow — weather-file quality control,</w:t>
      </w:r>
      <w:r>
        <w:t xml:space="preserve"> </w:t>
      </w:r>
      <w:r>
        <w:t xml:space="preserve">building-model readiness checks, EnergyPlus simulation, versioned overheating</w:t>
      </w:r>
      <w:r>
        <w:t xml:space="preserve"> </w:t>
      </w:r>
      <w:r>
        <w:t xml:space="preserve">standards, thermal-comfort analytics, mitigation experiments and a reproducible</w:t>
      </w:r>
      <w:r>
        <w:t xml:space="preserve"> </w:t>
      </w:r>
      <w:r>
        <w:t xml:space="preserve">evidence archive — behind a single local service with a laboratory-style web</w:t>
      </w:r>
      <w:r>
        <w:t xml:space="preserve"> </w:t>
      </w:r>
      <w:r>
        <w:t xml:space="preserve">interface. Its distinguishing design rule is traceability: every number shown in</w:t>
      </w:r>
      <w:r>
        <w:t xml:space="preserve"> </w:t>
      </w:r>
      <w:r>
        <w:t xml:space="preserve">the interface carries provenance (weather-file hash, model hash, rule-pack</w:t>
      </w:r>
      <w:r>
        <w:t xml:space="preserve"> </w:t>
      </w:r>
      <w:r>
        <w:t xml:space="preserve">version, EnergyPlus version and a run identifier), and every archived run can be</w:t>
      </w:r>
      <w:r>
        <w:t xml:space="preserve"> </w:t>
      </w:r>
      <w:r>
        <w:t xml:space="preserve">replayed or exported as a reproducibility bundle.</w:t>
      </w:r>
    </w:p>
    <w:bookmarkEnd w:id="9"/>
    <w:bookmarkStart w:id="10" w:name="statement-of-need"/>
    <w:p>
      <w:pPr>
        <w:pStyle w:val="Heading1"/>
      </w:pPr>
      <w:r>
        <w:t xml:space="preserve">Statement of need</w:t>
      </w:r>
    </w:p>
    <w:p>
      <w:pPr>
        <w:pStyle w:val="FirstParagraph"/>
      </w:pPr>
      <w:r>
        <w:t xml:space="preserve">Domestic overheating is a growing risk in temperate climates, and the United</w:t>
      </w:r>
      <w:r>
        <w:t xml:space="preserve"> </w:t>
      </w:r>
      <w:r>
        <w:t xml:space="preserve">Kingdom now has two operational assessment methodologies — CIBSE TM59</w:t>
      </w:r>
      <w:r>
        <w:t xml:space="preserve"> </w:t>
      </w:r>
      <w:r>
        <w:t xml:space="preserve">(Chartered Institution of Building Services Engineers (CIBSE) 2017, 2026)</w:t>
      </w:r>
      <w:r>
        <w:t xml:space="preserve"> </w:t>
      </w:r>
      <w:r>
        <w:t xml:space="preserve">and the dynamic route of Approved Document O</w:t>
      </w:r>
      <w:r>
        <w:t xml:space="preserve"> </w:t>
      </w:r>
      <w:r>
        <w:t xml:space="preserve">(Ministry of Housing, Communities and Local Government 2021)</w:t>
      </w:r>
      <w:r>
        <w:t xml:space="preserve"> </w:t>
      </w:r>
      <w:r>
        <w:t xml:space="preserve">—</w:t>
      </w:r>
      <w:r>
        <w:t xml:space="preserve"> </w:t>
      </w:r>
      <w:r>
        <w:t xml:space="preserve">plus the wider TM52 framework</w:t>
      </w:r>
      <w:r>
        <w:t xml:space="preserve"> </w:t>
      </w:r>
      <w:r>
        <w:t xml:space="preserve">(Chartered Institution of Building Services Engineers (CIBSE) 2013)</w:t>
      </w:r>
      <w:r>
        <w:t xml:space="preserve"> </w:t>
      </w:r>
      <w:r>
        <w:t xml:space="preserve">they derive from. In practice</w:t>
      </w:r>
      <w:r>
        <w:t xml:space="preserve"> </w:t>
      </w:r>
      <w:r>
        <w:t xml:space="preserve">these assessments are produced with commercial graphical tools whose criteria</w:t>
      </w:r>
      <w:r>
        <w:t xml:space="preserve"> </w:t>
      </w:r>
      <w:r>
        <w:t xml:space="preserve">implementations are not inspectable, whose standards versions are implicit, and</w:t>
      </w:r>
      <w:r>
        <w:t xml:space="preserve"> </w:t>
      </w:r>
      <w:r>
        <w:t xml:space="preserve">whose outputs are difficult to audit or reproduce. Researchers comparing</w:t>
      </w:r>
      <w:r>
        <w:t xml:space="preserve"> </w:t>
      </w:r>
      <w:r>
        <w:t xml:space="preserve">archetypes, weather years or mitigation strategies therefore struggle to answer</w:t>
      </w:r>
      <w:r>
        <w:t xml:space="preserve"> </w:t>
      </w:r>
      <w:r>
        <w:t xml:space="preserve">a simple question: which definition of the standard produced this number?</w:t>
      </w:r>
    </w:p>
    <w:p>
      <w:pPr>
        <w:pStyle w:val="BodyText"/>
      </w:pPr>
      <w:r>
        <w:t xml:space="preserve">OverheatLens addresses that gap. All criteria are transcribed into versioned</w:t>
      </w:r>
      <w:r>
        <w:t xml:space="preserve"> </w:t>
      </w:r>
      <w:r>
        <w:t xml:space="preserve">rule packs that record the SHA-256 hash of the official PDF they were verified</w:t>
      </w:r>
      <w:r>
        <w:t xml:space="preserve"> </w:t>
      </w:r>
      <w:r>
        <w:t xml:space="preserve">against, and machine-verification evidence documents that each implemented limit</w:t>
      </w:r>
      <w:r>
        <w:t xml:space="preserve"> </w:t>
      </w:r>
      <w:r>
        <w:t xml:space="preserve">appears in that document. The simulation engine is the official EnergyPlus</w:t>
      </w:r>
      <w:r>
        <w:t xml:space="preserve"> </w:t>
      </w:r>
      <w:r>
        <w:t xml:space="preserve">binary</w:t>
      </w:r>
      <w:r>
        <w:t xml:space="preserve"> </w:t>
      </w:r>
      <w:r>
        <w:t xml:space="preserve">(Crawley et al. 2001)</w:t>
      </w:r>
      <w:r>
        <w:t xml:space="preserve">, driven in isolated run directories with an</w:t>
      </w:r>
      <w:r>
        <w:t xml:space="preserve"> </w:t>
      </w:r>
      <w:r>
        <w:t xml:space="preserve">error interpreter and a harvest step that preserves full zone keys (level:room)</w:t>
      </w:r>
      <w:r>
        <w:t xml:space="preserve"> </w:t>
      </w:r>
      <w:r>
        <w:t xml:space="preserve">and hourly resolution. Comfort indices are never reimplemented: PMV/PPD,</w:t>
      </w:r>
      <w:r>
        <w:t xml:space="preserve"> </w:t>
      </w:r>
      <w:r>
        <w:t xml:space="preserve">adaptive comfort and UTCI come from pythermalcomfort</w:t>
      </w:r>
      <w:r>
        <w:t xml:space="preserve"> </w:t>
      </w:r>
      <w:r>
        <w:t xml:space="preserve">(Tartarini and Schiavon 2020)</w:t>
      </w:r>
      <w:r>
        <w:t xml:space="preserve">,</w:t>
      </w:r>
      <w:r>
        <w:t xml:space="preserve"> </w:t>
      </w:r>
      <w:r>
        <w:t xml:space="preserve">which wraps ISO 7730</w:t>
      </w:r>
      <w:r>
        <w:t xml:space="preserve"> </w:t>
      </w:r>
      <w:r>
        <w:t xml:space="preserve">(ISO 7730 — Ergonomics of the Thermal Environment 2025)</w:t>
      </w:r>
      <w:r>
        <w:t xml:space="preserve"> </w:t>
      </w:r>
      <w:r>
        <w:t xml:space="preserve">and EN 16798-1</w:t>
      </w:r>
      <w:r>
        <w:t xml:space="preserve"> </w:t>
      </w:r>
      <w:r>
        <w:t xml:space="preserve">(EN 16798-1 2019)</w:t>
      </w:r>
      <w:r>
        <w:t xml:space="preserve">, with the UTCI</w:t>
      </w:r>
      <w:r>
        <w:t xml:space="preserve"> </w:t>
      </w:r>
      <w:r>
        <w:t xml:space="preserve">operational procedure of Bröde et al.</w:t>
      </w:r>
      <w:r>
        <w:t xml:space="preserve"> </w:t>
      </w:r>
      <w:r>
        <w:t xml:space="preserve">(Bröde et al. 2012)</w:t>
      </w:r>
      <w:r>
        <w:t xml:space="preserve">.</w:t>
      </w:r>
    </w:p>
    <w:p>
      <w:pPr>
        <w:pStyle w:val="BodyText"/>
      </w:pPr>
      <w:r>
        <w:t xml:space="preserve">The platform is built for researchers who need to trust, reproduce and re-use</w:t>
      </w:r>
      <w:r>
        <w:t xml:space="preserve"> </w:t>
      </w:r>
      <w:r>
        <w:t xml:space="preserve">their overheating evidence rather than re-type it from a GUI report.</w:t>
      </w:r>
    </w:p>
    <w:bookmarkEnd w:id="10"/>
    <w:bookmarkStart w:id="11" w:name="key-features"/>
    <w:p>
      <w:pPr>
        <w:pStyle w:val="Heading1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Weather intelligence.</w:t>
      </w:r>
      <w:r>
        <w:t xml:space="preserve"> </w:t>
      </w:r>
      <w:r>
        <w:t xml:space="preserve">Parsing of standard and CIBSE-variant EPW files,</w:t>
      </w:r>
      <w:r>
        <w:t xml:space="preserve"> </w:t>
      </w:r>
      <w:r>
        <w:t xml:space="preserve">a calibrated QC battery (range, sentinel, dew-point physics, discontinuity,</w:t>
      </w:r>
      <w:r>
        <w:t xml:space="preserve"> </w:t>
      </w:r>
      <w:r>
        <w:t xml:space="preserve">stuck-sensor and duplicate checks) with PASS / PASS_WITH_WARNINGS / FAIL</w:t>
      </w:r>
      <w:r>
        <w:t xml:space="preserve"> </w:t>
      </w:r>
      <w:r>
        <w:t xml:space="preserve">classification, headline metrics, and standards-compatibility review (e.g.</w:t>
      </w:r>
      <w:r>
        <w:t xml:space="preserve"> </w:t>
      </w:r>
      <w:r>
        <w:t xml:space="preserve">TM59:2017 and TM59:2026 weather requirements differ, and the app states which</w:t>
      </w:r>
      <w:r>
        <w:t xml:space="preserve"> </w:t>
      </w:r>
      <w:r>
        <w:t xml:space="preserve">files satisfy which).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readiness.</w:t>
      </w:r>
      <w:r>
        <w:t xml:space="preserve"> </w:t>
      </w:r>
      <w:r>
        <w:t xml:space="preserve">Object-level IDF inspection before any simulation: zone</w:t>
      </w:r>
      <w:r>
        <w:t xml:space="preserve"> </w:t>
      </w:r>
      <w:r>
        <w:t xml:space="preserve">inventory, occupant and glazing census, and standards-specific checks with an</w:t>
      </w:r>
      <w:r>
        <w:t xml:space="preserve"> </w:t>
      </w:r>
      <w:r>
        <w:t xml:space="preserve">explicit reason for every finding.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Versioned standards.</w:t>
      </w:r>
      <w:r>
        <w:t xml:space="preserve"> </w:t>
      </w:r>
      <w:r>
        <w:t xml:space="preserve">TM59:2017 (adaptive criterion a with the published</w:t>
      </w:r>
      <w:r>
        <w:t xml:space="preserve"> </w:t>
      </w:r>
      <w:r>
        <w:t xml:space="preserve">occupancy bases, 32-hour sleep-window criterion b), TM59:2026 (criteria a–d</w:t>
      </w:r>
      <w:r>
        <w:t xml:space="preserve"> </w:t>
      </w:r>
      <w:r>
        <w:t xml:space="preserve">with night-based criterion b and a communal 28 °C criterion), Approved</w:t>
      </w:r>
      <w:r>
        <w:t xml:space="preserve"> </w:t>
      </w:r>
      <w:r>
        <w:t xml:space="preserve">Document O dynamic route, and TM52 criteria 1–3 — each evaluated with exact</w:t>
      </w:r>
      <w:r>
        <w:t xml:space="preserve"> </w:t>
      </w:r>
      <w:r>
        <w:t xml:space="preserve">published boundaries and explicit NOT_EVALUATED honesty states rather than</w:t>
      </w:r>
      <w:r>
        <w:t xml:space="preserve"> </w:t>
      </w:r>
      <w:r>
        <w:t xml:space="preserve">invented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Thermal comfort.</w:t>
      </w:r>
      <w:r>
        <w:t xml:space="preserve"> </w:t>
      </w:r>
      <w:r>
        <w:t xml:space="preserve">PMV/PPD, EN 16798-1 adaptive acceptability and UTCI,</w:t>
      </w:r>
      <w:r>
        <w:t xml:space="preserve"> </w:t>
      </w:r>
      <w:r>
        <w:t xml:space="preserve">computed by the wrapped library on the simulated operative temperature, with</w:t>
      </w:r>
      <w:r>
        <w:t xml:space="preserve"> </w:t>
      </w:r>
      <w:r>
        <w:t xml:space="preserve">assumptions recorded in every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 experiments.</w:t>
      </w:r>
      <w:r>
        <w:t xml:space="preserve"> </w:t>
      </w:r>
      <w:r>
        <w:t xml:space="preserve">Real paired EnergyPlus experiments (baseline</w:t>
      </w:r>
      <w:r>
        <w:t xml:space="preserve"> </w:t>
      </w:r>
      <w:r>
        <w:t xml:space="preserve">versus stored strategy variants on a chosen weather file) reporting overheating</w:t>
      </w:r>
      <w:r>
        <w:t xml:space="preserve"> </w:t>
      </w:r>
      <w:r>
        <w:t xml:space="preserve">verdicts, comfort and annual facility energy; cases that cannot be computed</w:t>
      </w:r>
      <w:r>
        <w:t xml:space="preserve"> </w:t>
      </w:r>
      <w:r>
        <w:t xml:space="preserve">are reported as INCOMPLETE, never estimated.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archive.</w:t>
      </w:r>
      <w:r>
        <w:t xml:space="preserve"> </w:t>
      </w:r>
      <w:r>
        <w:t xml:space="preserve">Every run is persisted with manifest, series, criteria</w:t>
      </w:r>
      <w:r>
        <w:t xml:space="preserve"> </w:t>
      </w:r>
      <w:r>
        <w:t xml:space="preserve">tables and provenance; any run can be exported as a reproducibility bundle.</w:t>
      </w:r>
    </w:p>
    <w:bookmarkEnd w:id="11"/>
    <w:bookmarkStart w:id="12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A 16-case scientific validation campaign ships with the repository and runs in</w:t>
      </w:r>
      <w:r>
        <w:t xml:space="preserve"> </w:t>
      </w:r>
      <w:r>
        <w:t xml:space="preserve">about fifteen minutes on a laptop. It covers the rule-pack source chain, real</w:t>
      </w:r>
      <w:r>
        <w:t xml:space="preserve"> </w:t>
      </w:r>
      <w:r>
        <w:t xml:space="preserve">weather-file QC, verdict-flip exactness at published TM59:2017, TM59:2026, TM52</w:t>
      </w:r>
      <w:r>
        <w:t xml:space="preserve"> </w:t>
      </w:r>
      <w:r>
        <w:t xml:space="preserve">and Part O boundaries, PMV/PPD against the published ISO 7730 anchors, UTCI</w:t>
      </w:r>
      <w:r>
        <w:t xml:space="preserve"> </w:t>
      </w:r>
      <w:r>
        <w:t xml:space="preserve">against the Bröde et al. reference conditions, EnergyPlus determinism, facility</w:t>
      </w:r>
      <w:r>
        <w:t xml:space="preserve"> </w:t>
      </w:r>
      <w:r>
        <w:t xml:space="preserve">meter internal consistency, a zone-by-zone cross-check against DesignBuilder</w:t>
      </w:r>
      <w:r>
        <w:t xml:space="preserve"> </w:t>
      </w:r>
      <w:r>
        <w:t xml:space="preserve">results for the same measured dwelling, and three-way equality between the</w:t>
      </w:r>
      <w:r>
        <w:t xml:space="preserve"> </w:t>
      </w:r>
      <w:r>
        <w:t xml:space="preserve">EnergyPlus output file, the on-disk archive and the numbers served to the</w:t>
      </w:r>
      <w:r>
        <w:t xml:space="preserve"> </w:t>
      </w:r>
      <w:r>
        <w:t xml:space="preserve">interface. The campaign reports PASS, FAIL or INCOMPLETE and its results are</w:t>
      </w:r>
      <w:r>
        <w:t xml:space="preserve"> </w:t>
      </w:r>
      <w:r>
        <w:t xml:space="preserve">rendered inside the application’s validation page.</w:t>
      </w:r>
    </w:p>
    <w:bookmarkEnd w:id="12"/>
    <w:bookmarkStart w:id="13" w:name="quality-of-tests-and-ongoing-development"/>
    <w:p>
      <w:pPr>
        <w:pStyle w:val="Heading1"/>
      </w:pPr>
      <w:r>
        <w:t xml:space="preserve">Quality of tests and ongoing development</w:t>
      </w:r>
    </w:p>
    <w:p>
      <w:pPr>
        <w:pStyle w:val="FirstParagraph"/>
      </w:pPr>
      <w:r>
        <w:t xml:space="preserve">The repository carries 147 core, 34 API and 12 interface tests, all runnable</w:t>
      </w:r>
      <w:r>
        <w:t xml:space="preserve"> </w:t>
      </w:r>
      <w:r>
        <w:t xml:space="preserve">locally without cloud services (</w:t>
      </w:r>
      <w:r>
        <w:rPr>
          <w:rStyle w:val="VerbatimChar"/>
        </w:rPr>
        <w:t xml:space="preserve">Run Tests</w:t>
      </w:r>
      <w:r>
        <w:t xml:space="preserve"> </w:t>
      </w:r>
      <w:r>
        <w:t xml:space="preserve">launchers are provided), plus a</w:t>
      </w:r>
      <w:r>
        <w:t xml:space="preserve"> </w:t>
      </w:r>
      <w:r>
        <w:t xml:space="preserve">GitHub Actions workflow for continuous integration. Governance documents</w:t>
      </w:r>
      <w:r>
        <w:t xml:space="preserve"> </w:t>
      </w:r>
      <w:r>
        <w:t xml:space="preserve">(contribution guide, code of conduct, security policy, disclaimer and</w:t>
      </w:r>
      <w:r>
        <w:t xml:space="preserve"> </w:t>
      </w:r>
      <w:r>
        <w:t xml:space="preserve">governance model) are included; the project explicitly labels research-only</w:t>
      </w:r>
      <w:r>
        <w:t xml:space="preserve"> </w:t>
      </w:r>
      <w:r>
        <w:t xml:space="preserve">outputs and refuses to present them as compliance certificates. Development is</w:t>
      </w:r>
      <w:r>
        <w:t xml:space="preserve"> </w:t>
      </w:r>
      <w:r>
        <w:t xml:space="preserve">active, with the validation campaign designed to grow alongside the standards</w:t>
      </w:r>
      <w:r>
        <w:t xml:space="preserve"> </w:t>
      </w:r>
      <w:r>
        <w:t xml:space="preserve">it tracks.</w:t>
      </w:r>
    </w:p>
    <w:bookmarkEnd w:id="13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Start w:id="15" w:name="ref-brode_2012"/>
    <w:p>
      <w:pPr>
        <w:pStyle w:val="Bibliography"/>
      </w:pPr>
      <w:r>
        <w:t xml:space="preserve">Bröde, Peter, Dusan Fiala, Krzysztof Blazejczyk, et al. 2012.</w:t>
      </w:r>
      <w:r>
        <w:t xml:space="preserve"> </w:t>
      </w:r>
      <w:r>
        <w:t xml:space="preserve">“Deriving the Operational Procedure for the Universal Thermal Climate Index (UTCI).”</w:t>
      </w:r>
      <w:r>
        <w:t xml:space="preserve"> </w:t>
      </w:r>
      <w:r>
        <w:rPr>
          <w:i/>
          <w:iCs/>
        </w:rPr>
        <w:t xml:space="preserve">International Journal of Biometeorology</w:t>
      </w:r>
      <w:r>
        <w:t xml:space="preserve"> </w:t>
      </w:r>
      <w:r>
        <w:t xml:space="preserve">56 (3): 481–94.</w:t>
      </w:r>
      <w:r>
        <w:t xml:space="preserve"> </w:t>
      </w:r>
      <w:hyperlink r:id="rId14">
        <w:r>
          <w:rPr>
            <w:rStyle w:val="Hyperlink"/>
          </w:rPr>
          <w:t xml:space="preserve">https://doi.org/10.1007/s00484-011-0454-1</w:t>
        </w:r>
      </w:hyperlink>
      <w:r>
        <w:t xml:space="preserve">.</w:t>
      </w:r>
    </w:p>
    <w:bookmarkEnd w:id="15"/>
    <w:bookmarkStart w:id="16" w:name="ref-cibse_tm52_2013"/>
    <w:p>
      <w:pPr>
        <w:pStyle w:val="Bibliography"/>
      </w:pPr>
      <w:r>
        <w:t xml:space="preserve">Chartered Institution of Building Services Engineers (CIBSE). 2013.</w:t>
      </w:r>
      <w:r>
        <w:t xml:space="preserve"> </w:t>
      </w:r>
      <w:r>
        <w:rPr>
          <w:i/>
          <w:iCs/>
        </w:rPr>
        <w:t xml:space="preserve">TM52: The Limits of Thermal Comfort — Avoiding Overheating in European Buildings</w:t>
      </w:r>
      <w:r>
        <w:t xml:space="preserve">. CIBSE.</w:t>
      </w:r>
    </w:p>
    <w:bookmarkEnd w:id="16"/>
    <w:bookmarkStart w:id="17" w:name="ref-cibse_tm59_2017"/>
    <w:p>
      <w:pPr>
        <w:pStyle w:val="Bibliography"/>
      </w:pPr>
      <w:r>
        <w:t xml:space="preserve">Chartered Institution of Building Services Engineers (CIBSE). 2017.</w:t>
      </w:r>
      <w:r>
        <w:t xml:space="preserve"> </w:t>
      </w:r>
      <w:r>
        <w:rPr>
          <w:i/>
          <w:iCs/>
        </w:rPr>
        <w:t xml:space="preserve">TM59: 2017 — Design Methodology for the Assessment of Overheating Risk in Homes</w:t>
      </w:r>
      <w:r>
        <w:t xml:space="preserve">. CIBSE.</w:t>
      </w:r>
    </w:p>
    <w:bookmarkEnd w:id="17"/>
    <w:bookmarkStart w:id="18" w:name="ref-cibse_tm59_2026"/>
    <w:p>
      <w:pPr>
        <w:pStyle w:val="Bibliography"/>
      </w:pPr>
      <w:r>
        <w:t xml:space="preserve">Chartered Institution of Building Services Engineers (CIBSE). 2026.</w:t>
      </w:r>
      <w:r>
        <w:t xml:space="preserve"> </w:t>
      </w:r>
      <w:r>
        <w:rPr>
          <w:i/>
          <w:iCs/>
        </w:rPr>
        <w:t xml:space="preserve">TM59: 2026 — Design Methodology for the Assessment of Overheating Risk in Homes</w:t>
      </w:r>
      <w:r>
        <w:t xml:space="preserve">. CIBSE.</w:t>
      </w:r>
    </w:p>
    <w:bookmarkEnd w:id="18"/>
    <w:bookmarkStart w:id="20" w:name="ref-energyplus_crawley_2001"/>
    <w:p>
      <w:pPr>
        <w:pStyle w:val="Bibliography"/>
      </w:pPr>
      <w:r>
        <w:t xml:space="preserve">Crawley, Drury B., Linda K. Lawrie, Frederick C. Winkelmann, et al. 2001.</w:t>
      </w:r>
      <w:r>
        <w:t xml:space="preserve"> </w:t>
      </w:r>
      <w:r>
        <w:t xml:space="preserve">“EnergyPlus: Creating a New-Generation Building Energy Simulation Program.”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 </w:t>
      </w:r>
      <w:r>
        <w:t xml:space="preserve">33 (4): 319–31.</w:t>
      </w:r>
      <w:r>
        <w:t xml:space="preserve"> </w:t>
      </w:r>
      <w:hyperlink r:id="rId19">
        <w:r>
          <w:rPr>
            <w:rStyle w:val="Hyperlink"/>
          </w:rPr>
          <w:t xml:space="preserve">https://doi.org/10.1016/S0378-7788(00)00114-6</w:t>
        </w:r>
      </w:hyperlink>
      <w:r>
        <w:t xml:space="preserve">.</w:t>
      </w:r>
    </w:p>
    <w:bookmarkEnd w:id="20"/>
    <w:bookmarkStart w:id="21" w:name="ref-en_16798_1"/>
    <w:p>
      <w:pPr>
        <w:pStyle w:val="Bibliography"/>
      </w:pPr>
      <w:r>
        <w:t xml:space="preserve">EN 16798-1:2019 — Energy Performance of Buildings. Ventilation for Buildings. Part 1: Indoor Environmental Input Parameters for Design and Assessment of Energy Performance of Buildings Addressing Indoor Air Quality, Thermal Environment, Lighting and Acoustics (2019).</w:t>
      </w:r>
    </w:p>
    <w:bookmarkEnd w:id="21"/>
    <w:bookmarkStart w:id="22" w:name="ref-iso_7730"/>
    <w:p>
      <w:pPr>
        <w:pStyle w:val="Bibliography"/>
      </w:pPr>
      <w:r>
        <w:t xml:space="preserve">ISO 7730 — Ergonomics of the Thermal Environment: Analytical Determination and Interpretation of Thermal Comfort Using Calculation of the PMV and PPD Indices and Local Thermal Comfort Criteria (2025).</w:t>
      </w:r>
    </w:p>
    <w:bookmarkEnd w:id="22"/>
    <w:bookmarkStart w:id="23" w:name="ref-ado_2021"/>
    <w:p>
      <w:pPr>
        <w:pStyle w:val="Bibliography"/>
      </w:pPr>
      <w:r>
        <w:t xml:space="preserve">Ministry of Housing, Communities and Local Government. 2021.</w:t>
      </w:r>
      <w:r>
        <w:t xml:space="preserve"> </w:t>
      </w:r>
      <w:r>
        <w:rPr>
          <w:i/>
          <w:iCs/>
        </w:rPr>
        <w:t xml:space="preserve">The Building Regulations 2010 — Approved Document o: Overheating</w:t>
      </w:r>
      <w:r>
        <w:t xml:space="preserve">. HM Government.</w:t>
      </w:r>
    </w:p>
    <w:bookmarkEnd w:id="23"/>
    <w:bookmarkStart w:id="25" w:name="ref-pythermalcomfort_2020"/>
    <w:p>
      <w:pPr>
        <w:pStyle w:val="Bibliography"/>
      </w:pPr>
      <w:r>
        <w:t xml:space="preserve">Tartarini, Federico, and Stefano Schiavon. 2020.</w:t>
      </w:r>
      <w:r>
        <w:t xml:space="preserve"> </w:t>
      </w:r>
      <w:r>
        <w:t xml:space="preserve">“Pythermalcomfort: A Python Package for Thermal Comfort Research.”</w:t>
      </w:r>
      <w:r>
        <w:t xml:space="preserve"> </w:t>
      </w:r>
      <w:r>
        <w:rPr>
          <w:i/>
          <w:iCs/>
        </w:rPr>
        <w:t xml:space="preserve">SoftwareX</w:t>
      </w:r>
      <w:r>
        <w:t xml:space="preserve"> </w:t>
      </w:r>
      <w:r>
        <w:t xml:space="preserve">12: 100578.</w:t>
      </w:r>
      <w:r>
        <w:t xml:space="preserve"> </w:t>
      </w:r>
      <w:hyperlink r:id="rId24">
        <w:r>
          <w:rPr>
            <w:rStyle w:val="Hyperlink"/>
          </w:rPr>
          <w:t xml:space="preserve">https://doi.org/10.1016/j.softx.2020.100578</w:t>
        </w:r>
      </w:hyperlink>
      <w:r>
        <w:t xml:space="preserve">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oi.org/10.1007/s00484-011-0454-1" TargetMode="External" /><Relationship Type="http://schemas.openxmlformats.org/officeDocument/2006/relationships/hyperlink" Id="rId19" Target="https://doi.org/10.1016/S0378-7788(00)00114-6" TargetMode="External" /><Relationship Type="http://schemas.openxmlformats.org/officeDocument/2006/relationships/hyperlink" Id="rId24" Target="https://doi.org/10.1016/j.softx.2020.1005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i.org/10.1007/s00484-011-0454-1" TargetMode="External" /><Relationship Type="http://schemas.openxmlformats.org/officeDocument/2006/relationships/hyperlink" Id="rId19" Target="https://doi.org/10.1016/S0378-7788(00)00114-6" TargetMode="External" /><Relationship Type="http://schemas.openxmlformats.org/officeDocument/2006/relationships/hyperlink" Id="rId24" Target="https://doi.org/10.1016/j.softx.2020.1005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OverheatLens: a local-first, validation-first platform for domestic overheating assessment with versioned overheating standards</dc:title>
  <dc:creator/>
  <cp:keywords/>
  <dcterms:created xsi:type="dcterms:W3CDTF">2026-09-04T22:20:50Z</dcterms:created>
  <dcterms:modified xsi:type="dcterms:W3CDTF">2026-09-04T22:20:50Z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paper.bib</vt:lpwstr>
  </property>
  <property fmtid="{D5CDD505-2E9C-101B-9397-08002B2CF9AE}" pid="5" name="date">
    <vt:lpwstr>4 September 2026</vt:lpwstr>
  </property>
  <property fmtid="{D5CDD505-2E9C-101B-9397-08002B2CF9AE}" pid="6" name="tags">
    <vt:lpwstr/>
  </property>
</Properties>
</file>