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36"/>
          <w:szCs w:val="36"/>
        </w:rPr>
        <w:t xml:space="preserve">Retail Sales Performance Analysis</w:t>
      </w:r>
    </w:p>
    <w:p>
      <w:pPr>
        <w:spacing w:after="260"/>
        <w:jc w:val="center"/>
      </w:pPr>
      <w:r>
        <w:rPr>
          <w:i/>
          <w:iCs/>
          <w:color w:val="595959"/>
          <w:sz w:val="20"/>
          <w:szCs w:val="20"/>
        </w:rPr>
        <w:t xml:space="preserve">Project Brief &amp; Summary — Walmart Store Sales Dataset (45 Stores, 2010–2012)</w:t>
      </w:r>
    </w:p>
    <w:p>
      <w:pPr>
        <w:pStyle w:val="Heading1"/>
        <w:pBdr>
          <w:bottom w:val="single" w:color="1F3864" w:sz="6" w:space="4"/>
        </w:pBdr>
        <w:spacing w:after="120" w:before="260"/>
      </w:pPr>
      <w:r>
        <w:rPr>
          <w:b/>
          <w:bCs/>
          <w:color w:val="1F3864"/>
          <w:sz w:val="26"/>
          <w:szCs w:val="26"/>
        </w:rPr>
        <w:t xml:space="preserve">1. Project Objective</w:t>
      </w:r>
    </w:p>
    <w:p>
      <w:pPr>
        <w:spacing w:after="100"/>
      </w:pPr>
      <w:r>
        <w:rPr>
          <w:sz w:val="20"/>
          <w:szCs w:val="20"/>
        </w:rPr>
        <w:t xml:space="preserve">Analyze three years of historical weekly sales data to identify performance gaps between store types, quantify the impact of holiday periods on sales, and assess whether external economic factors (unemployment rate, fuel price) influence sales performance — producing an interactive dashboard and data-backed recommendations for leadership.</w:t>
      </w:r>
    </w:p>
    <w:p>
      <w:pPr>
        <w:pStyle w:val="Heading1"/>
        <w:pBdr>
          <w:bottom w:val="single" w:color="1F3864" w:sz="6" w:space="4"/>
        </w:pBdr>
        <w:spacing w:after="120" w:before="260"/>
      </w:pPr>
      <w:r>
        <w:rPr>
          <w:b/>
          <w:bCs/>
          <w:color w:val="1F3864"/>
          <w:sz w:val="26"/>
          <w:szCs w:val="26"/>
        </w:rPr>
        <w:t xml:space="preserve">2. Scope vs. Delivery</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800"/>
        <w:gridCol w:w="5000"/>
      </w:tblGrid>
      <w:tr>
        <w:tc>
          <w:tcPr>
            <w:tcW w:type="dxa" w:w="5800"/>
            <w:tcBorders>
              <w:top w:val="single" w:color="BFBFBF" w:sz="2"/>
              <w:left w:val="single" w:color="BFBFBF" w:sz="2"/>
              <w:bottom w:val="single" w:color="BFBFBF" w:sz="2"/>
              <w:right w:val="single" w:color="BFBFBF" w:sz="2"/>
            </w:tcBorders>
            <w:shd w:fill="1F3864" w:val="clear"/>
            <w:tcMar>
              <w:top w:type="dxa" w:w="80"/>
              <w:left w:type="dxa" w:w="100"/>
              <w:bottom w:type="dxa" w:w="80"/>
              <w:right w:type="dxa" w:w="100"/>
            </w:tcMar>
          </w:tcPr>
          <w:p>
            <w:r>
              <w:rPr>
                <w:b/>
                <w:bCs/>
                <w:color w:val="FFFFFF"/>
                <w:sz w:val="18"/>
                <w:szCs w:val="18"/>
              </w:rPr>
              <w:t xml:space="preserve">Required (Task Brief)</w:t>
            </w:r>
          </w:p>
        </w:tc>
        <w:tc>
          <w:tcPr>
            <w:tcW w:type="dxa" w:w="5000"/>
            <w:tcBorders>
              <w:top w:val="single" w:color="BFBFBF" w:sz="2"/>
              <w:left w:val="single" w:color="BFBFBF" w:sz="2"/>
              <w:bottom w:val="single" w:color="BFBFBF" w:sz="2"/>
              <w:right w:val="single" w:color="BFBFBF" w:sz="2"/>
            </w:tcBorders>
            <w:shd w:fill="1F3864" w:val="clear"/>
            <w:tcMar>
              <w:top w:type="dxa" w:w="80"/>
              <w:left w:type="dxa" w:w="100"/>
              <w:bottom w:type="dxa" w:w="80"/>
              <w:right w:type="dxa" w:w="100"/>
            </w:tcMar>
          </w:tcPr>
          <w:p>
            <w:r>
              <w:rPr>
                <w:b/>
                <w:bCs/>
                <w:color w:val="FFFFFF"/>
                <w:sz w:val="18"/>
                <w:szCs w:val="18"/>
              </w:rPr>
              <w:t xml:space="preserve">Delivered</w:t>
            </w:r>
          </w:p>
        </w:tc>
      </w:tr>
      <w:tr>
        <w:tc>
          <w:tcPr>
            <w:tcW w:type="dxa" w:w="5800"/>
            <w:tcBorders>
              <w:top w:val="single" w:color="BFBFBF" w:sz="2"/>
              <w:left w:val="single" w:color="BFBFBF" w:sz="2"/>
              <w:bottom w:val="single" w:color="BFBFBF" w:sz="2"/>
              <w:right w:val="single" w:color="BFBFBF" w:sz="2"/>
            </w:tcBorders>
            <w:shd w:fill="F2F5FA" w:val="clear"/>
            <w:tcMar>
              <w:top w:type="dxa" w:w="70"/>
              <w:left w:type="dxa" w:w="100"/>
              <w:bottom w:type="dxa" w:w="70"/>
              <w:right w:type="dxa" w:w="100"/>
            </w:tcMar>
          </w:tcPr>
          <w:p>
            <w:r>
              <w:rPr>
                <w:sz w:val="18"/>
                <w:szCs w:val="18"/>
              </w:rPr>
              <w:t xml:space="preserve">Data preparation &amp; cleaning (Excel)</w:t>
            </w:r>
          </w:p>
        </w:tc>
        <w:tc>
          <w:tcPr>
            <w:tcW w:type="dxa" w:w="5000"/>
            <w:tcBorders>
              <w:top w:val="single" w:color="BFBFBF" w:sz="2"/>
              <w:left w:val="single" w:color="BFBFBF" w:sz="2"/>
              <w:bottom w:val="single" w:color="BFBFBF" w:sz="2"/>
              <w:right w:val="single" w:color="BFBFBF" w:sz="2"/>
            </w:tcBorders>
            <w:shd w:fill="F2F5FA" w:val="clear"/>
            <w:tcMar>
              <w:top w:type="dxa" w:w="70"/>
              <w:left w:type="dxa" w:w="100"/>
              <w:bottom w:type="dxa" w:w="70"/>
              <w:right w:type="dxa" w:w="100"/>
            </w:tcMar>
          </w:tcPr>
          <w:p>
            <w:r>
              <w:rPr>
                <w:sz w:val="18"/>
                <w:szCs w:val="18"/>
              </w:rPr>
              <w:t xml:space="preserve">Done — consolidation and initial cleaning performed in Excel</w:t>
            </w:r>
          </w:p>
        </w:tc>
      </w:tr>
      <w:tr>
        <w:tc>
          <w:tcPr>
            <w:tcW w:type="dxa" w:w="58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r>
              <w:rPr>
                <w:sz w:val="18"/>
                <w:szCs w:val="18"/>
              </w:rPr>
              <w:t xml:space="preserve">Relational data structuring</w:t>
            </w:r>
          </w:p>
        </w:tc>
        <w:tc>
          <w:tcPr>
            <w:tcW w:type="dxa" w:w="50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r>
              <w:rPr>
                <w:sz w:val="18"/>
                <w:szCs w:val="18"/>
              </w:rPr>
              <w:t xml:space="preserve">Done — normalized into a Fact table (Walmart_Sales) + Dimension table (Dim_Store) in SQL Server</w:t>
            </w:r>
          </w:p>
        </w:tc>
      </w:tr>
      <w:tr>
        <w:tc>
          <w:tcPr>
            <w:tcW w:type="dxa" w:w="5800"/>
            <w:tcBorders>
              <w:top w:val="single" w:color="BFBFBF" w:sz="2"/>
              <w:left w:val="single" w:color="BFBFBF" w:sz="2"/>
              <w:bottom w:val="single" w:color="BFBFBF" w:sz="2"/>
              <w:right w:val="single" w:color="BFBFBF" w:sz="2"/>
            </w:tcBorders>
            <w:shd w:fill="F2F5FA" w:val="clear"/>
            <w:tcMar>
              <w:top w:type="dxa" w:w="70"/>
              <w:left w:type="dxa" w:w="100"/>
              <w:bottom w:type="dxa" w:w="70"/>
              <w:right w:type="dxa" w:w="100"/>
            </w:tcMar>
          </w:tcPr>
          <w:p>
            <w:r>
              <w:rPr>
                <w:sz w:val="18"/>
                <w:szCs w:val="18"/>
              </w:rPr>
              <w:t xml:space="preserve">Compare store types (A/B/C)</w:t>
            </w:r>
          </w:p>
        </w:tc>
        <w:tc>
          <w:tcPr>
            <w:tcW w:type="dxa" w:w="5000"/>
            <w:tcBorders>
              <w:top w:val="single" w:color="BFBFBF" w:sz="2"/>
              <w:left w:val="single" w:color="BFBFBF" w:sz="2"/>
              <w:bottom w:val="single" w:color="BFBFBF" w:sz="2"/>
              <w:right w:val="single" w:color="BFBFBF" w:sz="2"/>
            </w:tcBorders>
            <w:shd w:fill="F2F5FA" w:val="clear"/>
            <w:tcMar>
              <w:top w:type="dxa" w:w="70"/>
              <w:left w:type="dxa" w:w="100"/>
              <w:bottom w:type="dxa" w:w="70"/>
              <w:right w:type="dxa" w:w="100"/>
            </w:tcMar>
          </w:tcPr>
          <w:p>
            <w:r>
              <w:rPr>
                <w:sz w:val="18"/>
                <w:szCs w:val="18"/>
              </w:rPr>
              <w:t xml:space="preserve">Done — total &amp; average sales by type, via SQL</w:t>
            </w:r>
          </w:p>
        </w:tc>
      </w:tr>
      <w:tr>
        <w:tc>
          <w:tcPr>
            <w:tcW w:type="dxa" w:w="58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r>
              <w:rPr>
                <w:sz w:val="18"/>
                <w:szCs w:val="18"/>
              </w:rPr>
              <w:t xml:space="preserve">Quantify holiday-week sales lift</w:t>
            </w:r>
          </w:p>
        </w:tc>
        <w:tc>
          <w:tcPr>
            <w:tcW w:type="dxa" w:w="50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r>
              <w:rPr>
                <w:sz w:val="18"/>
                <w:szCs w:val="18"/>
              </w:rPr>
              <w:t xml:space="preserve">Done — holiday vs. non-holiday average comparison</w:t>
            </w:r>
          </w:p>
        </w:tc>
      </w:tr>
      <w:tr>
        <w:tc>
          <w:tcPr>
            <w:tcW w:type="dxa" w:w="5800"/>
            <w:tcBorders>
              <w:top w:val="single" w:color="BFBFBF" w:sz="2"/>
              <w:left w:val="single" w:color="BFBFBF" w:sz="2"/>
              <w:bottom w:val="single" w:color="BFBFBF" w:sz="2"/>
              <w:right w:val="single" w:color="BFBFBF" w:sz="2"/>
            </w:tcBorders>
            <w:shd w:fill="F2F5FA" w:val="clear"/>
            <w:tcMar>
              <w:top w:type="dxa" w:w="70"/>
              <w:left w:type="dxa" w:w="100"/>
              <w:bottom w:type="dxa" w:w="70"/>
              <w:right w:type="dxa" w:w="100"/>
            </w:tcMar>
          </w:tcPr>
          <w:p>
            <w:r>
              <w:rPr>
                <w:sz w:val="18"/>
                <w:szCs w:val="18"/>
              </w:rPr>
              <w:t xml:space="preserve">Assess economic factor correlation</w:t>
            </w:r>
          </w:p>
        </w:tc>
        <w:tc>
          <w:tcPr>
            <w:tcW w:type="dxa" w:w="5000"/>
            <w:tcBorders>
              <w:top w:val="single" w:color="BFBFBF" w:sz="2"/>
              <w:left w:val="single" w:color="BFBFBF" w:sz="2"/>
              <w:bottom w:val="single" w:color="BFBFBF" w:sz="2"/>
              <w:right w:val="single" w:color="BFBFBF" w:sz="2"/>
            </w:tcBorders>
            <w:shd w:fill="F2F5FA" w:val="clear"/>
            <w:tcMar>
              <w:top w:type="dxa" w:w="70"/>
              <w:left w:type="dxa" w:w="100"/>
              <w:bottom w:type="dxa" w:w="70"/>
              <w:right w:type="dxa" w:w="100"/>
            </w:tcMar>
          </w:tcPr>
          <w:p>
            <w:r>
              <w:rPr>
                <w:sz w:val="18"/>
                <w:szCs w:val="18"/>
              </w:rPr>
              <w:t xml:space="preserve">Done — Pearson correlation (unemployment, fuel price) computed in SQL and visualized as a scatter chart</w:t>
            </w:r>
          </w:p>
        </w:tc>
      </w:tr>
      <w:tr>
        <w:tc>
          <w:tcPr>
            <w:tcW w:type="dxa" w:w="58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r>
              <w:rPr>
                <w:sz w:val="18"/>
                <w:szCs w:val="18"/>
              </w:rPr>
              <w:t xml:space="preserve">Rank stores / identify outliers</w:t>
            </w:r>
          </w:p>
        </w:tc>
        <w:tc>
          <w:tcPr>
            <w:tcW w:type="dxa" w:w="50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r>
              <w:rPr>
                <w:sz w:val="18"/>
                <w:szCs w:val="18"/>
              </w:rPr>
              <w:t xml:space="preserve">Done — statistical outlier flag (&gt;1 SD below chain average)</w:t>
            </w:r>
          </w:p>
        </w:tc>
      </w:tr>
      <w:tr>
        <w:tc>
          <w:tcPr>
            <w:tcW w:type="dxa" w:w="5800"/>
            <w:tcBorders>
              <w:top w:val="single" w:color="BFBFBF" w:sz="2"/>
              <w:left w:val="single" w:color="BFBFBF" w:sz="2"/>
              <w:bottom w:val="single" w:color="BFBFBF" w:sz="2"/>
              <w:right w:val="single" w:color="BFBFBF" w:sz="2"/>
            </w:tcBorders>
            <w:shd w:fill="F2F5FA" w:val="clear"/>
            <w:tcMar>
              <w:top w:type="dxa" w:w="70"/>
              <w:left w:type="dxa" w:w="100"/>
              <w:bottom w:type="dxa" w:w="70"/>
              <w:right w:type="dxa" w:w="100"/>
            </w:tcMar>
          </w:tcPr>
          <w:p>
            <w:r>
              <w:rPr>
                <w:sz w:val="18"/>
                <w:szCs w:val="18"/>
              </w:rPr>
              <w:t xml:space="preserve">Data validation (holiday flags)</w:t>
            </w:r>
          </w:p>
        </w:tc>
        <w:tc>
          <w:tcPr>
            <w:tcW w:type="dxa" w:w="5000"/>
            <w:tcBorders>
              <w:top w:val="single" w:color="BFBFBF" w:sz="2"/>
              <w:left w:val="single" w:color="BFBFBF" w:sz="2"/>
              <w:bottom w:val="single" w:color="BFBFBF" w:sz="2"/>
              <w:right w:val="single" w:color="BFBFBF" w:sz="2"/>
            </w:tcBorders>
            <w:shd w:fill="F2F5FA" w:val="clear"/>
            <w:tcMar>
              <w:top w:type="dxa" w:w="70"/>
              <w:left w:type="dxa" w:w="100"/>
              <w:bottom w:type="dxa" w:w="70"/>
              <w:right w:type="dxa" w:w="100"/>
            </w:tcMar>
          </w:tcPr>
          <w:p>
            <w:r>
              <w:rPr>
                <w:sz w:val="18"/>
                <w:szCs w:val="18"/>
              </w:rPr>
              <w:t xml:space="preserve">Done — flagged dates cross-checked against known holiday weeks</w:t>
            </w:r>
          </w:p>
        </w:tc>
      </w:tr>
      <w:tr>
        <w:tc>
          <w:tcPr>
            <w:tcW w:type="dxa" w:w="58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r>
              <w:rPr>
                <w:sz w:val="18"/>
                <w:szCs w:val="18"/>
              </w:rPr>
              <w:t xml:space="preserve">Interactive Power BI dashboard</w:t>
            </w:r>
          </w:p>
        </w:tc>
        <w:tc>
          <w:tcPr>
            <w:tcW w:type="dxa" w:w="50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r>
              <w:rPr>
                <w:sz w:val="18"/>
                <w:szCs w:val="18"/>
              </w:rPr>
              <w:t xml:space="preserve">Done — 3 pages: Overview, Time Trend, Store Performance, with slicers</w:t>
            </w:r>
          </w:p>
        </w:tc>
      </w:tr>
      <w:tr>
        <w:tc>
          <w:tcPr>
            <w:tcW w:type="dxa" w:w="5800"/>
            <w:tcBorders>
              <w:top w:val="single" w:color="BFBFBF" w:sz="2"/>
              <w:left w:val="single" w:color="BFBFBF" w:sz="2"/>
              <w:bottom w:val="single" w:color="BFBFBF" w:sz="2"/>
              <w:right w:val="single" w:color="BFBFBF" w:sz="2"/>
            </w:tcBorders>
            <w:shd w:fill="F2F5FA" w:val="clear"/>
            <w:tcMar>
              <w:top w:type="dxa" w:w="70"/>
              <w:left w:type="dxa" w:w="100"/>
              <w:bottom w:type="dxa" w:w="70"/>
              <w:right w:type="dxa" w:w="100"/>
            </w:tcMar>
          </w:tcPr>
          <w:p>
            <w:r>
              <w:rPr>
                <w:sz w:val="18"/>
                <w:szCs w:val="18"/>
              </w:rPr>
              <w:t xml:space="preserve">One-page insight report</w:t>
            </w:r>
          </w:p>
        </w:tc>
        <w:tc>
          <w:tcPr>
            <w:tcW w:type="dxa" w:w="5000"/>
            <w:tcBorders>
              <w:top w:val="single" w:color="BFBFBF" w:sz="2"/>
              <w:left w:val="single" w:color="BFBFBF" w:sz="2"/>
              <w:bottom w:val="single" w:color="BFBFBF" w:sz="2"/>
              <w:right w:val="single" w:color="BFBFBF" w:sz="2"/>
            </w:tcBorders>
            <w:shd w:fill="F2F5FA" w:val="clear"/>
            <w:tcMar>
              <w:top w:type="dxa" w:w="70"/>
              <w:left w:type="dxa" w:w="100"/>
              <w:bottom w:type="dxa" w:w="70"/>
              <w:right w:type="dxa" w:w="100"/>
            </w:tcMar>
          </w:tcPr>
          <w:p>
            <w:r>
              <w:rPr>
                <w:sz w:val="18"/>
                <w:szCs w:val="18"/>
              </w:rPr>
              <w:t xml:space="preserve">Done — separate Word document with 3 recommendations</w:t>
            </w:r>
          </w:p>
        </w:tc>
      </w:tr>
      <w:tr>
        <w:tc>
          <w:tcPr>
            <w:tcW w:type="dxa" w:w="58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r>
              <w:rPr>
                <w:sz w:val="18"/>
                <w:szCs w:val="18"/>
              </w:rPr>
              <w:t xml:space="preserve">SQL scripts + dataset hosted on GitHub</w:t>
            </w:r>
          </w:p>
        </w:tc>
        <w:tc>
          <w:tcPr>
            <w:tcW w:type="dxa" w:w="50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r>
              <w:rPr>
                <w:sz w:val="18"/>
                <w:szCs w:val="18"/>
              </w:rPr>
              <w:t xml:space="preserve">Done — documented, commented, and published</w:t>
            </w:r>
          </w:p>
        </w:tc>
      </w:tr>
    </w:tbl>
    <w:p>
      <w:pPr>
        <w:pStyle w:val="Heading1"/>
        <w:pBdr>
          <w:bottom w:val="single" w:color="1F3864" w:sz="6" w:space="4"/>
        </w:pBdr>
        <w:spacing w:after="120" w:before="260"/>
      </w:pPr>
      <w:r>
        <w:rPr>
          <w:b/>
          <w:bCs/>
          <w:color w:val="1F3864"/>
          <w:sz w:val="26"/>
          <w:szCs w:val="26"/>
        </w:rPr>
        <w:t xml:space="preserve">3. Technical Approach</w:t>
      </w:r>
    </w:p>
    <w:p>
      <w:pPr>
        <w:spacing w:after="80" w:before="160"/>
      </w:pPr>
      <w:r>
        <w:rPr>
          <w:b/>
          <w:bCs/>
          <w:color w:val="2E5597"/>
          <w:sz w:val="21"/>
          <w:szCs w:val="21"/>
        </w:rPr>
        <w:t xml:space="preserve">3.1 Data Preparation</w:t>
      </w:r>
    </w:p>
    <w:p>
      <w:pPr>
        <w:pStyle w:val="ListParagraph"/>
        <w:numPr>
          <w:ilvl w:val="0"/>
          <w:numId w:val="2"/>
        </w:numPr>
        <w:spacing w:after="60"/>
      </w:pPr>
      <w:r>
        <w:rPr>
          <w:b w:val="false"/>
          <w:bCs w:val="false"/>
          <w:sz w:val="20"/>
          <w:szCs w:val="20"/>
        </w:rPr>
        <w:t xml:space="preserve">Initial cleaning and consolidation of sales, store, and economic feature data performed in Excel.</w:t>
      </w:r>
    </w:p>
    <w:p>
      <w:pPr>
        <w:pStyle w:val="ListParagraph"/>
        <w:numPr>
          <w:ilvl w:val="0"/>
          <w:numId w:val="2"/>
        </w:numPr>
        <w:spacing w:after="60"/>
      </w:pPr>
      <w:r>
        <w:rPr>
          <w:b w:val="false"/>
          <w:bCs w:val="false"/>
          <w:sz w:val="20"/>
          <w:szCs w:val="20"/>
        </w:rPr>
        <w:t xml:space="preserve">Raw data imported into a SQL Server staging table (all-text columns) to avoid load failures on dirty values.</w:t>
      </w:r>
    </w:p>
    <w:p>
      <w:pPr>
        <w:spacing w:after="80" w:before="160"/>
      </w:pPr>
      <w:r>
        <w:rPr>
          <w:b/>
          <w:bCs/>
          <w:color w:val="2E5597"/>
          <w:sz w:val="21"/>
          <w:szCs w:val="21"/>
        </w:rPr>
        <w:t xml:space="preserve">3.2 Data Modeling (SQL Server)</w:t>
      </w:r>
    </w:p>
    <w:p>
      <w:pPr>
        <w:pStyle w:val="ListParagraph"/>
        <w:numPr>
          <w:ilvl w:val="0"/>
          <w:numId w:val="2"/>
        </w:numPr>
        <w:spacing w:after="60"/>
      </w:pPr>
      <w:r>
        <w:rPr>
          <w:b w:val="false"/>
          <w:bCs w:val="false"/>
          <w:sz w:val="20"/>
          <w:szCs w:val="20"/>
        </w:rPr>
        <w:t xml:space="preserve">Built a simple star schema: Dim_Store (Store, StoreType, StoreSize) joined to the Walmart_Sales fact table via foreign key.</w:t>
      </w:r>
    </w:p>
    <w:p>
      <w:pPr>
        <w:pStyle w:val="ListParagraph"/>
        <w:numPr>
          <w:ilvl w:val="0"/>
          <w:numId w:val="2"/>
        </w:numPr>
        <w:spacing w:after="60"/>
      </w:pPr>
      <w:r>
        <w:rPr>
          <w:b w:val="false"/>
          <w:bCs w:val="false"/>
          <w:sz w:val="20"/>
          <w:szCs w:val="20"/>
        </w:rPr>
        <w:t xml:space="preserve">All type conversions use TRY_CAST/TRY_CONVERT, with a WHERE filter dropping any row where a core column failed to convert — so bad rows are excluded, not silently corrupted.</w:t>
      </w:r>
    </w:p>
    <w:p>
      <w:pPr>
        <w:pStyle w:val="ListParagraph"/>
        <w:numPr>
          <w:ilvl w:val="0"/>
          <w:numId w:val="2"/>
        </w:numPr>
        <w:spacing w:after="60"/>
      </w:pPr>
      <w:r>
        <w:rPr>
          <w:b w:val="false"/>
          <w:bCs w:val="false"/>
          <w:sz w:val="20"/>
          <w:szCs w:val="20"/>
        </w:rPr>
        <w:t xml:space="preserve">Post-load validation queries confirm zero NULLs in core columns and cross-check IsHoliday flags against known holiday-week dates.</w:t>
      </w:r>
    </w:p>
    <w:p>
      <w:pPr>
        <w:spacing w:after="80" w:before="160"/>
      </w:pPr>
      <w:r>
        <w:rPr>
          <w:b/>
          <w:bCs/>
          <w:color w:val="2E5597"/>
          <w:sz w:val="21"/>
          <w:szCs w:val="21"/>
        </w:rPr>
        <w:t xml:space="preserve">3.3 Analysis (SQL)</w:t>
      </w:r>
    </w:p>
    <w:p>
      <w:pPr>
        <w:pStyle w:val="ListParagraph"/>
        <w:numPr>
          <w:ilvl w:val="0"/>
          <w:numId w:val="2"/>
        </w:numPr>
        <w:spacing w:after="60"/>
      </w:pPr>
      <w:r>
        <w:rPr>
          <w:b w:val="false"/>
          <w:bCs w:val="false"/>
          <w:sz w:val="20"/>
          <w:szCs w:val="20"/>
        </w:rPr>
        <w:t xml:space="preserve">Store type comparison: total and average weekly sales, grouped by type.</w:t>
      </w:r>
    </w:p>
    <w:p>
      <w:pPr>
        <w:pStyle w:val="ListParagraph"/>
        <w:numPr>
          <w:ilvl w:val="0"/>
          <w:numId w:val="2"/>
        </w:numPr>
        <w:spacing w:after="60"/>
      </w:pPr>
      <w:r>
        <w:rPr>
          <w:b w:val="false"/>
          <w:bCs w:val="false"/>
          <w:sz w:val="20"/>
          <w:szCs w:val="20"/>
        </w:rPr>
        <w:t xml:space="preserve">Holiday lift: average sales on holiday vs. non-holiday weeks, expressed as a percentage.</w:t>
      </w:r>
    </w:p>
    <w:p>
      <w:pPr>
        <w:pStyle w:val="ListParagraph"/>
        <w:numPr>
          <w:ilvl w:val="0"/>
          <w:numId w:val="2"/>
        </w:numPr>
        <w:spacing w:after="60"/>
      </w:pPr>
      <w:r>
        <w:rPr>
          <w:b w:val="false"/>
          <w:bCs w:val="false"/>
          <w:sz w:val="20"/>
          <w:szCs w:val="20"/>
        </w:rPr>
        <w:t xml:space="preserve">Correlation: Pearson correlation coefficient computed manually (SQL Server has no built-in CORR function) between weekly sales and both unemployment rate and fuel price.</w:t>
      </w:r>
    </w:p>
    <w:p>
      <w:pPr>
        <w:pStyle w:val="ListParagraph"/>
        <w:numPr>
          <w:ilvl w:val="0"/>
          <w:numId w:val="2"/>
        </w:numPr>
        <w:spacing w:after="60"/>
      </w:pPr>
      <w:r>
        <w:rPr>
          <w:b w:val="false"/>
          <w:bCs w:val="false"/>
          <w:sz w:val="20"/>
          <w:szCs w:val="20"/>
        </w:rPr>
        <w:t xml:space="preserve">Store ranking: RANK() window function plus a statistical outlier flag (mean − 1 standard deviation) to identify underperforming stores.</w:t>
      </w:r>
    </w:p>
    <w:p>
      <w:pPr>
        <w:spacing w:after="80" w:before="160"/>
      </w:pPr>
      <w:r>
        <w:rPr>
          <w:b/>
          <w:bCs/>
          <w:color w:val="2E5597"/>
          <w:sz w:val="21"/>
          <w:szCs w:val="21"/>
        </w:rPr>
        <w:t xml:space="preserve">3.4 Reporting (Power BI)</w:t>
      </w:r>
    </w:p>
    <w:p>
      <w:pPr>
        <w:pStyle w:val="ListParagraph"/>
        <w:numPr>
          <w:ilvl w:val="0"/>
          <w:numId w:val="2"/>
        </w:numPr>
        <w:spacing w:after="60"/>
      </w:pPr>
      <w:r>
        <w:rPr>
          <w:b w:val="false"/>
          <w:bCs w:val="false"/>
          <w:sz w:val="20"/>
          <w:szCs w:val="20"/>
        </w:rPr>
        <w:t xml:space="preserve">Overview page: KPI cards (Total Sales, Avg Weekly Sales, Holiday Lift %, Sales per Store), store-type bar and donut charts.</w:t>
      </w:r>
    </w:p>
    <w:p>
      <w:pPr>
        <w:pStyle w:val="ListParagraph"/>
        <w:numPr>
          <w:ilvl w:val="0"/>
          <w:numId w:val="2"/>
        </w:numPr>
        <w:spacing w:after="60"/>
      </w:pPr>
      <w:r>
        <w:rPr>
          <w:b w:val="false"/>
          <w:bCs w:val="false"/>
          <w:sz w:val="20"/>
          <w:szCs w:val="20"/>
        </w:rPr>
        <w:t xml:space="preserve">Time Trend page: weekly sales trend line with holiday-season highlighting, YoY growth measure.</w:t>
      </w:r>
    </w:p>
    <w:p>
      <w:pPr>
        <w:pStyle w:val="ListParagraph"/>
        <w:numPr>
          <w:ilvl w:val="0"/>
          <w:numId w:val="2"/>
        </w:numPr>
        <w:spacing w:after="60"/>
      </w:pPr>
      <w:r>
        <w:rPr>
          <w:b w:val="false"/>
          <w:bCs w:val="false"/>
          <w:sz w:val="20"/>
          <w:szCs w:val="20"/>
        </w:rPr>
        <w:t xml:space="preserve">Store Performance page: ranked store table with conditional formatting flagging underperformers, plus a supporting bar chart.</w:t>
      </w:r>
    </w:p>
    <w:p>
      <w:pPr>
        <w:pStyle w:val="ListParagraph"/>
        <w:numPr>
          <w:ilvl w:val="0"/>
          <w:numId w:val="2"/>
        </w:numPr>
        <w:spacing w:after="60"/>
      </w:pPr>
      <w:r>
        <w:rPr>
          <w:b w:val="false"/>
          <w:bCs w:val="false"/>
          <w:sz w:val="20"/>
          <w:szCs w:val="20"/>
        </w:rPr>
        <w:t xml:space="preserve">Slicers for Store, Store Type, and Date, synced across pages.</w:t>
      </w:r>
    </w:p>
    <w:p>
      <w:pPr>
        <w:pStyle w:val="Heading1"/>
        <w:pBdr>
          <w:bottom w:val="single" w:color="1F3864" w:sz="6" w:space="4"/>
        </w:pBdr>
        <w:spacing w:after="120" w:before="260"/>
      </w:pPr>
      <w:r>
        <w:rPr>
          <w:b/>
          <w:bCs/>
          <w:color w:val="1F3864"/>
          <w:sz w:val="26"/>
          <w:szCs w:val="26"/>
        </w:rPr>
        <w:t xml:space="preserve">4. Business Insights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600"/>
        <w:gridCol w:w="7200"/>
      </w:tblGrid>
      <w:tr>
        <w:tc>
          <w:tcPr>
            <w:tcW w:type="dxa" w:w="3600"/>
            <w:tcBorders>
              <w:top w:val="single" w:color="BFBFBF" w:sz="2"/>
              <w:left w:val="single" w:color="BFBFBF" w:sz="2"/>
              <w:bottom w:val="single" w:color="BFBFBF" w:sz="2"/>
              <w:right w:val="single" w:color="BFBFBF" w:sz="2"/>
            </w:tcBorders>
            <w:shd w:fill="1F3864" w:val="clear"/>
            <w:tcMar>
              <w:top w:type="dxa" w:w="80"/>
              <w:left w:type="dxa" w:w="100"/>
              <w:bottom w:type="dxa" w:w="80"/>
              <w:right w:type="dxa" w:w="100"/>
            </w:tcMar>
          </w:tcPr>
          <w:p>
            <w:r>
              <w:rPr>
                <w:b/>
                <w:bCs/>
                <w:color w:val="FFFFFF"/>
                <w:sz w:val="18"/>
                <w:szCs w:val="18"/>
              </w:rPr>
              <w:t xml:space="preserve">Finding</w:t>
            </w:r>
          </w:p>
        </w:tc>
        <w:tc>
          <w:tcPr>
            <w:tcW w:type="dxa" w:w="7200"/>
            <w:tcBorders>
              <w:top w:val="single" w:color="BFBFBF" w:sz="2"/>
              <w:left w:val="single" w:color="BFBFBF" w:sz="2"/>
              <w:bottom w:val="single" w:color="BFBFBF" w:sz="2"/>
              <w:right w:val="single" w:color="BFBFBF" w:sz="2"/>
            </w:tcBorders>
            <w:shd w:fill="1F3864" w:val="clear"/>
            <w:tcMar>
              <w:top w:type="dxa" w:w="80"/>
              <w:left w:type="dxa" w:w="100"/>
              <w:bottom w:type="dxa" w:w="80"/>
              <w:right w:type="dxa" w:w="100"/>
            </w:tcMar>
          </w:tcPr>
          <w:p>
            <w:r>
              <w:rPr>
                <w:b/>
                <w:bCs/>
                <w:color w:val="FFFFFF"/>
                <w:sz w:val="18"/>
                <w:szCs w:val="18"/>
              </w:rPr>
              <w:t xml:space="preserve">Detail</w:t>
            </w:r>
          </w:p>
        </w:tc>
      </w:tr>
      <w:tr>
        <w:tc>
          <w:tcPr>
            <w:tcW w:type="dxa" w:w="3600"/>
            <w:tcBorders>
              <w:top w:val="single" w:color="BFBFBF" w:sz="2"/>
              <w:left w:val="single" w:color="BFBFBF" w:sz="2"/>
              <w:bottom w:val="single" w:color="BFBFBF" w:sz="2"/>
              <w:right w:val="single" w:color="BFBFBF" w:sz="2"/>
            </w:tcBorders>
            <w:shd w:fill="F2F5FA" w:val="clear"/>
            <w:tcMar>
              <w:top w:type="dxa" w:w="70"/>
              <w:left w:type="dxa" w:w="100"/>
              <w:bottom w:type="dxa" w:w="70"/>
              <w:right w:type="dxa" w:w="100"/>
            </w:tcMar>
          </w:tcPr>
          <w:p>
            <w:r>
              <w:rPr>
                <w:sz w:val="18"/>
                <w:szCs w:val="18"/>
              </w:rPr>
              <w:t xml:space="preserve">Store type drives performance</w:t>
            </w:r>
          </w:p>
        </w:tc>
        <w:tc>
          <w:tcPr>
            <w:tcW w:type="dxa" w:w="7200"/>
            <w:tcBorders>
              <w:top w:val="single" w:color="BFBFBF" w:sz="2"/>
              <w:left w:val="single" w:color="BFBFBF" w:sz="2"/>
              <w:bottom w:val="single" w:color="BFBFBF" w:sz="2"/>
              <w:right w:val="single" w:color="BFBFBF" w:sz="2"/>
            </w:tcBorders>
            <w:shd w:fill="F2F5FA" w:val="clear"/>
            <w:tcMar>
              <w:top w:type="dxa" w:w="70"/>
              <w:left w:type="dxa" w:w="100"/>
              <w:bottom w:type="dxa" w:w="70"/>
              <w:right w:type="dxa" w:w="100"/>
            </w:tcMar>
          </w:tcPr>
          <w:p>
            <w:r>
              <w:rPr>
                <w:sz w:val="18"/>
                <w:szCs w:val="18"/>
              </w:rPr>
              <w:t xml:space="preserve">Type A: $4.33B total sales (22 stores) vs. Type B $2.00B (17 stores) vs. Type C $0.41B (6 stores)</w:t>
            </w:r>
          </w:p>
        </w:tc>
      </w:tr>
      <w:tr>
        <w:tc>
          <w:tcPr>
            <w:tcW w:type="dxa" w:w="36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r>
              <w:rPr>
                <w:sz w:val="18"/>
                <w:szCs w:val="18"/>
              </w:rPr>
              <w:t xml:space="preserve">Holidays lift sales</w:t>
            </w:r>
          </w:p>
        </w:tc>
        <w:tc>
          <w:tcPr>
            <w:tcW w:type="dxa" w:w="72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r>
              <w:rPr>
                <w:sz w:val="18"/>
                <w:szCs w:val="18"/>
              </w:rPr>
              <w:t xml:space="preserve">+7.1% average lift — $17,036/week on holiday weeks vs. $15,901 non-holiday</w:t>
            </w:r>
          </w:p>
        </w:tc>
      </w:tr>
      <w:tr>
        <w:tc>
          <w:tcPr>
            <w:tcW w:type="dxa" w:w="3600"/>
            <w:tcBorders>
              <w:top w:val="single" w:color="BFBFBF" w:sz="2"/>
              <w:left w:val="single" w:color="BFBFBF" w:sz="2"/>
              <w:bottom w:val="single" w:color="BFBFBF" w:sz="2"/>
              <w:right w:val="single" w:color="BFBFBF" w:sz="2"/>
            </w:tcBorders>
            <w:shd w:fill="F2F5FA" w:val="clear"/>
            <w:tcMar>
              <w:top w:type="dxa" w:w="70"/>
              <w:left w:type="dxa" w:w="100"/>
              <w:bottom w:type="dxa" w:w="70"/>
              <w:right w:type="dxa" w:w="100"/>
            </w:tcMar>
          </w:tcPr>
          <w:p>
            <w:r>
              <w:rPr>
                <w:sz w:val="18"/>
                <w:szCs w:val="18"/>
              </w:rPr>
              <w:t xml:space="preserve">Economic factors barely matter</w:t>
            </w:r>
          </w:p>
        </w:tc>
        <w:tc>
          <w:tcPr>
            <w:tcW w:type="dxa" w:w="7200"/>
            <w:tcBorders>
              <w:top w:val="single" w:color="BFBFBF" w:sz="2"/>
              <w:left w:val="single" w:color="BFBFBF" w:sz="2"/>
              <w:bottom w:val="single" w:color="BFBFBF" w:sz="2"/>
              <w:right w:val="single" w:color="BFBFBF" w:sz="2"/>
            </w:tcBorders>
            <w:shd w:fill="F2F5FA" w:val="clear"/>
            <w:tcMar>
              <w:top w:type="dxa" w:w="70"/>
              <w:left w:type="dxa" w:w="100"/>
              <w:bottom w:type="dxa" w:w="70"/>
              <w:right w:type="dxa" w:w="100"/>
            </w:tcMar>
          </w:tcPr>
          <w:p>
            <w:r>
              <w:rPr>
                <w:sz w:val="18"/>
                <w:szCs w:val="18"/>
              </w:rPr>
              <w:t xml:space="preserve">Unemployment correlation ≈ -0.11, Fuel Price ≈ +0.01 — both statistically weak</w:t>
            </w:r>
          </w:p>
        </w:tc>
      </w:tr>
      <w:tr>
        <w:tc>
          <w:tcPr>
            <w:tcW w:type="dxa" w:w="36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r>
              <w:rPr>
                <w:sz w:val="18"/>
                <w:szCs w:val="18"/>
              </w:rPr>
              <w:t xml:space="preserve">7 stores underperform</w:t>
            </w:r>
          </w:p>
        </w:tc>
        <w:tc>
          <w:tcPr>
            <w:tcW w:type="dxa" w:w="72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r>
              <w:rPr>
                <w:sz w:val="18"/>
                <w:szCs w:val="18"/>
              </w:rPr>
              <w:t xml:space="preserve">Stores 33, 44, 5, 36, 38, 3, 30 — more than 1 standard deviation below the chain average</w:t>
            </w:r>
          </w:p>
        </w:tc>
      </w:tr>
    </w:tbl>
    <w:p>
      <w:pPr>
        <w:spacing w:after="80" w:before="160"/>
      </w:pPr>
      <w:r>
        <w:rPr>
          <w:b/>
          <w:bCs/>
          <w:color w:val="2E5597"/>
          <w:sz w:val="21"/>
          <w:szCs w:val="21"/>
        </w:rPr>
        <w:t xml:space="preserve">Interpretation</w:t>
      </w:r>
    </w:p>
    <w:p>
      <w:pPr>
        <w:spacing w:after="100"/>
      </w:pPr>
      <w:r>
        <w:rPr>
          <w:sz w:val="20"/>
          <w:szCs w:val="20"/>
        </w:rPr>
        <w:t xml:space="preserve">Store format (Type A/B/C) is by far the strongest driver of sales variance in this chain — much stronger than any macroeconomic signal. This means local unemployment or fuel-price swings are not a meaningful planning risk at the weekly level, while store-type and seasonality are the levers that actually move the numbers.</w:t>
      </w:r>
    </w:p>
    <w:p>
      <w:pPr>
        <w:pStyle w:val="Heading1"/>
        <w:pBdr>
          <w:bottom w:val="single" w:color="1F3864" w:sz="6" w:space="4"/>
        </w:pBdr>
        <w:spacing w:after="120" w:before="260"/>
      </w:pPr>
      <w:r>
        <w:rPr>
          <w:b/>
          <w:bCs/>
          <w:color w:val="1F3864"/>
          <w:sz w:val="26"/>
          <w:szCs w:val="26"/>
        </w:rPr>
        <w:t xml:space="preserve">5. Recommendations</w:t>
      </w:r>
    </w:p>
    <w:p>
      <w:pPr>
        <w:pStyle w:val="ListParagraph"/>
        <w:numPr>
          <w:ilvl w:val="0"/>
          <w:numId w:val="2"/>
        </w:numPr>
        <w:spacing w:after="60"/>
      </w:pPr>
      <w:r>
        <w:rPr>
          <w:b w:val="false"/>
          <w:bCs w:val="false"/>
          <w:sz w:val="20"/>
          <w:szCs w:val="20"/>
        </w:rPr>
        <w:t xml:space="preserve">Prioritize inventory depth and staffing for Type A stores during holiday weeks (Nov–Dec, Super Bowl week), since they capture the largest share of the holiday lift and carry the highest absolute risk if under-stocked.</w:t>
      </w:r>
    </w:p>
    <w:p>
      <w:pPr>
        <w:pStyle w:val="ListParagraph"/>
        <w:numPr>
          <w:ilvl w:val="0"/>
          <w:numId w:val="2"/>
        </w:numPr>
        <w:spacing w:after="60"/>
      </w:pPr>
      <w:r>
        <w:rPr>
          <w:b w:val="false"/>
          <w:bCs w:val="false"/>
          <w:sz w:val="20"/>
          <w:szCs w:val="20"/>
        </w:rPr>
        <w:t xml:space="preserve">Launch a root-cause review for the 7 flagged underperforming stores — since economic conditions don't explain the gap, the likely drivers are store-level: local competition, assortment mix, staffing, or facility condition.</w:t>
      </w:r>
    </w:p>
    <w:p>
      <w:pPr>
        <w:pStyle w:val="ListParagraph"/>
        <w:numPr>
          <w:ilvl w:val="0"/>
          <w:numId w:val="2"/>
        </w:numPr>
        <w:spacing w:after="60"/>
      </w:pPr>
      <w:r>
        <w:rPr>
          <w:b w:val="false"/>
          <w:bCs w:val="false"/>
          <w:sz w:val="20"/>
          <w:szCs w:val="20"/>
        </w:rPr>
        <w:t xml:space="preserve">Deprioritize economic-indicator-based forecasting adjustments given the weak correlation, and reallocate that planning effort toward store-type and seasonality-based models instead.</w:t>
      </w:r>
    </w:p>
    <w:p>
      <w:pPr>
        <w:pStyle w:val="Heading1"/>
        <w:pBdr>
          <w:bottom w:val="single" w:color="1F3864" w:sz="6" w:space="4"/>
        </w:pBdr>
        <w:spacing w:after="120" w:before="260"/>
      </w:pPr>
      <w:r>
        <w:rPr>
          <w:b/>
          <w:bCs/>
          <w:color w:val="1F3864"/>
          <w:sz w:val="26"/>
          <w:szCs w:val="26"/>
        </w:rPr>
        <w:t xml:space="preserve">6. Tools &amp; Deliverables</w:t>
      </w:r>
    </w:p>
    <w:p>
      <w:pPr>
        <w:spacing w:after="100"/>
      </w:pPr>
      <w:r>
        <w:rPr>
          <w:sz w:val="20"/>
          <w:szCs w:val="20"/>
        </w:rPr>
        <w:t xml:space="preserve">Tools used: Excel (data prep) · SQL Server / T-SQL (modeling, validation, analysis) · Power BI (dashboard).</w:t>
      </w:r>
    </w:p>
    <w:p>
      <w:pPr>
        <w:pStyle w:val="ListParagraph"/>
        <w:numPr>
          <w:ilvl w:val="0"/>
          <w:numId w:val="2"/>
        </w:numPr>
        <w:spacing w:after="60"/>
      </w:pPr>
      <w:r>
        <w:rPr>
          <w:b w:val="false"/>
          <w:bCs w:val="false"/>
          <w:sz w:val="20"/>
          <w:szCs w:val="20"/>
        </w:rPr>
        <w:t xml:space="preserve">Cleaned dataset + fully commented SQL scripts — hosted on GitHub</w:t>
      </w:r>
    </w:p>
    <w:p>
      <w:pPr>
        <w:pStyle w:val="ListParagraph"/>
        <w:numPr>
          <w:ilvl w:val="0"/>
          <w:numId w:val="2"/>
        </w:numPr>
        <w:spacing w:after="60"/>
      </w:pPr>
      <w:r>
        <w:rPr>
          <w:b w:val="false"/>
          <w:bCs w:val="false"/>
          <w:sz w:val="20"/>
          <w:szCs w:val="20"/>
        </w:rPr>
        <w:t xml:space="preserve">Interactive Power BI dashboard (.pbix)</w:t>
      </w:r>
    </w:p>
    <w:p>
      <w:pPr>
        <w:pStyle w:val="ListParagraph"/>
        <w:numPr>
          <w:ilvl w:val="0"/>
          <w:numId w:val="2"/>
        </w:numPr>
        <w:spacing w:after="60"/>
      </w:pPr>
      <w:r>
        <w:rPr>
          <w:b w:val="false"/>
          <w:bCs w:val="false"/>
          <w:sz w:val="20"/>
          <w:szCs w:val="20"/>
        </w:rPr>
        <w:t xml:space="preserve">One-page insight summary (Word document) with 3 recommendations</w:t>
      </w:r>
    </w:p>
    <w:p>
      <w:pPr>
        <w:pStyle w:val="ListParagraph"/>
        <w:numPr>
          <w:ilvl w:val="0"/>
          <w:numId w:val="2"/>
        </w:numPr>
        <w:spacing w:after="60"/>
      </w:pPr>
      <w:r>
        <w:rPr>
          <w:b w:val="false"/>
          <w:bCs w:val="false"/>
          <w:sz w:val="20"/>
          <w:szCs w:val="20"/>
        </w:rPr>
        <w:t xml:space="preserve">Project README with key findings and dashboard preview</w:t>
      </w:r>
    </w:p>
    <w:p>
      <w:pPr>
        <w:spacing w:before="260"/>
      </w:pPr>
      <w:r>
        <w:rPr>
          <w:i/>
          <w:iCs/>
          <w:color w:val="808080"/>
          <w:sz w:val="14"/>
          <w:szCs w:val="14"/>
        </w:rPr>
        <w:t xml:space="preserve">Data source: Walmart weekly sales dataset (Kaggle), 421,570 records across 45 stores, Feb 2010 – Oct 2012.</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2026-09-25T21:54:06.337Z</dcterms:created>
  <dcterms:modified xsi:type="dcterms:W3CDTF">2026-09-25T21:54:06.344Z</dcterms:modified>
</cp:coreProperties>
</file>

<file path=docProps/custom.xml><?xml version="1.0" encoding="utf-8"?>
<Properties xmlns="http://schemas.openxmlformats.org/officeDocument/2006/custom-properties" xmlns:vt="http://schemas.openxmlformats.org/officeDocument/2006/docPropsVTypes"/>
</file>