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05" w:val="left" w:leader="none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>
      <w:pPr>
        <w:pStyle w:val="Heading1"/>
      </w:pPr>
      <w:bookmarkStart w:name="Scalability &amp; Future Plan " w:id="1"/>
      <w:bookmarkEnd w:id="1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6820" w:type="dxa"/>
          </w:tcPr>
          <w:p>
            <w:r>
              <w:t>1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17"/>
              </w:rPr>
              <w:t>Team</w:t>
            </w:r>
            <w:r>
              <w:rPr>
                <w:b/>
                <w:spacing w:val="-1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820" w:type="dxa"/>
          </w:tcPr>
          <w:p>
            <w:r>
              <w:t>SWTID-2026-8226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17"/>
              </w:rPr>
              <w:t>Project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6820" w:type="dxa"/>
          </w:tcPr>
          <w:p>
            <w:r>
              <w:rPr>
                <w:sz w:val="17"/>
              </w:rPr>
              <w:t>FitBuddy - AI-Powered Fitness &amp; Nutrition Architect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17"/>
              </w:rPr>
              <w:t>Maximum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17"/>
              </w:rPr>
              <w:t>1</w:t>
            </w:r>
            <w:r>
              <w:rPr>
                <w:rFonts w:ascii="Arial MT"/>
                <w:spacing w:val="-1"/>
                <w:sz w:val="17"/>
              </w:rPr>
              <w:t> </w:t>
            </w:r>
            <w:r>
              <w:rPr>
                <w:rFonts w:ascii="Arial MT"/>
                <w:spacing w:val="-4"/>
                <w:sz w:val="17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Scalability &amp; Future Plan: " w:id="2"/>
      <w:bookmarkEnd w:id="2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58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bases, increased data loads, or extended features in the future. It also captures the team's roadmap for enhancing and evolving the project beyond its current state.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7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Limitation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Impact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 w:before="122"/>
              <w:ind w:left="103" w:right="395"/>
              <w:rPr>
                <w:b/>
                <w:sz w:val="18"/>
              </w:rPr>
            </w:pPr>
            <w:r>
              <w:rPr>
                <w:b/>
                <w:sz w:val="17"/>
              </w:rPr>
              <w:t>Priority to Address (High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Medium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Low)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3980" w:type="dxa"/>
          </w:tcPr>
          <w:p>
            <w:r>
              <w:rPr>
                <w:sz w:val="17"/>
              </w:rPr>
              <w:t>SQLite is a single-file embedded database.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May become a bottleneck with larger concurrent user/data loads.</w:t>
            </w:r>
          </w:p>
        </w:tc>
        <w:tc>
          <w:tcPr>
            <w:tcW w:w="2380" w:type="dxa"/>
          </w:tcPr>
          <w:p>
            <w:r>
              <w:rPr>
                <w:sz w:val="17"/>
              </w:rPr>
              <w:t>High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3980" w:type="dxa"/>
          </w:tcPr>
          <w:p>
            <w:r>
              <w:rPr>
                <w:sz w:val="17"/>
              </w:rPr>
              <w:t>Gemini generation depends on an external API.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Latency, quota limits or temporary service errors can affect AI features.</w:t>
            </w:r>
          </w:p>
        </w:tc>
        <w:tc>
          <w:tcPr>
            <w:tcW w:w="2380" w:type="dxa"/>
          </w:tcPr>
          <w:p>
            <w:r>
              <w:rPr>
                <w:sz w:val="17"/>
              </w:rPr>
              <w:t>High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3980" w:type="dxa"/>
          </w:tcPr>
          <w:p>
            <w:r>
              <w:rPr>
                <w:sz w:val="17"/>
              </w:rPr>
              <w:t>Local FastAPI/Uvicorn deployment is intended for development/demo use.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Production-scale traffic needs distributed deployment and monitoring.</w:t>
            </w:r>
          </w:p>
        </w:tc>
        <w:tc>
          <w:tcPr>
            <w:tcW w:w="2380" w:type="dxa"/>
          </w:tcPr>
          <w:p>
            <w:r>
              <w:rPr>
                <w:sz w:val="17"/>
              </w:rPr>
              <w:t>Medium</w:t>
            </w:r>
          </w:p>
        </w:tc>
      </w:tr>
    </w:tbl>
    <w:p>
      <w:pPr>
        <w:pStyle w:val="BodyText"/>
        <w:spacing w:before="231"/>
        <w:rPr>
          <w:rFonts w:ascii="Arial"/>
          <w:b/>
          <w:sz w:val="22"/>
        </w:rPr>
      </w:pPr>
    </w:p>
    <w:p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7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7"/>
              </w:rPr>
              <w:t>Scalability </w:t>
            </w:r>
            <w:r>
              <w:rPr>
                <w:b/>
                <w:spacing w:val="-2"/>
                <w:sz w:val="17"/>
              </w:rPr>
              <w:t>Aspect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7"/>
              </w:rPr>
              <w:t>Current </w:t>
            </w:r>
            <w:r>
              <w:rPr>
                <w:b/>
                <w:spacing w:val="-2"/>
                <w:sz w:val="17"/>
              </w:rPr>
              <w:t>State</w:t>
            </w:r>
          </w:p>
        </w:tc>
        <w:tc>
          <w:tcPr>
            <w:tcW w:w="5220" w:type="dxa"/>
          </w:tcPr>
          <w:p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7"/>
              </w:rPr>
              <w:t>Proposed Upgrade / </w:t>
            </w:r>
            <w:r>
              <w:rPr>
                <w:b/>
                <w:spacing w:val="-2"/>
                <w:sz w:val="17"/>
              </w:rPr>
              <w:t>Solution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rPr>
                <w:sz w:val="17"/>
              </w:rPr>
              <w:t>User Load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Single local FastAPI/Uvicorn instance.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Deploy multiple application instances behind a load balancer and use production ASGI infrastructure.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rPr>
                <w:sz w:val="17"/>
              </w:rPr>
              <w:t>Data Storage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SQLite with SQLAlchemy ORM.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Migrate to PostgreSQL/MySQL with indexing, backups and managed storage.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Async FastAPI, retry logic and local fallback.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Add caching, background jobs, connection pooling, monitoring and horizontal scaling.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rPr>
                <w:sz w:val="17"/>
              </w:rPr>
              <w:t>Security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Local .env configuration and API-key based Gemini access.</w:t>
            </w:r>
          </w:p>
        </w:tc>
        <w:tc>
          <w:tcPr>
            <w:tcW w:w="2260" w:type="dxa"/>
          </w:tcPr>
          <w:p>
            <w:r>
              <w:rPr>
                <w:sz w:val="17"/>
              </w:rPr>
              <w:t>Use managed secrets, HTTPS, authentication/authorization, rate limiting and audit logging.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36"/>
        <w:rPr>
          <w:rFonts w:ascii="Arial"/>
          <w:b/>
          <w:sz w:val="22"/>
        </w:rPr>
      </w:pPr>
    </w:p>
    <w:p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Phase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7"/>
              </w:rPr>
              <w:t>Planned Feature / </w:t>
            </w:r>
            <w:r>
              <w:rPr>
                <w:b/>
                <w:spacing w:val="-2"/>
                <w:sz w:val="17"/>
              </w:rPr>
              <w:t>Enhancement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Target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Timeline</w:t>
            </w:r>
          </w:p>
        </w:tc>
        <w:tc>
          <w:tcPr>
            <w:tcW w:w="352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7"/>
              </w:rPr>
              <w:t>Expected </w:t>
            </w:r>
            <w:r>
              <w:rPr>
                <w:b/>
                <w:spacing w:val="-2"/>
                <w:sz w:val="17"/>
              </w:rPr>
              <w:t>Impact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1920" w:h="16840"/>
          <w:pgMar w:top="980" w:bottom="1289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20" w:hRule="atLeast"/>
        </w:trPr>
        <w:tc>
          <w:tcPr>
            <w:tcW w:w="1420" w:type="dxa"/>
          </w:tcPr>
          <w:p>
            <w:r>
              <w:rPr>
                <w:sz w:val="17"/>
              </w:rPr>
              <w:t>Phase 2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Production database migration, authentication and secure secret management.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3–6 months</w:t>
            </w:r>
          </w:p>
        </w:tc>
        <w:tc>
          <w:tcPr>
            <w:tcW w:w="3520" w:type="dxa"/>
          </w:tcPr>
          <w:p>
            <w:r>
              <w:rPr>
                <w:sz w:val="17"/>
              </w:rPr>
              <w:t>Supports multi-user deployment and stronger security.</w:t>
            </w:r>
          </w:p>
        </w:tc>
      </w:tr>
      <w:tr>
        <w:trPr>
          <w:trHeight w:val="600" w:hRule="atLeast"/>
        </w:trPr>
        <w:tc>
          <w:tcPr>
            <w:tcW w:w="1420" w:type="dxa"/>
          </w:tcPr>
          <w:p>
            <w:r>
              <w:rPr>
                <w:sz w:val="17"/>
              </w:rPr>
              <w:t>Phase 3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Caching, background AI jobs, monitoring and scalable cloud deployment.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6–9 months</w:t>
            </w:r>
          </w:p>
        </w:tc>
        <w:tc>
          <w:tcPr>
            <w:tcW w:w="3520" w:type="dxa"/>
          </w:tcPr>
          <w:p>
            <w:r>
              <w:rPr>
                <w:sz w:val="17"/>
              </w:rPr>
              <w:t>Improves response time, reliability and concurrency.</w:t>
            </w:r>
          </w:p>
        </w:tc>
      </w:tr>
      <w:tr>
        <w:trPr>
          <w:trHeight w:val="619" w:hRule="atLeast"/>
        </w:trPr>
        <w:tc>
          <w:tcPr>
            <w:tcW w:w="1420" w:type="dxa"/>
          </w:tcPr>
          <w:p>
            <w:r>
              <w:rPr>
                <w:sz w:val="17"/>
              </w:rPr>
              <w:t>Phase 4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>Mobile/PWA experience, progress analytics and expanded AI coaching.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9–12 months</w:t>
            </w:r>
          </w:p>
        </w:tc>
        <w:tc>
          <w:tcPr>
            <w:tcW w:w="3520" w:type="dxa"/>
          </w:tcPr>
          <w:p>
            <w:r>
              <w:rPr>
                <w:sz w:val="17"/>
              </w:rPr>
              <w:t>Extends accessibility and personalization.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terms:created xsi:type="dcterms:W3CDTF">2026-09-30T04:55:15Z</dcterms:created>
  <dcterms:modified xsi:type="dcterms:W3CDTF">2026-09-30T04:55:15Z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