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300"/>
        <w:jc w:val="center"/>
      </w:pPr>
      <w:r>
        <w:rPr>
          <w:b/>
          <w:bCs/>
          <w:sz w:val="30"/>
          <w:szCs w:val="30"/>
        </w:rPr>
        <w:t xml:space="preserve">CAHIER DES CHARGES TECHNIQUE ET FONCTIONNEL</w:t>
      </w:r>
    </w:p>
    <w:p>
      <w:pPr>
        <w:spacing w:after="120"/>
        <w:jc w:val="center"/>
      </w:pPr>
      <w:r>
        <w:rPr>
          <w:b/>
          <w:bCs/>
          <w:sz w:val="44"/>
          <w:szCs w:val="44"/>
        </w:rPr>
        <w:t xml:space="preserve">Dz Multi-Services</w:t>
      </w:r>
    </w:p>
    <w:p>
      <w:pPr>
        <w:spacing w:after="120"/>
        <w:jc w:val="center"/>
      </w:pPr>
      <w:r>
        <w:rPr>
          <w:i/>
          <w:iCs/>
          <w:sz w:val="24"/>
          <w:szCs w:val="24"/>
        </w:rPr>
        <w:t xml:space="preserve">Plateforme de services locaux, de demandes de devis et de commandes pour les proches depuis la diaspora</w:t>
      </w:r>
    </w:p>
    <w:p>
      <w:pPr>
        <w:pBdr>
          <w:bottom w:val="single" w:color="000000" w:sz="6" w:space="8"/>
        </w:pBdr>
        <w:spacing w:after="240"/>
        <w:jc w:val="center"/>
      </w:pPr>
      <w:r>
        <w:rPr>
          <w:sz w:val="22"/>
          <w:szCs w:val="22"/>
        </w:rPr>
        <w:t xml:space="preserve">Version 2.2, 7 octobre 2026. Document de travail.</w:t>
      </w:r>
    </w:p>
    <w:p>
      <w:pPr>
        <w:pStyle w:val="Heading1"/>
      </w:pPr>
      <w:r>
        <w:t xml:space="preserve">1. Présentation du projet</w:t>
      </w:r>
    </w:p>
    <w:p>
      <w:pPr>
        <w:pStyle w:val="Heading2"/>
      </w:pPr>
      <w:r>
        <w:t xml:space="preserve">1.1 Vision</w:t>
      </w:r>
    </w:p>
    <w:p>
      <w:pPr>
        <w:spacing w:after="120" w:before="0"/>
      </w:pPr>
      <w:r>
        <w:t xml:space="preserve">Dz Multi-Services est une agence multiservice qui réalise des prestations physiques sur place. La plateforme est un pont numérique entre des clients situés n’importe où et des bénéficiaires présents localement. Elle se conçoit comme une petite application métier de gestion de demandes, de devis, de paiements et de prestations, et non comme un simple site vitrine.</w:t>
      </w:r>
    </w:p>
    <w:p>
      <w:pPr>
        <w:pStyle w:val="Heading2"/>
      </w:pPr>
      <w:r>
        <w:t xml:space="preserve">1.2 Deux types de clients</w:t>
      </w:r>
    </w:p>
    <w:p>
      <w:pPr>
        <w:spacing w:after="120" w:before="0"/>
      </w:pPr>
      <w:r>
        <w:t xml:space="preserve">Le </w:t>
      </w:r>
      <w:r>
        <w:rPr>
          <w:b/>
          <w:bCs/>
        </w:rPr>
        <w:t xml:space="preserve">client local</w:t>
      </w:r>
      <w:r>
        <w:t xml:space="preserve"> est sur place : il découvre un service, demande un devis ou commande, reçoit une réponse, règle le montant et bénéficie du service. Le </w:t>
      </w:r>
      <w:r>
        <w:rPr>
          <w:b/>
          <w:bCs/>
        </w:rPr>
        <w:t xml:space="preserve">client de la diaspora</w:t>
      </w:r>
      <w:r>
        <w:t xml:space="preserve"> vit à l’étranger : il commande pour un proche, renseigne le bénéficiaire, reçoit le devis ou la confirmation, paie, puis l’agence réalise le service sur place. Un même client peut commander pour lui-même une fois et pour un proche une autre fois.</w:t>
      </w:r>
    </w:p>
    <w:p>
      <w:pPr>
        <w:pStyle w:val="Heading2"/>
      </w:pPr>
      <w:r>
        <w:t xml:space="preserve">1.3 Objectifs</w:t>
      </w:r>
    </w:p>
    <w:p>
      <w:pPr>
        <w:keepNext/>
        <w:spacing w:after="60" w:before="0"/>
      </w:pPr>
      <w:r>
        <w:t xml:space="preserve">Côté public, le site doit :</w:t>
      </w:r>
    </w:p>
    <w:p>
      <w:pPr>
        <w:pStyle w:val="ListParagraph"/>
        <w:numPr>
          <w:ilvl w:val="0"/>
          <w:numId w:val="2"/>
        </w:numPr>
        <w:spacing w:after="60"/>
      </w:pPr>
      <w:r>
        <w:t xml:space="preserve">présenter l’agence et ses services ;</w:t>
      </w:r>
    </w:p>
    <w:p>
      <w:pPr>
        <w:pStyle w:val="ListParagraph"/>
        <w:numPr>
          <w:ilvl w:val="0"/>
          <w:numId w:val="2"/>
        </w:numPr>
        <w:spacing w:after="60"/>
      </w:pPr>
      <w:r>
        <w:t xml:space="preserve">recevoir des demandes de devis, des commandes et des messages de contact ;</w:t>
      </w:r>
    </w:p>
    <w:p>
      <w:pPr>
        <w:pStyle w:val="ListParagraph"/>
        <w:numPr>
          <w:ilvl w:val="0"/>
          <w:numId w:val="2"/>
        </w:numPr>
        <w:spacing w:after="60"/>
      </w:pPr>
      <w:r>
        <w:t xml:space="preserve">permettre de commander pour un proche et d’envoyer des fichiers ;</w:t>
      </w:r>
    </w:p>
    <w:p>
      <w:pPr>
        <w:pStyle w:val="ListParagraph"/>
        <w:numPr>
          <w:ilvl w:val="0"/>
          <w:numId w:val="2"/>
        </w:numPr>
        <w:spacing w:after="60"/>
      </w:pPr>
      <w:r>
        <w:t xml:space="preserve">permettre le suivi d’une demande par un lien sécurisé ;</w:t>
      </w:r>
    </w:p>
    <w:p>
      <w:pPr>
        <w:pStyle w:val="ListParagraph"/>
        <w:numPr>
          <w:ilvl w:val="0"/>
          <w:numId w:val="2"/>
        </w:numPr>
        <w:spacing w:after="60"/>
      </w:pPr>
      <w:r>
        <w:t xml:space="preserve">faciliter le contact par WhatsApp et par téléphone.</w:t>
      </w:r>
    </w:p>
    <w:p>
      <w:pPr>
        <w:keepNext/>
        <w:spacing w:after="60" w:before="100"/>
      </w:pPr>
      <w:r>
        <w:t xml:space="preserve">Côté agence, l’application doit :</w:t>
      </w:r>
    </w:p>
    <w:p>
      <w:pPr>
        <w:pStyle w:val="ListParagraph"/>
        <w:numPr>
          <w:ilvl w:val="0"/>
          <w:numId w:val="2"/>
        </w:numPr>
        <w:spacing w:after="60"/>
      </w:pPr>
      <w:r>
        <w:t xml:space="preserve">gérer les services, les demandes, les devis, les clients, les bénéficiaires et les prestations ;</w:t>
      </w:r>
    </w:p>
    <w:p>
      <w:pPr>
        <w:pStyle w:val="ListParagraph"/>
        <w:numPr>
          <w:ilvl w:val="0"/>
          <w:numId w:val="2"/>
        </w:numPr>
        <w:spacing w:after="60"/>
      </w:pPr>
      <w:r>
        <w:t xml:space="preserve">suivre les paiements et les dépenses, calculer les revenus et le résultat ;</w:t>
      </w:r>
    </w:p>
    <w:p>
      <w:pPr>
        <w:pStyle w:val="ListParagraph"/>
        <w:numPr>
          <w:ilvl w:val="0"/>
          <w:numId w:val="2"/>
        </w:numPr>
        <w:spacing w:after="60"/>
      </w:pPr>
      <w:r>
        <w:t xml:space="preserve">permettre au propriétaire de modifier les contenus du site sans toucher au code ;</w:t>
      </w:r>
    </w:p>
    <w:p>
      <w:pPr>
        <w:pStyle w:val="ListParagraph"/>
        <w:numPr>
          <w:ilvl w:val="0"/>
          <w:numId w:val="2"/>
        </w:numPr>
        <w:spacing w:after="60"/>
      </w:pPr>
      <w:r>
        <w:t xml:space="preserve">gérer les utilisateurs, tracer les actions et produire des statistiques et des rapports.</w:t>
      </w:r>
    </w:p>
    <w:p>
      <w:pPr>
        <w:pStyle w:val="Heading1"/>
      </w:pPr>
      <w:r>
        <w:t xml:space="preserve">2. Périmètre et versions</w:t>
      </w:r>
    </w:p>
    <w:p>
      <w:pPr>
        <w:spacing w:after="120" w:before="0"/>
      </w:pPr>
      <w:r>
        <w:t xml:space="preserve">Le périmètre est découpé en trois versions pour permettre une mise en ligne pilote rapide. La version 1 est la seule à viser avant les premiers vrais clients.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300"/>
        <w:gridCol w:w="7772"/>
      </w:tblGrid>
      <w:tr>
        <w:trPr>
          <w:cantSplit/>
          <w:tblHeader/>
        </w:trPr>
        <w:tc>
          <w:tcPr>
            <w:tcW w:type="dxa" w:w="1300"/>
            <w:tcBorders>
              <w:top w:val="single" w:color="7F7F7F" w:sz="4"/>
              <w:left w:val="single" w:color="7F7F7F" w:sz="4"/>
              <w:bottom w:val="single" w:color="7F7F7F" w:sz="4"/>
              <w:right w:val="single" w:color="7F7F7F" w:sz="4"/>
            </w:tcBorders>
            <w:shd w:fill="D9D9D9" w:color="auto" w:val="clear"/>
            <w:tcMar>
              <w:top w:type="dxa" w:w="50"/>
              <w:left w:type="dxa" w:w="90"/>
              <w:bottom w:type="dxa" w:w="50"/>
              <w:right w:type="dxa" w:w="90"/>
            </w:tcMar>
          </w:tcPr>
          <w:p>
            <w:pPr>
              <w:spacing w:after="0"/>
            </w:pPr>
            <w:r>
              <w:rPr>
                <w:b/>
                <w:bCs/>
                <w:sz w:val="19"/>
                <w:szCs w:val="19"/>
              </w:rPr>
              <w:t xml:space="preserve">Version</w:t>
            </w:r>
          </w:p>
        </w:tc>
        <w:tc>
          <w:tcPr>
            <w:tcW w:type="dxa" w:w="7772"/>
            <w:tcBorders>
              <w:top w:val="single" w:color="7F7F7F" w:sz="4"/>
              <w:left w:val="single" w:color="7F7F7F" w:sz="4"/>
              <w:bottom w:val="single" w:color="7F7F7F" w:sz="4"/>
              <w:right w:val="single" w:color="7F7F7F" w:sz="4"/>
            </w:tcBorders>
            <w:shd w:fill="D9D9D9" w:color="auto" w:val="clear"/>
            <w:tcMar>
              <w:top w:type="dxa" w:w="50"/>
              <w:left w:type="dxa" w:w="90"/>
              <w:bottom w:type="dxa" w:w="50"/>
              <w:right w:type="dxa" w:w="90"/>
            </w:tcMar>
          </w:tcPr>
          <w:p>
            <w:pPr>
              <w:spacing w:after="0"/>
            </w:pPr>
            <w:r>
              <w:rPr>
                <w:b/>
                <w:bCs/>
                <w:sz w:val="19"/>
                <w:szCs w:val="19"/>
              </w:rPr>
              <w:t xml:space="preserve">Contenu</w:t>
            </w:r>
          </w:p>
        </w:tc>
      </w:tr>
      <w:tr>
        <w:trPr>
          <w:cantSplit/>
        </w:trPr>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V1 (pilote)</w:t>
            </w:r>
          </w:p>
        </w:tc>
        <w:tc>
          <w:tcPr>
            <w:tcW w:type="dxa" w:w="7772"/>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Site public (accueil, services, page de service, comment ça marche, FAQ, contact, pages légales). Quatre formulaires dédiés, formulaire générique des services à la demande, commande pour un proche, téléversement de fichiers, suivi par lien. Administration : connexion, rôles, demandes, devis et fiche de prestation en PDF avec cachet de l’agence, enregistrement et confirmation des paiements, consultation des clients, tableau de bord simple, journal d’activité, gestion des services et des réglages essentiels, messages de contact.</w:t>
            </w:r>
          </w:p>
        </w:tc>
      </w:tr>
      <w:tr>
        <w:trPr>
          <w:cantSplit/>
        </w:trPr>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V2</w:t>
            </w:r>
          </w:p>
        </w:tc>
        <w:tc>
          <w:tcPr>
            <w:tcW w:type="dxa" w:w="7772"/>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Dépenses, finance, rapports et graphiques complets ; gestion complète des clients et bénéficiaires ; calendrier et réservations ; galerie, témoignages et FAQ gérés depuis l’administration (en attendant, saisie via l’interface Supabase par le super-administrateur) ; notifications automatiques vers le client ; rappels.</w:t>
            </w:r>
          </w:p>
        </w:tc>
      </w:tr>
      <w:tr>
        <w:trPr>
          <w:cantSplit/>
        </w:trPr>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V3</w:t>
            </w:r>
          </w:p>
        </w:tc>
        <w:tc>
          <w:tcPr>
            <w:tcW w:type="dxa" w:w="7772"/>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Paiement en ligne par un prestataire officiel (carte, mobile money) ; comptes clients ; interface multilingue ; envoi automatique par l’API WhatsApp Business.</w:t>
            </w:r>
          </w:p>
        </w:tc>
      </w:tr>
    </w:tbl>
    <w:p>
      <w:pPr>
        <w:spacing w:after="100"/>
      </w:pPr>
    </w:p>
    <w:p>
      <w:pPr>
        <w:pStyle w:val="Heading1"/>
      </w:pPr>
      <w:r>
        <w:t xml:space="preserve">3. Services proposés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900"/>
        <w:gridCol w:w="1900"/>
        <w:gridCol w:w="2272"/>
        <w:gridCol w:w="2000"/>
      </w:tblGrid>
      <w:tr>
        <w:trPr>
          <w:cantSplit/>
          <w:tblHeader/>
        </w:trPr>
        <w:tc>
          <w:tcPr>
            <w:tcW w:type="dxa" w:w="2900"/>
            <w:tcBorders>
              <w:top w:val="single" w:color="7F7F7F" w:sz="4"/>
              <w:left w:val="single" w:color="7F7F7F" w:sz="4"/>
              <w:bottom w:val="single" w:color="7F7F7F" w:sz="4"/>
              <w:right w:val="single" w:color="7F7F7F" w:sz="4"/>
            </w:tcBorders>
            <w:shd w:fill="D9D9D9" w:color="auto" w:val="clear"/>
            <w:tcMar>
              <w:top w:type="dxa" w:w="50"/>
              <w:left w:type="dxa" w:w="90"/>
              <w:bottom w:type="dxa" w:w="50"/>
              <w:right w:type="dxa" w:w="90"/>
            </w:tcMar>
          </w:tcPr>
          <w:p>
            <w:pPr>
              <w:spacing w:after="0"/>
            </w:pPr>
            <w:r>
              <w:rPr>
                <w:b/>
                <w:bCs/>
                <w:sz w:val="19"/>
                <w:szCs w:val="19"/>
              </w:rPr>
              <w:t xml:space="preserve">Service</w:t>
            </w:r>
          </w:p>
        </w:tc>
        <w:tc>
          <w:tcPr>
            <w:tcW w:type="dxa" w:w="1900"/>
            <w:tcBorders>
              <w:top w:val="single" w:color="7F7F7F" w:sz="4"/>
              <w:left w:val="single" w:color="7F7F7F" w:sz="4"/>
              <w:bottom w:val="single" w:color="7F7F7F" w:sz="4"/>
              <w:right w:val="single" w:color="7F7F7F" w:sz="4"/>
            </w:tcBorders>
            <w:shd w:fill="D9D9D9" w:color="auto" w:val="clear"/>
            <w:tcMar>
              <w:top w:type="dxa" w:w="50"/>
              <w:left w:type="dxa" w:w="90"/>
              <w:bottom w:type="dxa" w:w="50"/>
              <w:right w:type="dxa" w:w="90"/>
            </w:tcMar>
          </w:tcPr>
          <w:p>
            <w:pPr>
              <w:spacing w:after="0"/>
            </w:pPr>
            <w:r>
              <w:rPr>
                <w:b/>
                <w:bCs/>
                <w:sz w:val="19"/>
                <w:szCs w:val="19"/>
              </w:rPr>
              <w:t xml:space="preserve">Type</w:t>
            </w:r>
          </w:p>
        </w:tc>
        <w:tc>
          <w:tcPr>
            <w:tcW w:type="dxa" w:w="2272"/>
            <w:tcBorders>
              <w:top w:val="single" w:color="7F7F7F" w:sz="4"/>
              <w:left w:val="single" w:color="7F7F7F" w:sz="4"/>
              <w:bottom w:val="single" w:color="7F7F7F" w:sz="4"/>
              <w:right w:val="single" w:color="7F7F7F" w:sz="4"/>
            </w:tcBorders>
            <w:shd w:fill="D9D9D9" w:color="auto" w:val="clear"/>
            <w:tcMar>
              <w:top w:type="dxa" w:w="50"/>
              <w:left w:type="dxa" w:w="90"/>
              <w:bottom w:type="dxa" w:w="50"/>
              <w:right w:type="dxa" w:w="90"/>
            </w:tcMar>
          </w:tcPr>
          <w:p>
            <w:pPr>
              <w:spacing w:after="0"/>
            </w:pPr>
            <w:r>
              <w:rPr>
                <w:b/>
                <w:bCs/>
                <w:sz w:val="19"/>
                <w:szCs w:val="19"/>
              </w:rPr>
              <w:t xml:space="preserve">Formulaire</w:t>
            </w:r>
          </w:p>
        </w:tc>
        <w:tc>
          <w:tcPr>
            <w:tcW w:type="dxa" w:w="2000"/>
            <w:tcBorders>
              <w:top w:val="single" w:color="7F7F7F" w:sz="4"/>
              <w:left w:val="single" w:color="7F7F7F" w:sz="4"/>
              <w:bottom w:val="single" w:color="7F7F7F" w:sz="4"/>
              <w:right w:val="single" w:color="7F7F7F" w:sz="4"/>
            </w:tcBorders>
            <w:shd w:fill="D9D9D9" w:color="auto" w:val="clear"/>
            <w:tcMar>
              <w:top w:type="dxa" w:w="50"/>
              <w:left w:type="dxa" w:w="90"/>
              <w:bottom w:type="dxa" w:w="50"/>
              <w:right w:type="dxa" w:w="90"/>
            </w:tcMar>
          </w:tcPr>
          <w:p>
            <w:pPr>
              <w:spacing w:after="0"/>
            </w:pPr>
            <w:r>
              <w:rPr>
                <w:b/>
                <w:bCs/>
                <w:sz w:val="19"/>
                <w:szCs w:val="19"/>
              </w:rPr>
              <w:t xml:space="preserve">Bouton</w:t>
            </w:r>
          </w:p>
        </w:tc>
      </w:tr>
      <w:tr>
        <w:trPr>
          <w:cantSplit/>
        </w:trPr>
        <w:tc>
          <w:tcPr>
            <w:tcW w:type="dxa" w:w="29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Filmage de mariage</w:t>
            </w:r>
          </w:p>
        </w:tc>
        <w:tc>
          <w:tcPr>
            <w:tcW w:type="dxa" w:w="19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Prestation (</w:t>
            </w:r>
            <w:r>
              <w:rPr>
                <w:rFonts w:ascii="Consolas" w:cs="Consolas" w:eastAsia="Consolas" w:hAnsi="Consolas"/>
                <w:b w:val="false"/>
                <w:bCs w:val="false"/>
                <w:sz w:val="17"/>
                <w:szCs w:val="17"/>
              </w:rPr>
              <w:t xml:space="preserve">QUOTE</w:t>
            </w:r>
            <w:r>
              <w:rPr>
                <w:b w:val="false"/>
                <w:bCs w:val="false"/>
                <w:sz w:val="19"/>
                <w:szCs w:val="19"/>
              </w:rPr>
              <w:t xml:space="preserve">)</w:t>
            </w:r>
          </w:p>
        </w:tc>
        <w:tc>
          <w:tcPr>
            <w:tcW w:type="dxa" w:w="2272"/>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Dédié, en plusieurs étapes</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Demander un devis</w:t>
            </w:r>
          </w:p>
        </w:tc>
      </w:tr>
      <w:tr>
        <w:trPr>
          <w:cantSplit/>
        </w:trPr>
        <w:tc>
          <w:tcPr>
            <w:tcW w:type="dxa" w:w="29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Séance photo</w:t>
            </w:r>
          </w:p>
        </w:tc>
        <w:tc>
          <w:tcPr>
            <w:tcW w:type="dxa" w:w="19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Prestation (</w:t>
            </w:r>
            <w:r>
              <w:rPr>
                <w:rFonts w:ascii="Consolas" w:cs="Consolas" w:eastAsia="Consolas" w:hAnsi="Consolas"/>
                <w:b w:val="false"/>
                <w:bCs w:val="false"/>
                <w:sz w:val="17"/>
                <w:szCs w:val="17"/>
              </w:rPr>
              <w:t xml:space="preserve">QUOTE</w:t>
            </w:r>
            <w:r>
              <w:rPr>
                <w:b w:val="false"/>
                <w:bCs w:val="false"/>
                <w:sz w:val="19"/>
                <w:szCs w:val="19"/>
              </w:rPr>
              <w:t xml:space="preserve">)</w:t>
            </w:r>
          </w:p>
        </w:tc>
        <w:tc>
          <w:tcPr>
            <w:tcW w:type="dxa" w:w="2272"/>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Dédié, rattachable à un mariage</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Demander un devis</w:t>
            </w:r>
          </w:p>
        </w:tc>
      </w:tr>
      <w:tr>
        <w:trPr>
          <w:cantSplit/>
        </w:trPr>
        <w:tc>
          <w:tcPr>
            <w:tcW w:type="dxa" w:w="29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Spot publicitaire</w:t>
            </w:r>
          </w:p>
        </w:tc>
        <w:tc>
          <w:tcPr>
            <w:tcW w:type="dxa" w:w="19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Prestation (</w:t>
            </w:r>
            <w:r>
              <w:rPr>
                <w:rFonts w:ascii="Consolas" w:cs="Consolas" w:eastAsia="Consolas" w:hAnsi="Consolas"/>
                <w:b w:val="false"/>
                <w:bCs w:val="false"/>
                <w:sz w:val="17"/>
                <w:szCs w:val="17"/>
              </w:rPr>
              <w:t xml:space="preserve">QUOTE</w:t>
            </w:r>
            <w:r>
              <w:rPr>
                <w:b w:val="false"/>
                <w:bCs w:val="false"/>
                <w:sz w:val="19"/>
                <w:szCs w:val="19"/>
              </w:rPr>
              <w:t xml:space="preserve">)</w:t>
            </w:r>
          </w:p>
        </w:tc>
        <w:tc>
          <w:tcPr>
            <w:tcW w:type="dxa" w:w="2272"/>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Dédié</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Demander un devis</w:t>
            </w:r>
          </w:p>
        </w:tc>
      </w:tr>
      <w:tr>
        <w:trPr>
          <w:cantSplit/>
        </w:trPr>
        <w:tc>
          <w:tcPr>
            <w:tcW w:type="dxa" w:w="29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Imprimerie</w:t>
            </w:r>
          </w:p>
        </w:tc>
        <w:tc>
          <w:tcPr>
            <w:tcW w:type="dxa" w:w="19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Prestation (</w:t>
            </w:r>
            <w:r>
              <w:rPr>
                <w:rFonts w:ascii="Consolas" w:cs="Consolas" w:eastAsia="Consolas" w:hAnsi="Consolas"/>
                <w:b w:val="false"/>
                <w:bCs w:val="false"/>
                <w:sz w:val="17"/>
                <w:szCs w:val="17"/>
              </w:rPr>
              <w:t xml:space="preserve">QUOTE</w:t>
            </w:r>
            <w:r>
              <w:rPr>
                <w:b w:val="false"/>
                <w:bCs w:val="false"/>
                <w:sz w:val="19"/>
                <w:szCs w:val="19"/>
              </w:rPr>
              <w:t xml:space="preserve">)</w:t>
            </w:r>
          </w:p>
        </w:tc>
        <w:tc>
          <w:tcPr>
            <w:tcW w:type="dxa" w:w="2272"/>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Dédié</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Demander un devis</w:t>
            </w:r>
          </w:p>
        </w:tc>
      </w:tr>
      <w:tr>
        <w:trPr>
          <w:cantSplit/>
        </w:trPr>
        <w:tc>
          <w:tcPr>
            <w:tcW w:type="dxa" w:w="29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Transfert d’argent international</w:t>
            </w:r>
          </w:p>
        </w:tc>
        <w:tc>
          <w:tcPr>
            <w:tcW w:type="dxa" w:w="19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Service (</w:t>
            </w:r>
            <w:r>
              <w:rPr>
                <w:rFonts w:ascii="Consolas" w:cs="Consolas" w:eastAsia="Consolas" w:hAnsi="Consolas"/>
                <w:b w:val="false"/>
                <w:bCs w:val="false"/>
                <w:sz w:val="17"/>
                <w:szCs w:val="17"/>
              </w:rPr>
              <w:t xml:space="preserve">REQUEST</w:t>
            </w:r>
            <w:r>
              <w:rPr>
                <w:b w:val="false"/>
                <w:bCs w:val="false"/>
                <w:sz w:val="19"/>
                <w:szCs w:val="19"/>
              </w:rPr>
              <w:t xml:space="preserve">)</w:t>
            </w:r>
          </w:p>
        </w:tc>
        <w:tc>
          <w:tcPr>
            <w:tcW w:type="dxa" w:w="2272"/>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Générique</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Commander le service</w:t>
            </w:r>
          </w:p>
        </w:tc>
      </w:tr>
      <w:tr>
        <w:trPr>
          <w:cantSplit/>
        </w:trPr>
        <w:tc>
          <w:tcPr>
            <w:tcW w:type="dxa" w:w="29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Réabonnement Canal+</w:t>
            </w:r>
          </w:p>
        </w:tc>
        <w:tc>
          <w:tcPr>
            <w:tcW w:type="dxa" w:w="19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Service (</w:t>
            </w:r>
            <w:r>
              <w:rPr>
                <w:rFonts w:ascii="Consolas" w:cs="Consolas" w:eastAsia="Consolas" w:hAnsi="Consolas"/>
                <w:b w:val="false"/>
                <w:bCs w:val="false"/>
                <w:sz w:val="17"/>
                <w:szCs w:val="17"/>
              </w:rPr>
              <w:t xml:space="preserve">REQUEST</w:t>
            </w:r>
            <w:r>
              <w:rPr>
                <w:b w:val="false"/>
                <w:bCs w:val="false"/>
                <w:sz w:val="19"/>
                <w:szCs w:val="19"/>
              </w:rPr>
              <w:t xml:space="preserve">)</w:t>
            </w:r>
          </w:p>
        </w:tc>
        <w:tc>
          <w:tcPr>
            <w:tcW w:type="dxa" w:w="2272"/>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Générique</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Commander le service</w:t>
            </w:r>
          </w:p>
        </w:tc>
      </w:tr>
      <w:tr>
        <w:trPr>
          <w:cantSplit/>
        </w:trPr>
        <w:tc>
          <w:tcPr>
            <w:tcW w:type="dxa" w:w="29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Recharge d’électricité (compteur STS)</w:t>
            </w:r>
          </w:p>
        </w:tc>
        <w:tc>
          <w:tcPr>
            <w:tcW w:type="dxa" w:w="19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Service (</w:t>
            </w:r>
            <w:r>
              <w:rPr>
                <w:rFonts w:ascii="Consolas" w:cs="Consolas" w:eastAsia="Consolas" w:hAnsi="Consolas"/>
                <w:b w:val="false"/>
                <w:bCs w:val="false"/>
                <w:sz w:val="17"/>
                <w:szCs w:val="17"/>
              </w:rPr>
              <w:t xml:space="preserve">REQUEST</w:t>
            </w:r>
            <w:r>
              <w:rPr>
                <w:b w:val="false"/>
                <w:bCs w:val="false"/>
                <w:sz w:val="19"/>
                <w:szCs w:val="19"/>
              </w:rPr>
              <w:t xml:space="preserve">)</w:t>
            </w:r>
          </w:p>
        </w:tc>
        <w:tc>
          <w:tcPr>
            <w:tcW w:type="dxa" w:w="2272"/>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Générique</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Commander le service</w:t>
            </w:r>
          </w:p>
        </w:tc>
      </w:tr>
      <w:tr>
        <w:trPr>
          <w:cantSplit/>
        </w:trPr>
        <w:tc>
          <w:tcPr>
            <w:tcW w:type="dxa" w:w="29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Crédit HURI / YAS</w:t>
            </w:r>
          </w:p>
        </w:tc>
        <w:tc>
          <w:tcPr>
            <w:tcW w:type="dxa" w:w="19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Service (</w:t>
            </w:r>
            <w:r>
              <w:rPr>
                <w:rFonts w:ascii="Consolas" w:cs="Consolas" w:eastAsia="Consolas" w:hAnsi="Consolas"/>
                <w:b w:val="false"/>
                <w:bCs w:val="false"/>
                <w:sz w:val="17"/>
                <w:szCs w:val="17"/>
              </w:rPr>
              <w:t xml:space="preserve">REQUEST</w:t>
            </w:r>
            <w:r>
              <w:rPr>
                <w:b w:val="false"/>
                <w:bCs w:val="false"/>
                <w:sz w:val="19"/>
                <w:szCs w:val="19"/>
              </w:rPr>
              <w:t xml:space="preserve">)</w:t>
            </w:r>
          </w:p>
        </w:tc>
        <w:tc>
          <w:tcPr>
            <w:tcW w:type="dxa" w:w="2272"/>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Générique</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Commander le service</w:t>
            </w:r>
          </w:p>
        </w:tc>
      </w:tr>
      <w:tr>
        <w:trPr>
          <w:cantSplit/>
        </w:trPr>
        <w:tc>
          <w:tcPr>
            <w:tcW w:type="dxa" w:w="29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Dépôt et retrait via Holo</w:t>
            </w:r>
          </w:p>
        </w:tc>
        <w:tc>
          <w:tcPr>
            <w:tcW w:type="dxa" w:w="19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Service (</w:t>
            </w:r>
            <w:r>
              <w:rPr>
                <w:rFonts w:ascii="Consolas" w:cs="Consolas" w:eastAsia="Consolas" w:hAnsi="Consolas"/>
                <w:b w:val="false"/>
                <w:bCs w:val="false"/>
                <w:sz w:val="17"/>
                <w:szCs w:val="17"/>
              </w:rPr>
              <w:t xml:space="preserve">REQUEST</w:t>
            </w:r>
            <w:r>
              <w:rPr>
                <w:b w:val="false"/>
                <w:bCs w:val="false"/>
                <w:sz w:val="19"/>
                <w:szCs w:val="19"/>
              </w:rPr>
              <w:t xml:space="preserve">)</w:t>
            </w:r>
          </w:p>
        </w:tc>
        <w:tc>
          <w:tcPr>
            <w:tcW w:type="dxa" w:w="2272"/>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Générique</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Commander le service</w:t>
            </w:r>
          </w:p>
        </w:tc>
      </w:tr>
    </w:tbl>
    <w:p>
      <w:pPr>
        <w:spacing w:after="100"/>
      </w:pPr>
    </w:p>
    <w:p>
      <w:pPr>
        <w:spacing w:after="120" w:before="0"/>
      </w:pPr>
      <w:r>
        <w:t xml:space="preserve">Les prestations sont réalisées sur devis. Les services à la demande n’affichent pas de prix : le client décrit son besoin, l’agence traite la demande et communique le montant à régler.</w:t>
      </w:r>
    </w:p>
    <w:p>
      <w:pPr>
        <w:pStyle w:val="Heading1"/>
      </w:pPr>
      <w:r>
        <w:t xml:space="preserve">4. Règles de gestion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700"/>
        <w:gridCol w:w="8372"/>
      </w:tblGrid>
      <w:tr>
        <w:trPr>
          <w:cantSplit/>
          <w:tblHeader/>
        </w:trPr>
        <w:tc>
          <w:tcPr>
            <w:tcW w:type="dxa" w:w="700"/>
            <w:tcBorders>
              <w:top w:val="single" w:color="7F7F7F" w:sz="4"/>
              <w:left w:val="single" w:color="7F7F7F" w:sz="4"/>
              <w:bottom w:val="single" w:color="7F7F7F" w:sz="4"/>
              <w:right w:val="single" w:color="7F7F7F" w:sz="4"/>
            </w:tcBorders>
            <w:shd w:fill="D9D9D9" w:color="auto" w:val="clear"/>
            <w:tcMar>
              <w:top w:type="dxa" w:w="50"/>
              <w:left w:type="dxa" w:w="90"/>
              <w:bottom w:type="dxa" w:w="50"/>
              <w:right w:type="dxa" w:w="90"/>
            </w:tcMar>
          </w:tcPr>
          <w:p>
            <w:pPr>
              <w:spacing w:after="0"/>
            </w:pPr>
            <w:r>
              <w:rPr>
                <w:b/>
                <w:bCs/>
                <w:sz w:val="19"/>
                <w:szCs w:val="19"/>
              </w:rPr>
              <w:t xml:space="preserve">Règle</w:t>
            </w:r>
          </w:p>
        </w:tc>
        <w:tc>
          <w:tcPr>
            <w:tcW w:type="dxa" w:w="8372"/>
            <w:tcBorders>
              <w:top w:val="single" w:color="7F7F7F" w:sz="4"/>
              <w:left w:val="single" w:color="7F7F7F" w:sz="4"/>
              <w:bottom w:val="single" w:color="7F7F7F" w:sz="4"/>
              <w:right w:val="single" w:color="7F7F7F" w:sz="4"/>
            </w:tcBorders>
            <w:shd w:fill="D9D9D9" w:color="auto" w:val="clear"/>
            <w:tcMar>
              <w:top w:type="dxa" w:w="50"/>
              <w:left w:type="dxa" w:w="90"/>
              <w:bottom w:type="dxa" w:w="50"/>
              <w:right w:type="dxa" w:w="90"/>
            </w:tcMar>
          </w:tcPr>
          <w:p>
            <w:pPr>
              <w:spacing w:after="0"/>
            </w:pPr>
            <w:r>
              <w:rPr>
                <w:b/>
                <w:bCs/>
                <w:sz w:val="19"/>
                <w:szCs w:val="19"/>
              </w:rPr>
              <w:t xml:space="preserve">Énoncé</w:t>
            </w:r>
          </w:p>
        </w:tc>
      </w:tr>
      <w:tr>
        <w:trPr>
          <w:cantSplit/>
        </w:trPr>
        <w:tc>
          <w:tcPr>
            <w:tcW w:type="dxa" w:w="7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R1</w:t>
            </w:r>
          </w:p>
        </w:tc>
        <w:tc>
          <w:tcPr>
            <w:tcW w:type="dxa" w:w="8372"/>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bCs/>
                <w:sz w:val="19"/>
                <w:szCs w:val="19"/>
              </w:rPr>
              <w:t xml:space="preserve">Tarifs.</w:t>
            </w:r>
            <w:r>
              <w:rPr>
                <w:b w:val="false"/>
                <w:bCs w:val="false"/>
                <w:sz w:val="19"/>
                <w:szCs w:val="19"/>
              </w:rPr>
              <w:t xml:space="preserve"> Aucun tarif n’est affiché sur le site ni écrit dans le code de l’interface. Les prestations affichent « Demander un devis », les services à la demande « Commander le service ».</w:t>
            </w:r>
          </w:p>
        </w:tc>
      </w:tr>
      <w:tr>
        <w:trPr>
          <w:cantSplit/>
        </w:trPr>
        <w:tc>
          <w:tcPr>
            <w:tcW w:type="dxa" w:w="7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R2</w:t>
            </w:r>
          </w:p>
        </w:tc>
        <w:tc>
          <w:tcPr>
            <w:tcW w:type="dxa" w:w="8372"/>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bCs/>
                <w:sz w:val="19"/>
                <w:szCs w:val="19"/>
              </w:rPr>
              <w:t xml:space="preserve">Devis.</w:t>
            </w:r>
            <w:r>
              <w:rPr>
                <w:b w:val="false"/>
                <w:bCs w:val="false"/>
                <w:sz w:val="19"/>
                <w:szCs w:val="19"/>
              </w:rPr>
              <w:t xml:space="preserve"> Un devis est créé et envoyé uniquement par l’administration. Il est valable 15 jours par défaut (durée paramétrable). Une demande de modification donne lieu à une nouvelle version, l’ancienne restant consultable. L’acceptation se fait par un lien sécurisé et elle est tracée (date, nom saisi).</w:t>
            </w:r>
          </w:p>
        </w:tc>
      </w:tr>
      <w:tr>
        <w:trPr>
          <w:cantSplit/>
        </w:trPr>
        <w:tc>
          <w:tcPr>
            <w:tcW w:type="dxa" w:w="7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R3</w:t>
            </w:r>
          </w:p>
        </w:tc>
        <w:tc>
          <w:tcPr>
            <w:tcW w:type="dxa" w:w="8372"/>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bCs/>
                <w:sz w:val="19"/>
                <w:szCs w:val="19"/>
              </w:rPr>
              <w:t xml:space="preserve">Services à la demande.</w:t>
            </w:r>
            <w:r>
              <w:rPr>
                <w:b w:val="false"/>
                <w:bCs w:val="false"/>
                <w:sz w:val="19"/>
                <w:szCs w:val="19"/>
              </w:rPr>
              <w:t xml:space="preserve"> L’agence communique le montant par un devis simplifié (une ou quelques lignes) que le client accepte avant de payer. Le client voit le total, la part correspondant aux frais de l’agence, le mode de paiement et le délai prévu.</w:t>
            </w:r>
          </w:p>
        </w:tc>
      </w:tr>
      <w:tr>
        <w:trPr>
          <w:cantSplit/>
        </w:trPr>
        <w:tc>
          <w:tcPr>
            <w:tcW w:type="dxa" w:w="7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R4</w:t>
            </w:r>
          </w:p>
        </w:tc>
        <w:tc>
          <w:tcPr>
            <w:tcW w:type="dxa" w:w="8372"/>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bCs/>
                <w:sz w:val="19"/>
                <w:szCs w:val="19"/>
              </w:rPr>
              <w:t xml:space="preserve">Paiement.</w:t>
            </w:r>
            <w:r>
              <w:rPr>
                <w:b w:val="false"/>
                <w:bCs w:val="false"/>
                <w:sz w:val="19"/>
                <w:szCs w:val="19"/>
              </w:rPr>
              <w:t xml:space="preserve"> Un acompte est demandé pour les prestations (taux paramétrable), puis le solde. Pour les services financiers, rien n’est exécuté avant la confirmation du paiement.</w:t>
            </w:r>
          </w:p>
        </w:tc>
      </w:tr>
      <w:tr>
        <w:trPr>
          <w:cantSplit/>
        </w:trPr>
        <w:tc>
          <w:tcPr>
            <w:tcW w:type="dxa" w:w="7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R5</w:t>
            </w:r>
          </w:p>
        </w:tc>
        <w:tc>
          <w:tcPr>
            <w:tcW w:type="dxa" w:w="8372"/>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bCs/>
                <w:sz w:val="19"/>
                <w:szCs w:val="19"/>
              </w:rPr>
              <w:t xml:space="preserve">Revenus.</w:t>
            </w:r>
            <w:r>
              <w:rPr>
                <w:b w:val="false"/>
                <w:bCs w:val="false"/>
                <w:sz w:val="19"/>
                <w:szCs w:val="19"/>
              </w:rPr>
              <w:t xml:space="preserve"> On distingue les </w:t>
            </w:r>
            <w:r>
              <w:rPr>
                <w:b/>
                <w:bCs/>
                <w:sz w:val="19"/>
                <w:szCs w:val="19"/>
              </w:rPr>
              <w:t xml:space="preserve">sommes de passage</w:t>
            </w:r>
            <w:r>
              <w:rPr>
                <w:b w:val="false"/>
                <w:bCs w:val="false"/>
                <w:sz w:val="19"/>
                <w:szCs w:val="19"/>
              </w:rPr>
              <w:t xml:space="preserve"> (montant reversé à un tiers : transfert, abonnement, recharge, crédit) du </w:t>
            </w:r>
            <w:r>
              <w:rPr>
                <w:b/>
                <w:bCs/>
                <w:sz w:val="19"/>
                <w:szCs w:val="19"/>
              </w:rPr>
              <w:t xml:space="preserve">revenu de l’agence</w:t>
            </w:r>
            <w:r>
              <w:rPr>
                <w:b w:val="false"/>
                <w:bCs w:val="false"/>
                <w:sz w:val="19"/>
                <w:szCs w:val="19"/>
              </w:rPr>
              <w:t xml:space="preserve"> (prix de la prestation ou frais de service). Chaque ligne de devis porte l’indicateur </w:t>
            </w:r>
            <w:r>
              <w:rPr>
                <w:rFonts w:ascii="Consolas" w:cs="Consolas" w:eastAsia="Consolas" w:hAnsi="Consolas"/>
                <w:b w:val="false"/>
                <w:bCs w:val="false"/>
                <w:sz w:val="17"/>
                <w:szCs w:val="17"/>
              </w:rPr>
              <w:t xml:space="preserve">is_pass_through</w:t>
            </w:r>
            <w:r>
              <w:rPr>
                <w:b w:val="false"/>
                <w:bCs w:val="false"/>
                <w:sz w:val="19"/>
                <w:szCs w:val="19"/>
              </w:rPr>
              <w:t xml:space="preserve">.</w:t>
            </w:r>
          </w:p>
          <w:p>
            <w:pPr>
              <w:spacing w:after="0"/>
            </w:pPr>
            <w:r>
              <w:rPr>
                <w:b w:val="false"/>
                <w:bCs w:val="false"/>
                <w:sz w:val="19"/>
                <w:szCs w:val="19"/>
              </w:rPr>
              <w:t xml:space="preserve">Chiffre d’affaires = total des devis acceptés hors sommes de passage. Encaissé = paiements confirmés. Reste à encaisser = total des devis acceptés moins encaissé. Résultat = revenus encaissés de l’agence moins dépenses.</w:t>
            </w:r>
          </w:p>
          <w:p>
            <w:pPr>
              <w:spacing w:after="0"/>
            </w:pPr>
            <w:r>
              <w:rPr>
                <w:b w:val="false"/>
                <w:bCs w:val="false"/>
                <w:sz w:val="19"/>
                <w:szCs w:val="19"/>
              </w:rPr>
              <w:t xml:space="preserve">Exemple illustratif : recharge de 50 000 avec 2 000 de frais. Le client paie 52 000 ; le revenu de l’agence est de 2 000 ; 50 000 sont une somme de passage, qui n’entre ni dans le chiffre d’affaires ni dans les dépenses.</w:t>
            </w:r>
          </w:p>
        </w:tc>
      </w:tr>
      <w:tr>
        <w:trPr>
          <w:cantSplit/>
        </w:trPr>
        <w:tc>
          <w:tcPr>
            <w:tcW w:type="dxa" w:w="7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R6</w:t>
            </w:r>
          </w:p>
        </w:tc>
        <w:tc>
          <w:tcPr>
            <w:tcW w:type="dxa" w:w="8372"/>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bCs/>
                <w:sz w:val="19"/>
                <w:szCs w:val="19"/>
              </w:rPr>
              <w:t xml:space="preserve">Numérotation.</w:t>
            </w:r>
            <w:r>
              <w:rPr>
                <w:b w:val="false"/>
                <w:bCs w:val="false"/>
                <w:sz w:val="19"/>
                <w:szCs w:val="19"/>
              </w:rPr>
              <w:t xml:space="preserve"> Demande : </w:t>
            </w:r>
            <w:r>
              <w:rPr>
                <w:rFonts w:ascii="Consolas" w:cs="Consolas" w:eastAsia="Consolas" w:hAnsi="Consolas"/>
                <w:b w:val="false"/>
                <w:bCs w:val="false"/>
                <w:sz w:val="17"/>
                <w:szCs w:val="17"/>
              </w:rPr>
              <w:t xml:space="preserve">DZ-AAAA-NNNNNN</w:t>
            </w:r>
            <w:r>
              <w:rPr>
                <w:b w:val="false"/>
                <w:bCs w:val="false"/>
                <w:sz w:val="19"/>
                <w:szCs w:val="19"/>
              </w:rPr>
              <w:t xml:space="preserve">. Devis : </w:t>
            </w:r>
            <w:r>
              <w:rPr>
                <w:rFonts w:ascii="Consolas" w:cs="Consolas" w:eastAsia="Consolas" w:hAnsi="Consolas"/>
                <w:b w:val="false"/>
                <w:bCs w:val="false"/>
                <w:sz w:val="17"/>
                <w:szCs w:val="17"/>
              </w:rPr>
              <w:t xml:space="preserve">DV-AAAA-NNNNN</w:t>
            </w:r>
            <w:r>
              <w:rPr>
                <w:b w:val="false"/>
                <w:bCs w:val="false"/>
                <w:sz w:val="19"/>
                <w:szCs w:val="19"/>
              </w:rPr>
              <w:t xml:space="preserve">. Reçu : </w:t>
            </w:r>
            <w:r>
              <w:rPr>
                <w:rFonts w:ascii="Consolas" w:cs="Consolas" w:eastAsia="Consolas" w:hAnsi="Consolas"/>
                <w:b w:val="false"/>
                <w:bCs w:val="false"/>
                <w:sz w:val="17"/>
                <w:szCs w:val="17"/>
              </w:rPr>
              <w:t xml:space="preserve">RC-AAAA-NNNNN</w:t>
            </w:r>
            <w:r>
              <w:rPr>
                <w:b w:val="false"/>
                <w:bCs w:val="false"/>
                <w:sz w:val="19"/>
                <w:szCs w:val="19"/>
              </w:rPr>
              <w:t xml:space="preserve">. Les numéros sont produits par des séquences de la base et ne sont jamais réutilisés.</w:t>
            </w:r>
          </w:p>
        </w:tc>
      </w:tr>
      <w:tr>
        <w:trPr>
          <w:cantSplit/>
        </w:trPr>
        <w:tc>
          <w:tcPr>
            <w:tcW w:type="dxa" w:w="7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R7</w:t>
            </w:r>
          </w:p>
        </w:tc>
        <w:tc>
          <w:tcPr>
            <w:tcW w:type="dxa" w:w="8372"/>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bCs/>
                <w:sz w:val="19"/>
                <w:szCs w:val="19"/>
              </w:rPr>
              <w:t xml:space="preserve">Devise.</w:t>
            </w:r>
            <w:r>
              <w:rPr>
                <w:b w:val="false"/>
                <w:bCs w:val="false"/>
                <w:sz w:val="19"/>
                <w:szCs w:val="19"/>
              </w:rPr>
              <w:t xml:space="preserve"> Une devise de référence (à confirmer, § 15). Chaque montant porte sa devise. Une conversion éventuelle est saisie manuellement par l’administration avec le taux utilisé.</w:t>
            </w:r>
          </w:p>
        </w:tc>
      </w:tr>
      <w:tr>
        <w:trPr>
          <w:cantSplit/>
        </w:trPr>
        <w:tc>
          <w:tcPr>
            <w:tcW w:type="dxa" w:w="7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R8</w:t>
            </w:r>
          </w:p>
        </w:tc>
        <w:tc>
          <w:tcPr>
            <w:tcW w:type="dxa" w:w="8372"/>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bCs/>
                <w:sz w:val="19"/>
                <w:szCs w:val="19"/>
              </w:rPr>
              <w:t xml:space="preserve">Données financières.</w:t>
            </w:r>
            <w:r>
              <w:rPr>
                <w:b w:val="false"/>
                <w:bCs w:val="false"/>
                <w:sz w:val="19"/>
                <w:szCs w:val="19"/>
              </w:rPr>
              <w:t xml:space="preserve"> Aucun paiement, devis envoyé ni entrée du journal ne se supprime. Une correction passe par une annulation ou un remboursement enregistré.</w:t>
            </w:r>
          </w:p>
        </w:tc>
      </w:tr>
      <w:tr>
        <w:trPr>
          <w:cantSplit/>
        </w:trPr>
        <w:tc>
          <w:tcPr>
            <w:tcW w:type="dxa" w:w="7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R9</w:t>
            </w:r>
          </w:p>
        </w:tc>
        <w:tc>
          <w:tcPr>
            <w:tcW w:type="dxa" w:w="8372"/>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bCs/>
                <w:sz w:val="19"/>
                <w:szCs w:val="19"/>
              </w:rPr>
              <w:t xml:space="preserve">Bénéficiaire.</w:t>
            </w:r>
            <w:r>
              <w:rPr>
                <w:b w:val="false"/>
                <w:bCs w:val="false"/>
                <w:sz w:val="19"/>
                <w:szCs w:val="19"/>
              </w:rPr>
              <w:t xml:space="preserve"> Si la commande est « pour un proche », le bénéficiaire est obligatoire et rattaché au client. Sinon </w:t>
            </w:r>
            <w:r>
              <w:rPr>
                <w:rFonts w:ascii="Consolas" w:cs="Consolas" w:eastAsia="Consolas" w:hAnsi="Consolas"/>
                <w:b w:val="false"/>
                <w:bCs w:val="false"/>
                <w:sz w:val="17"/>
                <w:szCs w:val="17"/>
              </w:rPr>
              <w:t xml:space="preserve">beneficiary_id</w:t>
            </w:r>
            <w:r>
              <w:rPr>
                <w:b w:val="false"/>
                <w:bCs w:val="false"/>
                <w:sz w:val="19"/>
                <w:szCs w:val="19"/>
              </w:rPr>
              <w:t xml:space="preserve"> reste vide. Un bénéficiaire peut servir à plusieurs demandes.</w:t>
            </w:r>
          </w:p>
        </w:tc>
      </w:tr>
      <w:tr>
        <w:trPr>
          <w:cantSplit/>
        </w:trPr>
        <w:tc>
          <w:tcPr>
            <w:tcW w:type="dxa" w:w="7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R10</w:t>
            </w:r>
          </w:p>
        </w:tc>
        <w:tc>
          <w:tcPr>
            <w:tcW w:type="dxa" w:w="8372"/>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bCs/>
                <w:sz w:val="19"/>
                <w:szCs w:val="19"/>
              </w:rPr>
              <w:t xml:space="preserve">Demandes liées.</w:t>
            </w:r>
            <w:r>
              <w:rPr>
                <w:b w:val="false"/>
                <w:bCs w:val="false"/>
                <w:sz w:val="19"/>
                <w:szCs w:val="19"/>
              </w:rPr>
              <w:t xml:space="preserve"> Une séance photo associée à un mariage est une demande distincte reliée par </w:t>
            </w:r>
            <w:r>
              <w:rPr>
                <w:rFonts w:ascii="Consolas" w:cs="Consolas" w:eastAsia="Consolas" w:hAnsi="Consolas"/>
                <w:b w:val="false"/>
                <w:bCs w:val="false"/>
                <w:sz w:val="17"/>
                <w:szCs w:val="17"/>
              </w:rPr>
              <w:t xml:space="preserve">parent_request_id</w:t>
            </w:r>
            <w:r>
              <w:rPr>
                <w:b w:val="false"/>
                <w:bCs w:val="false"/>
                <w:sz w:val="19"/>
                <w:szCs w:val="19"/>
              </w:rPr>
              <w:t xml:space="preserve">. Chacune peut avoir son propre devis.</w:t>
            </w:r>
          </w:p>
        </w:tc>
      </w:tr>
      <w:tr>
        <w:trPr>
          <w:cantSplit/>
        </w:trPr>
        <w:tc>
          <w:tcPr>
            <w:tcW w:type="dxa" w:w="7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R11</w:t>
            </w:r>
          </w:p>
        </w:tc>
        <w:tc>
          <w:tcPr>
            <w:tcW w:type="dxa" w:w="8372"/>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bCs/>
                <w:sz w:val="19"/>
                <w:szCs w:val="19"/>
              </w:rPr>
              <w:t xml:space="preserve">Opérations financières.</w:t>
            </w:r>
            <w:r>
              <w:rPr>
                <w:b w:val="false"/>
                <w:bCs w:val="false"/>
                <w:sz w:val="19"/>
                <w:szCs w:val="19"/>
              </w:rPr>
              <w:t xml:space="preserve"> L’application enregistre, suit et justifie les opérations ; elle ne détient aucun fonds et ne simule aucune transaction. Le statut de l’agence pour le transfert d’argent, les dépôts et retraits et la vente de crédit doit être vérifié auprès de la réglementation locale et des opérateurs concernés avant la mise en ligne.</w:t>
            </w:r>
          </w:p>
        </w:tc>
      </w:tr>
    </w:tbl>
    <w:p>
      <w:pPr>
        <w:spacing w:after="100"/>
      </w:pPr>
    </w:p>
    <w:p>
      <w:pPr>
        <w:pStyle w:val="Heading1"/>
      </w:pPr>
      <w:r>
        <w:t xml:space="preserve">5. Acteurs et permissions</w:t>
      </w:r>
    </w:p>
    <w:p>
      <w:pPr>
        <w:spacing w:after="120" w:before="0"/>
      </w:pPr>
      <w:r>
        <w:t xml:space="preserve">Le visiteur n’a pas de compte. Le client n’a pas de compte non plus en V1 : il accède à sa demande et à ses devis par des liens à jeton. L’administration compte trois rôles. Il n’existe aucune inscription publique à l’administration : les comptes sont créés par le super-administrateur, et la double authentification est exigée pour les rôles </w:t>
      </w:r>
      <w:r>
        <w:rPr>
          <w:rFonts w:ascii="Consolas" w:cs="Consolas" w:eastAsia="Consolas" w:hAnsi="Consolas"/>
          <w:sz w:val="20"/>
          <w:szCs w:val="20"/>
        </w:rPr>
        <w:t xml:space="preserve">ADMIN</w:t>
      </w:r>
      <w:r>
        <w:t xml:space="preserve"> et </w:t>
      </w:r>
      <w:r>
        <w:rPr>
          <w:rFonts w:ascii="Consolas" w:cs="Consolas" w:eastAsia="Consolas" w:hAnsi="Consolas"/>
          <w:sz w:val="20"/>
          <w:szCs w:val="20"/>
        </w:rPr>
        <w:t xml:space="preserve">SUPER_ADMIN</w:t>
      </w:r>
      <w:r>
        <w:t xml:space="preserve">. La matrice ci-dessous est une proposition à valider.</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272"/>
        <w:gridCol w:w="1600"/>
        <w:gridCol w:w="1600"/>
        <w:gridCol w:w="1600"/>
      </w:tblGrid>
      <w:tr>
        <w:trPr>
          <w:cantSplit/>
          <w:tblHeader/>
        </w:trPr>
        <w:tc>
          <w:tcPr>
            <w:tcW w:type="dxa" w:w="4272"/>
            <w:tcBorders>
              <w:top w:val="single" w:color="7F7F7F" w:sz="4"/>
              <w:left w:val="single" w:color="7F7F7F" w:sz="4"/>
              <w:bottom w:val="single" w:color="7F7F7F" w:sz="4"/>
              <w:right w:val="single" w:color="7F7F7F" w:sz="4"/>
            </w:tcBorders>
            <w:shd w:fill="D9D9D9" w:color="auto" w:val="clear"/>
            <w:tcMar>
              <w:top w:type="dxa" w:w="50"/>
              <w:left w:type="dxa" w:w="90"/>
              <w:bottom w:type="dxa" w:w="50"/>
              <w:right w:type="dxa" w:w="90"/>
            </w:tcMar>
          </w:tcPr>
          <w:p>
            <w:pPr>
              <w:spacing w:after="0"/>
            </w:pPr>
            <w:r>
              <w:rPr>
                <w:b/>
                <w:bCs/>
                <w:sz w:val="19"/>
                <w:szCs w:val="19"/>
              </w:rPr>
              <w:t xml:space="preserve">Capacité</w:t>
            </w:r>
          </w:p>
        </w:tc>
        <w:tc>
          <w:tcPr>
            <w:tcW w:type="dxa" w:w="1600"/>
            <w:tcBorders>
              <w:top w:val="single" w:color="7F7F7F" w:sz="4"/>
              <w:left w:val="single" w:color="7F7F7F" w:sz="4"/>
              <w:bottom w:val="single" w:color="7F7F7F" w:sz="4"/>
              <w:right w:val="single" w:color="7F7F7F" w:sz="4"/>
            </w:tcBorders>
            <w:shd w:fill="D9D9D9" w:color="auto" w:val="clear"/>
            <w:tcMar>
              <w:top w:type="dxa" w:w="50"/>
              <w:left w:type="dxa" w:w="90"/>
              <w:bottom w:type="dxa" w:w="50"/>
              <w:right w:type="dxa" w:w="90"/>
            </w:tcMar>
          </w:tcPr>
          <w:p>
            <w:pPr>
              <w:spacing w:after="0"/>
            </w:pPr>
            <w:r>
              <w:rPr>
                <w:b/>
                <w:bCs/>
                <w:sz w:val="19"/>
                <w:szCs w:val="19"/>
              </w:rPr>
              <w:t xml:space="preserve">SUPER_ADMIN</w:t>
            </w:r>
          </w:p>
        </w:tc>
        <w:tc>
          <w:tcPr>
            <w:tcW w:type="dxa" w:w="1600"/>
            <w:tcBorders>
              <w:top w:val="single" w:color="7F7F7F" w:sz="4"/>
              <w:left w:val="single" w:color="7F7F7F" w:sz="4"/>
              <w:bottom w:val="single" w:color="7F7F7F" w:sz="4"/>
              <w:right w:val="single" w:color="7F7F7F" w:sz="4"/>
            </w:tcBorders>
            <w:shd w:fill="D9D9D9" w:color="auto" w:val="clear"/>
            <w:tcMar>
              <w:top w:type="dxa" w:w="50"/>
              <w:left w:type="dxa" w:w="90"/>
              <w:bottom w:type="dxa" w:w="50"/>
              <w:right w:type="dxa" w:w="90"/>
            </w:tcMar>
          </w:tcPr>
          <w:p>
            <w:pPr>
              <w:spacing w:after="0"/>
            </w:pPr>
            <w:r>
              <w:rPr>
                <w:b/>
                <w:bCs/>
                <w:sz w:val="19"/>
                <w:szCs w:val="19"/>
              </w:rPr>
              <w:t xml:space="preserve">ADMIN</w:t>
            </w:r>
          </w:p>
        </w:tc>
        <w:tc>
          <w:tcPr>
            <w:tcW w:type="dxa" w:w="1600"/>
            <w:tcBorders>
              <w:top w:val="single" w:color="7F7F7F" w:sz="4"/>
              <w:left w:val="single" w:color="7F7F7F" w:sz="4"/>
              <w:bottom w:val="single" w:color="7F7F7F" w:sz="4"/>
              <w:right w:val="single" w:color="7F7F7F" w:sz="4"/>
            </w:tcBorders>
            <w:shd w:fill="D9D9D9" w:color="auto" w:val="clear"/>
            <w:tcMar>
              <w:top w:type="dxa" w:w="50"/>
              <w:left w:type="dxa" w:w="90"/>
              <w:bottom w:type="dxa" w:w="50"/>
              <w:right w:type="dxa" w:w="90"/>
            </w:tcMar>
          </w:tcPr>
          <w:p>
            <w:pPr>
              <w:spacing w:after="0"/>
            </w:pPr>
            <w:r>
              <w:rPr>
                <w:b/>
                <w:bCs/>
                <w:sz w:val="19"/>
                <w:szCs w:val="19"/>
              </w:rPr>
              <w:t xml:space="preserve">AGENT</w:t>
            </w:r>
          </w:p>
        </w:tc>
      </w:tr>
      <w:tr>
        <w:trPr>
          <w:cantSplit/>
        </w:trPr>
        <w:tc>
          <w:tcPr>
            <w:tcW w:type="dxa" w:w="4272"/>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Consulter et traiter les demandes</w:t>
            </w:r>
          </w:p>
        </w:tc>
        <w:tc>
          <w:tcPr>
            <w:tcW w:type="dxa" w:w="16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Oui</w:t>
            </w:r>
          </w:p>
        </w:tc>
        <w:tc>
          <w:tcPr>
            <w:tcW w:type="dxa" w:w="16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Oui</w:t>
            </w:r>
          </w:p>
        </w:tc>
        <w:tc>
          <w:tcPr>
            <w:tcW w:type="dxa" w:w="16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Oui</w:t>
            </w:r>
          </w:p>
        </w:tc>
      </w:tr>
      <w:tr>
        <w:trPr>
          <w:cantSplit/>
        </w:trPr>
        <w:tc>
          <w:tcPr>
            <w:tcW w:type="dxa" w:w="4272"/>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Créer une demande manuelle</w:t>
            </w:r>
          </w:p>
        </w:tc>
        <w:tc>
          <w:tcPr>
            <w:tcW w:type="dxa" w:w="16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Oui</w:t>
            </w:r>
          </w:p>
        </w:tc>
        <w:tc>
          <w:tcPr>
            <w:tcW w:type="dxa" w:w="16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Oui</w:t>
            </w:r>
          </w:p>
        </w:tc>
        <w:tc>
          <w:tcPr>
            <w:tcW w:type="dxa" w:w="16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Oui</w:t>
            </w:r>
          </w:p>
        </w:tc>
      </w:tr>
      <w:tr>
        <w:trPr>
          <w:cantSplit/>
        </w:trPr>
        <w:tc>
          <w:tcPr>
            <w:tcW w:type="dxa" w:w="4272"/>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Créer et modifier un devis en brouillon</w:t>
            </w:r>
          </w:p>
        </w:tc>
        <w:tc>
          <w:tcPr>
            <w:tcW w:type="dxa" w:w="16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Oui</w:t>
            </w:r>
          </w:p>
        </w:tc>
        <w:tc>
          <w:tcPr>
            <w:tcW w:type="dxa" w:w="16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Oui</w:t>
            </w:r>
          </w:p>
        </w:tc>
        <w:tc>
          <w:tcPr>
            <w:tcW w:type="dxa" w:w="16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Oui</w:t>
            </w:r>
          </w:p>
        </w:tc>
      </w:tr>
      <w:tr>
        <w:trPr>
          <w:cantSplit/>
        </w:trPr>
        <w:tc>
          <w:tcPr>
            <w:tcW w:type="dxa" w:w="4272"/>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Envoyer un devis</w:t>
            </w:r>
          </w:p>
        </w:tc>
        <w:tc>
          <w:tcPr>
            <w:tcW w:type="dxa" w:w="16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Oui</w:t>
            </w:r>
          </w:p>
        </w:tc>
        <w:tc>
          <w:tcPr>
            <w:tcW w:type="dxa" w:w="16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Oui</w:t>
            </w:r>
          </w:p>
        </w:tc>
        <w:tc>
          <w:tcPr>
            <w:tcW w:type="dxa" w:w="16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Non</w:t>
            </w:r>
          </w:p>
        </w:tc>
      </w:tr>
      <w:tr>
        <w:trPr>
          <w:cantSplit/>
        </w:trPr>
        <w:tc>
          <w:tcPr>
            <w:tcW w:type="dxa" w:w="4272"/>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Enregistrer un paiement</w:t>
            </w:r>
          </w:p>
        </w:tc>
        <w:tc>
          <w:tcPr>
            <w:tcW w:type="dxa" w:w="16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Oui</w:t>
            </w:r>
          </w:p>
        </w:tc>
        <w:tc>
          <w:tcPr>
            <w:tcW w:type="dxa" w:w="16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Oui</w:t>
            </w:r>
          </w:p>
        </w:tc>
        <w:tc>
          <w:tcPr>
            <w:tcW w:type="dxa" w:w="16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Oui (en attente)</w:t>
            </w:r>
          </w:p>
        </w:tc>
      </w:tr>
      <w:tr>
        <w:trPr>
          <w:cantSplit/>
        </w:trPr>
        <w:tc>
          <w:tcPr>
            <w:tcW w:type="dxa" w:w="4272"/>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Confirmer un paiement</w:t>
            </w:r>
          </w:p>
        </w:tc>
        <w:tc>
          <w:tcPr>
            <w:tcW w:type="dxa" w:w="16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Oui</w:t>
            </w:r>
          </w:p>
        </w:tc>
        <w:tc>
          <w:tcPr>
            <w:tcW w:type="dxa" w:w="16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Oui</w:t>
            </w:r>
          </w:p>
        </w:tc>
        <w:tc>
          <w:tcPr>
            <w:tcW w:type="dxa" w:w="16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Non</w:t>
            </w:r>
          </w:p>
        </w:tc>
      </w:tr>
      <w:tr>
        <w:trPr>
          <w:cantSplit/>
        </w:trPr>
        <w:tc>
          <w:tcPr>
            <w:tcW w:type="dxa" w:w="4272"/>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Dépenses, finance et rapports</w:t>
            </w:r>
          </w:p>
        </w:tc>
        <w:tc>
          <w:tcPr>
            <w:tcW w:type="dxa" w:w="16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Oui</w:t>
            </w:r>
          </w:p>
        </w:tc>
        <w:tc>
          <w:tcPr>
            <w:tcW w:type="dxa" w:w="16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Oui</w:t>
            </w:r>
          </w:p>
        </w:tc>
        <w:tc>
          <w:tcPr>
            <w:tcW w:type="dxa" w:w="16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Non</w:t>
            </w:r>
          </w:p>
        </w:tc>
      </w:tr>
      <w:tr>
        <w:trPr>
          <w:cantSplit/>
        </w:trPr>
        <w:tc>
          <w:tcPr>
            <w:tcW w:type="dxa" w:w="4272"/>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Gérer les contenus et les réglages du site</w:t>
            </w:r>
          </w:p>
        </w:tc>
        <w:tc>
          <w:tcPr>
            <w:tcW w:type="dxa" w:w="16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Oui</w:t>
            </w:r>
          </w:p>
        </w:tc>
        <w:tc>
          <w:tcPr>
            <w:tcW w:type="dxa" w:w="16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Oui</w:t>
            </w:r>
          </w:p>
        </w:tc>
        <w:tc>
          <w:tcPr>
            <w:tcW w:type="dxa" w:w="16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Non</w:t>
            </w:r>
          </w:p>
        </w:tc>
      </w:tr>
      <w:tr>
        <w:trPr>
          <w:cantSplit/>
        </w:trPr>
        <w:tc>
          <w:tcPr>
            <w:tcW w:type="dxa" w:w="4272"/>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Gérer les utilisateurs et les rôles</w:t>
            </w:r>
          </w:p>
        </w:tc>
        <w:tc>
          <w:tcPr>
            <w:tcW w:type="dxa" w:w="16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Oui</w:t>
            </w:r>
          </w:p>
        </w:tc>
        <w:tc>
          <w:tcPr>
            <w:tcW w:type="dxa" w:w="16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Non</w:t>
            </w:r>
          </w:p>
        </w:tc>
        <w:tc>
          <w:tcPr>
            <w:tcW w:type="dxa" w:w="16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Non</w:t>
            </w:r>
          </w:p>
        </w:tc>
      </w:tr>
      <w:tr>
        <w:trPr>
          <w:cantSplit/>
        </w:trPr>
        <w:tc>
          <w:tcPr>
            <w:tcW w:type="dxa" w:w="4272"/>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Gérer le cachet de l’agence</w:t>
            </w:r>
          </w:p>
        </w:tc>
        <w:tc>
          <w:tcPr>
            <w:tcW w:type="dxa" w:w="16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Oui</w:t>
            </w:r>
          </w:p>
        </w:tc>
        <w:tc>
          <w:tcPr>
            <w:tcW w:type="dxa" w:w="16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Non</w:t>
            </w:r>
          </w:p>
        </w:tc>
        <w:tc>
          <w:tcPr>
            <w:tcW w:type="dxa" w:w="16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Non</w:t>
            </w:r>
          </w:p>
        </w:tc>
      </w:tr>
      <w:tr>
        <w:trPr>
          <w:cantSplit/>
        </w:trPr>
        <w:tc>
          <w:tcPr>
            <w:tcW w:type="dxa" w:w="4272"/>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Consulter le journal d’activité</w:t>
            </w:r>
          </w:p>
        </w:tc>
        <w:tc>
          <w:tcPr>
            <w:tcW w:type="dxa" w:w="16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Oui</w:t>
            </w:r>
          </w:p>
        </w:tc>
        <w:tc>
          <w:tcPr>
            <w:tcW w:type="dxa" w:w="16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Non</w:t>
            </w:r>
          </w:p>
        </w:tc>
        <w:tc>
          <w:tcPr>
            <w:tcW w:type="dxa" w:w="16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Non</w:t>
            </w:r>
          </w:p>
        </w:tc>
      </w:tr>
    </w:tbl>
    <w:p>
      <w:pPr>
        <w:spacing w:after="100"/>
      </w:pPr>
    </w:p>
    <w:p>
      <w:pPr>
        <w:pStyle w:val="Heading1"/>
      </w:pPr>
      <w:r>
        <w:t xml:space="preserve">6. Parcours</w:t>
      </w:r>
    </w:p>
    <w:p>
      <w:pPr>
        <w:pStyle w:val="Heading2"/>
      </w:pPr>
      <w:r>
        <w:t xml:space="preserve">6.1 Prestation sur devis</w:t>
      </w:r>
    </w:p>
    <w:p>
      <w:pPr>
        <w:pStyle w:val="ListParagraph"/>
        <w:numPr>
          <w:ilvl w:val="0"/>
          <w:numId w:val="3"/>
        </w:numPr>
        <w:spacing w:after="60"/>
      </w:pPr>
      <w:r>
        <w:t xml:space="preserve">Le visiteur choisit une prestation.</w:t>
      </w:r>
    </w:p>
    <w:p>
      <w:pPr>
        <w:pStyle w:val="ListParagraph"/>
        <w:numPr>
          <w:ilvl w:val="0"/>
          <w:numId w:val="3"/>
        </w:numPr>
        <w:spacing w:after="60"/>
      </w:pPr>
      <w:r>
        <w:t xml:space="preserve">Il remplit le formulaire dédié et envoie la demande.</w:t>
      </w:r>
    </w:p>
    <w:p>
      <w:pPr>
        <w:pStyle w:val="ListParagraph"/>
        <w:numPr>
          <w:ilvl w:val="0"/>
          <w:numId w:val="3"/>
        </w:numPr>
        <w:spacing w:after="60"/>
      </w:pPr>
      <w:r>
        <w:t xml:space="preserve">Le système enregistre la demande, attribue une référence et envoie une confirmation.</w:t>
      </w:r>
    </w:p>
    <w:p>
      <w:pPr>
        <w:pStyle w:val="ListParagraph"/>
        <w:numPr>
          <w:ilvl w:val="0"/>
          <w:numId w:val="3"/>
        </w:numPr>
        <w:spacing w:after="60"/>
      </w:pPr>
      <w:r>
        <w:t xml:space="preserve">L’agence étudie la demande et contacte le client si besoin.</w:t>
      </w:r>
    </w:p>
    <w:p>
      <w:pPr>
        <w:pStyle w:val="ListParagraph"/>
        <w:numPr>
          <w:ilvl w:val="0"/>
          <w:numId w:val="3"/>
        </w:numPr>
        <w:spacing w:after="60"/>
      </w:pPr>
      <w:r>
        <w:t xml:space="preserve">L’agence crée puis envoie le devis.</w:t>
      </w:r>
    </w:p>
    <w:p>
      <w:pPr>
        <w:pStyle w:val="ListParagraph"/>
        <w:numPr>
          <w:ilvl w:val="0"/>
          <w:numId w:val="3"/>
        </w:numPr>
        <w:spacing w:after="60"/>
      </w:pPr>
      <w:r>
        <w:t xml:space="preserve">Le client accepte, demande une modification ou refuse.</w:t>
      </w:r>
    </w:p>
    <w:p>
      <w:pPr>
        <w:pStyle w:val="ListParagraph"/>
        <w:numPr>
          <w:ilvl w:val="0"/>
          <w:numId w:val="3"/>
        </w:numPr>
        <w:spacing w:after="60"/>
      </w:pPr>
      <w:r>
        <w:t xml:space="preserve">L’acompte est payé puis confirmé par l’agence.</w:t>
      </w:r>
    </w:p>
    <w:p>
      <w:pPr>
        <w:pStyle w:val="ListParagraph"/>
        <w:numPr>
          <w:ilvl w:val="0"/>
          <w:numId w:val="3"/>
        </w:numPr>
        <w:spacing w:after="60"/>
      </w:pPr>
      <w:r>
        <w:t xml:space="preserve">La prestation est réalisée.</w:t>
      </w:r>
    </w:p>
    <w:p>
      <w:pPr>
        <w:pStyle w:val="ListParagraph"/>
        <w:numPr>
          <w:ilvl w:val="0"/>
          <w:numId w:val="3"/>
        </w:numPr>
        <w:spacing w:after="60"/>
      </w:pPr>
      <w:r>
        <w:t xml:space="preserve">Le solde est payé puis confirmé.</w:t>
      </w:r>
    </w:p>
    <w:p>
      <w:pPr>
        <w:pStyle w:val="ListParagraph"/>
        <w:numPr>
          <w:ilvl w:val="0"/>
          <w:numId w:val="3"/>
        </w:numPr>
        <w:spacing w:after="60"/>
      </w:pPr>
      <w:r>
        <w:t xml:space="preserve">La demande passe à l’état Terminée.</w:t>
      </w:r>
    </w:p>
    <w:p>
      <w:pPr>
        <w:pStyle w:val="Heading2"/>
      </w:pPr>
      <w:r>
        <w:t xml:space="preserve">6.2 Service à la demande</w:t>
      </w:r>
    </w:p>
    <w:p>
      <w:pPr>
        <w:pStyle w:val="ListParagraph"/>
        <w:numPr>
          <w:ilvl w:val="0"/>
          <w:numId w:val="4"/>
        </w:numPr>
        <w:spacing w:after="60"/>
      </w:pPr>
      <w:r>
        <w:t xml:space="preserve">Le client choisit le service.</w:t>
      </w:r>
    </w:p>
    <w:p>
      <w:pPr>
        <w:pStyle w:val="ListParagraph"/>
        <w:numPr>
          <w:ilvl w:val="0"/>
          <w:numId w:val="4"/>
        </w:numPr>
        <w:spacing w:after="60"/>
      </w:pPr>
      <w:r>
        <w:t xml:space="preserve">Il décrit son besoin et indique s’il commande pour lui ou pour un proche.</w:t>
      </w:r>
    </w:p>
    <w:p>
      <w:pPr>
        <w:pStyle w:val="ListParagraph"/>
        <w:numPr>
          <w:ilvl w:val="0"/>
          <w:numId w:val="4"/>
        </w:numPr>
        <w:spacing w:after="60"/>
      </w:pPr>
      <w:r>
        <w:t xml:space="preserve">Il envoie la demande.</w:t>
      </w:r>
    </w:p>
    <w:p>
      <w:pPr>
        <w:pStyle w:val="ListParagraph"/>
        <w:numPr>
          <w:ilvl w:val="0"/>
          <w:numId w:val="4"/>
        </w:numPr>
        <w:spacing w:after="60"/>
      </w:pPr>
      <w:r>
        <w:t xml:space="preserve">L’agence vérifie la demande et calcule le montant.</w:t>
      </w:r>
    </w:p>
    <w:p>
      <w:pPr>
        <w:pStyle w:val="ListParagraph"/>
        <w:numPr>
          <w:ilvl w:val="0"/>
          <w:numId w:val="4"/>
        </w:numPr>
        <w:spacing w:after="60"/>
      </w:pPr>
      <w:r>
        <w:t xml:space="preserve">L’agence envoie un devis simplifié.</w:t>
      </w:r>
    </w:p>
    <w:p>
      <w:pPr>
        <w:pStyle w:val="ListParagraph"/>
        <w:numPr>
          <w:ilvl w:val="0"/>
          <w:numId w:val="4"/>
        </w:numPr>
        <w:spacing w:after="60"/>
      </w:pPr>
      <w:r>
        <w:t xml:space="preserve">Le client accepte et paie.</w:t>
      </w:r>
    </w:p>
    <w:p>
      <w:pPr>
        <w:pStyle w:val="ListParagraph"/>
        <w:numPr>
          <w:ilvl w:val="0"/>
          <w:numId w:val="4"/>
        </w:numPr>
        <w:spacing w:after="60"/>
      </w:pPr>
      <w:r>
        <w:t xml:space="preserve">L’agence confirme le paiement.</w:t>
      </w:r>
    </w:p>
    <w:p>
      <w:pPr>
        <w:pStyle w:val="ListParagraph"/>
        <w:numPr>
          <w:ilvl w:val="0"/>
          <w:numId w:val="4"/>
        </w:numPr>
        <w:spacing w:after="60"/>
      </w:pPr>
      <w:r>
        <w:t xml:space="preserve">L’agence réalise le service.</w:t>
      </w:r>
    </w:p>
    <w:p>
      <w:pPr>
        <w:pStyle w:val="ListParagraph"/>
        <w:numPr>
          <w:ilvl w:val="0"/>
          <w:numId w:val="4"/>
        </w:numPr>
        <w:spacing w:after="60"/>
      </w:pPr>
      <w:r>
        <w:t xml:space="preserve">Le client reçoit la confirmation et le statut passe à Terminée.</w:t>
      </w:r>
    </w:p>
    <w:p>
      <w:pPr>
        <w:pStyle w:val="Heading2"/>
      </w:pPr>
      <w:r>
        <w:t xml:space="preserve">6.3 Commande pour un proche (diaspora)</w:t>
      </w:r>
    </w:p>
    <w:p>
      <w:pPr>
        <w:spacing w:after="120" w:before="0"/>
      </w:pPr>
      <w:r>
        <w:t xml:space="preserve">Dès le début de toute demande, la question « Pour qui ? » est posée : pour moi, ou pour un proche. Dans le second cas, les informations du bénéficiaire sont demandées en plus de celles du demandeur (§ 8.2). Le bénéficiaire est enregistré et rattaché au client : un même client peut en avoir plusieurs (mère, père, frère, sœur).</w:t>
      </w:r>
    </w:p>
    <w:p>
      <w:pPr>
        <w:pStyle w:val="Heading2"/>
      </w:pPr>
      <w:r>
        <w:t xml:space="preserve">6.4 Statuts d’une demande</w:t>
      </w:r>
    </w:p>
    <w:p>
      <w:pPr>
        <w:spacing w:after="120" w:before="0"/>
      </w:pPr>
      <w:r>
        <w:t xml:space="preserve">Les statuts internes sont plus fins que les libellés montrés au client. Le règlement est suivi à part par </w:t>
      </w:r>
      <w:r>
        <w:rPr>
          <w:rFonts w:ascii="Consolas" w:cs="Consolas" w:eastAsia="Consolas" w:hAnsi="Consolas"/>
          <w:sz w:val="20"/>
          <w:szCs w:val="20"/>
        </w:rPr>
        <w:t xml:space="preserve">payment_state</w:t>
      </w:r>
      <w:r>
        <w:t xml:space="preserve"> (</w:t>
      </w:r>
      <w:r>
        <w:rPr>
          <w:rFonts w:ascii="Consolas" w:cs="Consolas" w:eastAsia="Consolas" w:hAnsi="Consolas"/>
          <w:sz w:val="20"/>
          <w:szCs w:val="20"/>
        </w:rPr>
        <w:t xml:space="preserve">UNPAID</w:t>
      </w:r>
      <w:r>
        <w:t xml:space="preserve">, </w:t>
      </w:r>
      <w:r>
        <w:rPr>
          <w:rFonts w:ascii="Consolas" w:cs="Consolas" w:eastAsia="Consolas" w:hAnsi="Consolas"/>
          <w:sz w:val="20"/>
          <w:szCs w:val="20"/>
        </w:rPr>
        <w:t xml:space="preserve">PARTIAL</w:t>
      </w:r>
      <w:r>
        <w:t xml:space="preserve">, </w:t>
      </w:r>
      <w:r>
        <w:rPr>
          <w:rFonts w:ascii="Consolas" w:cs="Consolas" w:eastAsia="Consolas" w:hAnsi="Consolas"/>
          <w:sz w:val="20"/>
          <w:szCs w:val="20"/>
        </w:rPr>
        <w:t xml:space="preserve">PAID</w:t>
      </w:r>
      <w:r>
        <w:t xml:space="preserve">, </w:t>
      </w:r>
      <w:r>
        <w:rPr>
          <w:rFonts w:ascii="Consolas" w:cs="Consolas" w:eastAsia="Consolas" w:hAnsi="Consolas"/>
          <w:sz w:val="20"/>
          <w:szCs w:val="20"/>
        </w:rPr>
        <w:t xml:space="preserve">REFUNDED</w:t>
      </w:r>
      <w:r>
        <w:t xml:space="preserve">), calculé à partir des paiements confirmés et du devis accepté.</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472"/>
      </w:tblGrid>
      <w:tr>
        <w:trPr>
          <w:cantSplit/>
          <w:tblHeader/>
        </w:trPr>
        <w:tc>
          <w:tcPr>
            <w:tcW w:type="dxa" w:w="2000"/>
            <w:tcBorders>
              <w:top w:val="single" w:color="7F7F7F" w:sz="4"/>
              <w:left w:val="single" w:color="7F7F7F" w:sz="4"/>
              <w:bottom w:val="single" w:color="7F7F7F" w:sz="4"/>
              <w:right w:val="single" w:color="7F7F7F" w:sz="4"/>
            </w:tcBorders>
            <w:shd w:fill="D9D9D9" w:color="auto" w:val="clear"/>
            <w:tcMar>
              <w:top w:type="dxa" w:w="50"/>
              <w:left w:type="dxa" w:w="90"/>
              <w:bottom w:type="dxa" w:w="50"/>
              <w:right w:type="dxa" w:w="90"/>
            </w:tcMar>
          </w:tcPr>
          <w:p>
            <w:pPr>
              <w:spacing w:after="0"/>
            </w:pPr>
            <w:r>
              <w:rPr>
                <w:b/>
                <w:bCs/>
                <w:sz w:val="19"/>
                <w:szCs w:val="19"/>
              </w:rPr>
              <w:t xml:space="preserve">Statut interne</w:t>
            </w:r>
          </w:p>
        </w:tc>
        <w:tc>
          <w:tcPr>
            <w:tcW w:type="dxa" w:w="2600"/>
            <w:tcBorders>
              <w:top w:val="single" w:color="7F7F7F" w:sz="4"/>
              <w:left w:val="single" w:color="7F7F7F" w:sz="4"/>
              <w:bottom w:val="single" w:color="7F7F7F" w:sz="4"/>
              <w:right w:val="single" w:color="7F7F7F" w:sz="4"/>
            </w:tcBorders>
            <w:shd w:fill="D9D9D9" w:color="auto" w:val="clear"/>
            <w:tcMar>
              <w:top w:type="dxa" w:w="50"/>
              <w:left w:type="dxa" w:w="90"/>
              <w:bottom w:type="dxa" w:w="50"/>
              <w:right w:type="dxa" w:w="90"/>
            </w:tcMar>
          </w:tcPr>
          <w:p>
            <w:pPr>
              <w:spacing w:after="0"/>
            </w:pPr>
            <w:r>
              <w:rPr>
                <w:b/>
                <w:bCs/>
                <w:sz w:val="19"/>
                <w:szCs w:val="19"/>
              </w:rPr>
              <w:t xml:space="preserve">Libellé affiché au client</w:t>
            </w:r>
          </w:p>
        </w:tc>
        <w:tc>
          <w:tcPr>
            <w:tcW w:type="dxa" w:w="4472"/>
            <w:tcBorders>
              <w:top w:val="single" w:color="7F7F7F" w:sz="4"/>
              <w:left w:val="single" w:color="7F7F7F" w:sz="4"/>
              <w:bottom w:val="single" w:color="7F7F7F" w:sz="4"/>
              <w:right w:val="single" w:color="7F7F7F" w:sz="4"/>
            </w:tcBorders>
            <w:shd w:fill="D9D9D9" w:color="auto" w:val="clear"/>
            <w:tcMar>
              <w:top w:type="dxa" w:w="50"/>
              <w:left w:type="dxa" w:w="90"/>
              <w:bottom w:type="dxa" w:w="50"/>
              <w:right w:type="dxa" w:w="90"/>
            </w:tcMar>
          </w:tcPr>
          <w:p>
            <w:pPr>
              <w:spacing w:after="0"/>
            </w:pPr>
            <w:r>
              <w:rPr>
                <w:b/>
                <w:bCs/>
                <w:sz w:val="19"/>
                <w:szCs w:val="19"/>
              </w:rPr>
              <w:t xml:space="preserve">Remarque</w:t>
            </w:r>
          </w:p>
        </w:tc>
      </w:tr>
      <w:tr>
        <w:trPr>
          <w:cantSplit/>
        </w:trPr>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rFonts w:ascii="Consolas" w:cs="Consolas" w:eastAsia="Consolas" w:hAnsi="Consolas"/>
                <w:b w:val="false"/>
                <w:bCs w:val="false"/>
                <w:sz w:val="17"/>
                <w:szCs w:val="17"/>
              </w:rPr>
              <w:t xml:space="preserve">NEW</w:t>
            </w:r>
          </w:p>
        </w:tc>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Demande reçue</w:t>
            </w:r>
          </w:p>
        </w:tc>
        <w:tc>
          <w:tcPr>
            <w:tcW w:type="dxa" w:w="4472"/>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p>
        </w:tc>
      </w:tr>
      <w:tr>
        <w:trPr>
          <w:cantSplit/>
        </w:trPr>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rFonts w:ascii="Consolas" w:cs="Consolas" w:eastAsia="Consolas" w:hAnsi="Consolas"/>
                <w:b w:val="false"/>
                <w:bCs w:val="false"/>
                <w:sz w:val="17"/>
                <w:szCs w:val="17"/>
              </w:rPr>
              <w:t xml:space="preserve">IN_REVIEW</w:t>
            </w:r>
          </w:p>
        </w:tc>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En traitement</w:t>
            </w:r>
          </w:p>
        </w:tc>
        <w:tc>
          <w:tcPr>
            <w:tcW w:type="dxa" w:w="4472"/>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p>
        </w:tc>
      </w:tr>
      <w:tr>
        <w:trPr>
          <w:cantSplit/>
        </w:trPr>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rFonts w:ascii="Consolas" w:cs="Consolas" w:eastAsia="Consolas" w:hAnsi="Consolas"/>
                <w:b w:val="false"/>
                <w:bCs w:val="false"/>
                <w:sz w:val="17"/>
                <w:szCs w:val="17"/>
              </w:rPr>
              <w:t xml:space="preserve">QUOTE_SENT</w:t>
            </w:r>
          </w:p>
        </w:tc>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Devis envoyé</w:t>
            </w:r>
          </w:p>
        </w:tc>
        <w:tc>
          <w:tcPr>
            <w:tcW w:type="dxa" w:w="4472"/>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 Montant communiqué » pour un service à la demande</w:t>
            </w:r>
          </w:p>
        </w:tc>
      </w:tr>
      <w:tr>
        <w:trPr>
          <w:cantSplit/>
        </w:trPr>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rFonts w:ascii="Consolas" w:cs="Consolas" w:eastAsia="Consolas" w:hAnsi="Consolas"/>
                <w:b w:val="false"/>
                <w:bCs w:val="false"/>
                <w:sz w:val="17"/>
                <w:szCs w:val="17"/>
              </w:rPr>
              <w:t xml:space="preserve">ACCEPTED</w:t>
            </w:r>
          </w:p>
        </w:tc>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Acceptée</w:t>
            </w:r>
          </w:p>
        </w:tc>
        <w:tc>
          <w:tcPr>
            <w:tcW w:type="dxa" w:w="4472"/>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En attente de l’acompte ou du paiement</w:t>
            </w:r>
          </w:p>
        </w:tc>
      </w:tr>
      <w:tr>
        <w:trPr>
          <w:cantSplit/>
        </w:trPr>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rFonts w:ascii="Consolas" w:cs="Consolas" w:eastAsia="Consolas" w:hAnsi="Consolas"/>
                <w:b w:val="false"/>
                <w:bCs w:val="false"/>
                <w:sz w:val="17"/>
                <w:szCs w:val="17"/>
              </w:rPr>
              <w:t xml:space="preserve">IN_PROGRESS</w:t>
            </w:r>
          </w:p>
        </w:tc>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En cours</w:t>
            </w:r>
          </w:p>
        </w:tc>
        <w:tc>
          <w:tcPr>
            <w:tcW w:type="dxa" w:w="4472"/>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p>
        </w:tc>
      </w:tr>
      <w:tr>
        <w:trPr>
          <w:cantSplit/>
        </w:trPr>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rFonts w:ascii="Consolas" w:cs="Consolas" w:eastAsia="Consolas" w:hAnsi="Consolas"/>
                <w:b w:val="false"/>
                <w:bCs w:val="false"/>
                <w:sz w:val="17"/>
                <w:szCs w:val="17"/>
              </w:rPr>
              <w:t xml:space="preserve">COMPLETED</w:t>
            </w:r>
          </w:p>
        </w:tc>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Terminée</w:t>
            </w:r>
          </w:p>
        </w:tc>
        <w:tc>
          <w:tcPr>
            <w:tcW w:type="dxa" w:w="4472"/>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p>
        </w:tc>
      </w:tr>
      <w:tr>
        <w:trPr>
          <w:cantSplit/>
        </w:trPr>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rFonts w:ascii="Consolas" w:cs="Consolas" w:eastAsia="Consolas" w:hAnsi="Consolas"/>
                <w:b w:val="false"/>
                <w:bCs w:val="false"/>
                <w:sz w:val="17"/>
                <w:szCs w:val="17"/>
              </w:rPr>
              <w:t xml:space="preserve">REJECTED</w:t>
            </w:r>
          </w:p>
        </w:tc>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Refusée</w:t>
            </w:r>
          </w:p>
        </w:tc>
        <w:tc>
          <w:tcPr>
            <w:tcW w:type="dxa" w:w="4472"/>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Refus du devis par le client</w:t>
            </w:r>
          </w:p>
        </w:tc>
      </w:tr>
      <w:tr>
        <w:trPr>
          <w:cantSplit/>
        </w:trPr>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rFonts w:ascii="Consolas" w:cs="Consolas" w:eastAsia="Consolas" w:hAnsi="Consolas"/>
                <w:b w:val="false"/>
                <w:bCs w:val="false"/>
                <w:sz w:val="17"/>
                <w:szCs w:val="17"/>
              </w:rPr>
              <w:t xml:space="preserve">CANCELLED</w:t>
            </w:r>
          </w:p>
        </w:tc>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Annulée</w:t>
            </w:r>
          </w:p>
        </w:tc>
        <w:tc>
          <w:tcPr>
            <w:tcW w:type="dxa" w:w="4472"/>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Motif obligatoire</w:t>
            </w:r>
          </w:p>
        </w:tc>
      </w:tr>
      <w:tr>
        <w:trPr>
          <w:cantSplit/>
        </w:trPr>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rFonts w:ascii="Consolas" w:cs="Consolas" w:eastAsia="Consolas" w:hAnsi="Consolas"/>
                <w:b w:val="false"/>
                <w:bCs w:val="false"/>
                <w:sz w:val="17"/>
                <w:szCs w:val="17"/>
              </w:rPr>
              <w:t xml:space="preserve">EXPIRED</w:t>
            </w:r>
          </w:p>
        </w:tc>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Expirée</w:t>
            </w:r>
          </w:p>
        </w:tc>
        <w:tc>
          <w:tcPr>
            <w:tcW w:type="dxa" w:w="4472"/>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Devis non accepté à l’échéance</w:t>
            </w:r>
          </w:p>
        </w:tc>
      </w:tr>
    </w:tbl>
    <w:p>
      <w:pPr>
        <w:spacing w:after="100"/>
      </w:pPr>
    </w:p>
    <w:p>
      <w:pPr>
        <w:pStyle w:val="Heading1"/>
      </w:pPr>
      <w:r>
        <w:t xml:space="preserve">7. Site public</w:t>
      </w:r>
    </w:p>
    <w:p>
      <w:pPr>
        <w:pStyle w:val="Heading2"/>
      </w:pPr>
      <w:r>
        <w:t xml:space="preserve">7.1 Navigation et pages</w:t>
      </w:r>
    </w:p>
    <w:p>
      <w:pPr>
        <w:spacing w:after="120" w:before="0"/>
      </w:pPr>
      <w:r>
        <w:t xml:space="preserve">Barre de navigation : logo, puis Accueil, À propos, Services, Comment ça marche, Galerie, FAQ, Contact, et le bouton « Demander un service ». Sur mobile, un menu déroulant. L’identité visuelle (logo, couleurs, polices, motifs) suit la charte graphique de l’agence, détaillée au § 16. Un bouton WhatsApp reste visible sur toutes les pages, alimenté par les réglages. Le pied de page et la page de contact affichent les numéros de téléphone et l’e-mail de l’agence, lus dans les mêmes réglages.</w:t>
      </w:r>
    </w:p>
    <w:p>
      <w:pPr>
        <w:spacing w:after="120" w:before="0"/>
      </w:pPr>
      <w:r>
        <w:t xml:space="preserve">Pages : accueil ; à propos ; liste des services ; page de service (</w:t>
      </w:r>
      <w:r>
        <w:rPr>
          <w:rFonts w:ascii="Consolas" w:cs="Consolas" w:eastAsia="Consolas" w:hAnsi="Consolas"/>
          <w:sz w:val="20"/>
          <w:szCs w:val="20"/>
        </w:rPr>
        <w:t xml:space="preserve">/services/[slug</w:t>
      </w:r>
      <w:r>
        <w:t xml:space="preserve">]) ; comment ça marche ; galerie ; FAQ ; contact ; suivi de demande ; consultation et acceptation d’un devis ; mentions légales ; conditions (devis, acompte, annulation) ; politique de confidentialité.</w:t>
      </w:r>
    </w:p>
    <w:p>
      <w:pPr>
        <w:pStyle w:val="Heading2"/>
      </w:pPr>
      <w:r>
        <w:t xml:space="preserve">7.2 Page d’accueil</w:t>
      </w:r>
    </w:p>
    <w:p>
      <w:pPr>
        <w:spacing w:after="120" w:before="0"/>
      </w:pPr>
      <w:r>
        <w:t xml:space="preserve">Ordre des sections : navigation, bandeau d’accueil, section diaspora, services, comment ça marche, à propos, galerie, témoignages, FAQ, contact, pied de page.</w:t>
      </w:r>
    </w:p>
    <w:p>
      <w:pPr>
        <w:spacing w:after="120" w:before="0"/>
      </w:pPr>
      <w:r>
        <w:rPr>
          <w:b/>
          <w:bCs/>
        </w:rPr>
        <w:t xml:space="preserve">Bandeau d’accueil.</w:t>
      </w:r>
      <w:r>
        <w:t xml:space="preserve"> Titre : « Vos besoins sur place, même quand vous êtes loin. » Sous-titre : « Dz Multi-Services vous accompagne dans vos démarches, prestations et services du quotidien. Sur place ou depuis la diaspora, commandez pour vous ou pour vos proches. » Boutons : « Découvrir nos services » et « Commander pour un proche ».</w:t>
      </w:r>
    </w:p>
    <w:p>
      <w:pPr>
        <w:spacing w:after="120" w:before="0"/>
      </w:pPr>
      <w:r>
        <w:rPr>
          <w:b/>
          <w:bCs/>
        </w:rPr>
        <w:t xml:space="preserve">Section diaspora.</w:t>
      </w:r>
      <w:r>
        <w:t xml:space="preserve"> Titre : « Même loin, restez présent pour les vôtres. » Texte : « Vous vivez à l’étranger ? Commandez facilement un service pour votre famille ou vos proches sur place. » Un schéma en quatre étapes (commande en ligne, Dz Multi-Services, réalisation locale, famille) et le bouton « Commander pour un proche ».</w:t>
      </w:r>
    </w:p>
    <w:p>
      <w:pPr>
        <w:spacing w:after="120" w:before="0"/>
      </w:pPr>
      <w:r>
        <w:rPr>
          <w:b/>
          <w:bCs/>
        </w:rPr>
        <w:t xml:space="preserve">Services.</w:t>
      </w:r>
      <w:r>
        <w:t xml:space="preserve"> Cartes alimentées par la base : image, nom, catégorie, description courte, type et bouton. Rien n’est codé en dur dans les composants.</w:t>
      </w:r>
    </w:p>
    <w:p>
      <w:pPr>
        <w:pStyle w:val="Heading2"/>
      </w:pPr>
      <w:r>
        <w:t xml:space="preserve">7.3 Page de service</w:t>
      </w:r>
    </w:p>
    <w:p>
      <w:pPr>
        <w:spacing w:after="120" w:before="0"/>
      </w:pPr>
      <w:r>
        <w:t xml:space="preserve">Image, titre, description, prestations incluses, galerie, informations pratiques, FAQ éventuelle. Le bouton est « Demander un devis » pour une prestation et « Commander » pour un service à la demande. Tout le contenu provient de la base.</w:t>
      </w:r>
    </w:p>
    <w:p>
      <w:pPr>
        <w:pStyle w:val="Heading2"/>
      </w:pPr>
      <w:r>
        <w:t xml:space="preserve">7.4 Suivi de demande</w:t>
      </w:r>
    </w:p>
    <w:p>
      <w:pPr>
        <w:spacing w:after="120" w:before="0"/>
      </w:pPr>
      <w:r>
        <w:t xml:space="preserve">Après l’envoi, le client voit « Votre demande a bien été enregistrée » avec sa référence (exemple : DZ-2026-000125). Il reçoit par e-mail un lien de suivi personnel contenant un jeton aléatoire long. La page de suivi affiche le statut, l’historique visible, le devis à consulter ou accepter et les documents autorisés. La référence seule ne donne jamais accès à une demande. Une alternative « référence plus téléphone » est possible, avec limitation des tentatives, mais jamais comme seule protection.</w:t>
      </w:r>
    </w:p>
    <w:p>
      <w:pPr>
        <w:pStyle w:val="Heading2"/>
      </w:pPr>
      <w:r>
        <w:t xml:space="preserve">7.5 Référencement, mobile et langue</w:t>
      </w:r>
    </w:p>
    <w:p>
      <w:pPr>
        <w:spacing w:after="120" w:before="0"/>
      </w:pPr>
      <w:r>
        <w:t xml:space="preserve">Titre de page : « Dz Multi-Services | Services de proximité et commandes à distance ». Description : « Dz Multi-Services vous accompagne pour vos prestations, démarches et services du quotidien. Commandez pour vous ou pour vos proches depuis la diaspora. » Prévoir aussi Open Graph (image de partage à fond bordeaux), favicon (monogramme « dz »), plan du site, robots.txt, adresses propres et métadonnées par service. Le mobile est prioritaire : formulaires confortables au pouce, images optimisées, fonctionnement correct sur connexion lente. Le site est en français ; d’autres langues relèvent de la V3.</w:t>
      </w:r>
    </w:p>
    <w:p>
      <w:pPr>
        <w:pStyle w:val="Heading1"/>
      </w:pPr>
      <w:r>
        <w:t xml:space="preserve">8. Formulaires</w:t>
      </w:r>
    </w:p>
    <w:p>
      <w:pPr>
        <w:pStyle w:val="Heading2"/>
      </w:pPr>
      <w:r>
        <w:t xml:space="preserve">8.1 Principes communs</w:t>
      </w:r>
    </w:p>
    <w:p>
      <w:pPr>
        <w:pStyle w:val="ListParagraph"/>
        <w:numPr>
          <w:ilvl w:val="0"/>
          <w:numId w:val="2"/>
        </w:numPr>
        <w:spacing w:after="60"/>
      </w:pPr>
      <w:r>
        <w:t xml:space="preserve">Étapes courtes avec indicateur de progression et récapitulatif avant l’envoi.</w:t>
      </w:r>
    </w:p>
    <w:p>
      <w:pPr>
        <w:pStyle w:val="ListParagraph"/>
        <w:numPr>
          <w:ilvl w:val="0"/>
          <w:numId w:val="2"/>
        </w:numPr>
        <w:spacing w:after="60"/>
      </w:pPr>
      <w:r>
        <w:t xml:space="preserve">React Hook Form avec Zod ; les mêmes schémas servent côté navigateur et côté serveur. Messages d’erreur en français.</w:t>
      </w:r>
    </w:p>
    <w:p>
      <w:pPr>
        <w:pStyle w:val="ListParagraph"/>
        <w:numPr>
          <w:ilvl w:val="0"/>
          <w:numId w:val="2"/>
        </w:numPr>
        <w:spacing w:after="60"/>
      </w:pPr>
      <w:r>
        <w:t xml:space="preserve">Brouillon conservé sur l’appareil pour le formulaire de mariage, qui est long.</w:t>
      </w:r>
    </w:p>
    <w:p>
      <w:pPr>
        <w:pStyle w:val="ListParagraph"/>
        <w:numPr>
          <w:ilvl w:val="0"/>
          <w:numId w:val="2"/>
        </w:numPr>
        <w:spacing w:after="60"/>
      </w:pPr>
      <w:r>
        <w:t xml:space="preserve">Téléphones saisis avec l’indicatif du pays et enregistrés au format international.</w:t>
      </w:r>
    </w:p>
    <w:p>
      <w:pPr>
        <w:pStyle w:val="ListParagraph"/>
        <w:numPr>
          <w:ilvl w:val="0"/>
          <w:numId w:val="2"/>
        </w:numPr>
        <w:spacing w:after="60"/>
      </w:pPr>
      <w:r>
        <w:t xml:space="preserve">Fichiers : types autorisés (images, PDF, documents courants), taille maximale paramétrable. Pour les vidéos volumineuses, un lien est demandé plutôt qu’un fichier.</w:t>
      </w:r>
    </w:p>
    <w:p>
      <w:pPr>
        <w:pStyle w:val="ListParagraph"/>
        <w:numPr>
          <w:ilvl w:val="0"/>
          <w:numId w:val="2"/>
        </w:numPr>
        <w:spacing w:after="60"/>
      </w:pPr>
      <w:r>
        <w:t xml:space="preserve">Case de consentement obligatoire sur le traitement des données, avec mention du bénéficiaire.</w:t>
      </w:r>
    </w:p>
    <w:p>
      <w:pPr>
        <w:pStyle w:val="ListParagraph"/>
        <w:numPr>
          <w:ilvl w:val="0"/>
          <w:numId w:val="2"/>
        </w:numPr>
        <w:spacing w:after="60"/>
      </w:pPr>
      <w:r>
        <w:t xml:space="preserve">Anti-spam et limitation de débit sur tous les envois.</w:t>
      </w:r>
    </w:p>
    <w:p>
      <w:pPr>
        <w:pStyle w:val="Heading2"/>
      </w:pPr>
      <w:r>
        <w:t xml:space="preserve">8.2 Bloc commun « Pour qui ? »</w:t>
      </w:r>
    </w:p>
    <w:p>
      <w:pPr>
        <w:spacing w:after="60" w:before="0"/>
      </w:pPr>
      <w:r>
        <w:rPr>
          <w:b/>
          <w:bCs/>
        </w:rPr>
        <w:t xml:space="preserve">Demandeur :</w:t>
      </w:r>
      <w:r>
        <w:t xml:space="preserve"> nom, prénom, pays, ville, téléphone, WhatsApp, e-mail.</w:t>
      </w:r>
    </w:p>
    <w:p>
      <w:pPr>
        <w:spacing w:after="120" w:before="0"/>
      </w:pPr>
      <w:r>
        <w:rPr>
          <w:b/>
          <w:bCs/>
        </w:rPr>
        <w:t xml:space="preserve">Bénéficiaire (si « pour un proche ») :</w:t>
      </w:r>
      <w:r>
        <w:t xml:space="preserve"> nom, prénom, téléphone, WhatsApp, ville, région, adresse, relation avec le demandeur.</w:t>
      </w:r>
    </w:p>
    <w:p>
      <w:pPr>
        <w:pStyle w:val="Heading2"/>
      </w:pPr>
      <w:r>
        <w:t xml:space="preserve">8.3 Prestation de mariage</w:t>
      </w:r>
    </w:p>
    <w:p>
      <w:pPr>
        <w:spacing w:after="120" w:before="0"/>
      </w:pPr>
      <w:r>
        <w:t xml:space="preserve">Ce formulaire reprend la fiche papier « Prestation du mariage » de l’agence. C’est le premier formulaire métier complexe, et il sert de modèle aux autres.</w:t>
      </w:r>
    </w:p>
    <w:p>
      <w:pPr>
        <w:pStyle w:val="ListParagraph"/>
        <w:numPr>
          <w:ilvl w:val="0"/>
          <w:numId w:val="5"/>
        </w:numPr>
        <w:spacing w:after="60"/>
      </w:pPr>
      <w:r>
        <w:rPr>
          <w:b/>
          <w:bCs/>
        </w:rPr>
        <w:t xml:space="preserve">Client :</w:t>
      </w:r>
      <w:r>
        <w:t xml:space="preserve"> nom et prénom, ville, région, téléphone (champs de la fiche papier), complétés par le pays, le WhatsApp et l’e-mail pour les clients à l’étranger. Type de demandeur : marié, mariée, parent, membre de la famille, proche, organisateur, autre.</w:t>
      </w:r>
    </w:p>
    <w:p>
      <w:pPr>
        <w:pStyle w:val="ListParagraph"/>
        <w:numPr>
          <w:ilvl w:val="0"/>
          <w:numId w:val="5"/>
        </w:numPr>
        <w:spacing w:after="60"/>
      </w:pPr>
      <w:r>
        <w:rPr>
          <w:b/>
          <w:bCs/>
        </w:rPr>
        <w:t xml:space="preserve">Pour qui ?</w:t>
      </w:r>
      <w:r>
        <w:t xml:space="preserve"> et bénéficiaire éventuel (§ 8.2).</w:t>
      </w:r>
    </w:p>
    <w:p>
      <w:pPr>
        <w:pStyle w:val="ListParagraph"/>
        <w:numPr>
          <w:ilvl w:val="0"/>
          <w:numId w:val="5"/>
        </w:numPr>
        <w:spacing w:after="60"/>
      </w:pPr>
      <w:r>
        <w:rPr>
          <w:b/>
          <w:bCs/>
        </w:rPr>
        <w:t xml:space="preserve">Mariés :</w:t>
      </w:r>
      <w:r>
        <w:t xml:space="preserve"> noms et prénoms des mariés, nom de Boina Harus, nom de Bibi Harus.</w:t>
      </w:r>
    </w:p>
    <w:p>
      <w:pPr>
        <w:pStyle w:val="ListParagraph"/>
        <w:numPr>
          <w:ilvl w:val="0"/>
          <w:numId w:val="5"/>
        </w:numPr>
        <w:spacing w:after="60"/>
      </w:pPr>
      <w:r>
        <w:rPr>
          <w:b/>
          <w:bCs/>
        </w:rPr>
        <w:t xml:space="preserve">Lieu et dates :</w:t>
      </w:r>
      <w:r>
        <w:t xml:space="preserve"> lieu de la prestation, date de début, date de fin.</w:t>
      </w:r>
    </w:p>
    <w:p>
      <w:pPr>
        <w:pStyle w:val="ListParagraph"/>
        <w:numPr>
          <w:ilvl w:val="0"/>
          <w:numId w:val="5"/>
        </w:numPr>
        <w:spacing w:after="60"/>
      </w:pPr>
      <w:r>
        <w:rPr>
          <w:b/>
          <w:bCs/>
        </w:rPr>
        <w:t xml:space="preserve">Prestations à cocher :</w:t>
      </w:r>
      <w:r>
        <w:t xml:space="preserve"> Grand Mariage, Karam, Mdhwahirisho, Pao, Mambizo. Cette liste est connue et ne change que par l’administration. Le client peut aussi ajouter une prestation libre, avec son propre intitulé, autant de fois que nécessaire.</w:t>
      </w:r>
    </w:p>
    <w:p>
      <w:pPr>
        <w:pStyle w:val="ListParagraph"/>
        <w:numPr>
          <w:ilvl w:val="0"/>
          <w:numId w:val="5"/>
        </w:numPr>
        <w:spacing w:after="60"/>
      </w:pPr>
      <w:r>
        <w:rPr>
          <w:b/>
          <w:bCs/>
        </w:rPr>
        <w:t xml:space="preserve">Programme :</w:t>
      </w:r>
      <w:r>
        <w:t xml:space="preserve"> pour chaque prestation cochée, les jours et heures de prestation. Le client choisit la date dans la période indiquée ; le jour de la semaine (du dimanche au samedi) s’affiche automatiquement, comme sur la fiche papier. Une prestation peut s’étendre sur plusieurs jours, une heure de fin peut tomber le lendemain, et le bouton « Ajouter une journée » ajoute une ligne.</w:t>
      </w:r>
    </w:p>
    <w:p>
      <w:pPr>
        <w:pStyle w:val="ListParagraph"/>
        <w:numPr>
          <w:ilvl w:val="0"/>
          <w:numId w:val="5"/>
        </w:numPr>
        <w:spacing w:after="60"/>
      </w:pPr>
      <w:r>
        <w:rPr>
          <w:b/>
          <w:bCs/>
        </w:rPr>
        <w:t xml:space="preserve">Séance photo</w:t>
      </w:r>
      <w:r>
        <w:t xml:space="preserve"> (facultative) : grille de numéros de 1 à 30, comme sur la fiche papier (§ 8.4).</w:t>
      </w:r>
    </w:p>
    <w:p>
      <w:pPr>
        <w:pStyle w:val="ListParagraph"/>
        <w:numPr>
          <w:ilvl w:val="0"/>
          <w:numId w:val="5"/>
        </w:numPr>
        <w:spacing w:after="60"/>
      </w:pPr>
      <w:r>
        <w:rPr>
          <w:b/>
          <w:bCs/>
        </w:rPr>
        <w:t xml:space="preserve">Remarques et fichiers :</w:t>
      </w:r>
      <w:r>
        <w:t xml:space="preserve"> carton d’invitation, programme, indications particulières.</w:t>
      </w:r>
    </w:p>
    <w:p>
      <w:pPr>
        <w:pStyle w:val="ListParagraph"/>
        <w:numPr>
          <w:ilvl w:val="0"/>
          <w:numId w:val="5"/>
        </w:numPr>
        <w:spacing w:after="60"/>
      </w:pPr>
      <w:r>
        <w:rPr>
          <w:b/>
          <w:bCs/>
        </w:rPr>
        <w:t xml:space="preserve">Récapitulatif</w:t>
      </w:r>
      <w:r>
        <w:t xml:space="preserve">, consentement et envoi.</w:t>
      </w:r>
    </w:p>
    <w:p>
      <w:pPr>
        <w:keepNext/>
        <w:spacing w:after="60" w:before="100"/>
      </w:pPr>
      <w:r>
        <w:t xml:space="preserve">Exemple de programme :</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200"/>
        <w:gridCol w:w="1400"/>
        <w:gridCol w:w="2472"/>
      </w:tblGrid>
      <w:tr>
        <w:trPr>
          <w:cantSplit/>
          <w:tblHeader/>
        </w:trPr>
        <w:tc>
          <w:tcPr>
            <w:tcW w:type="dxa" w:w="2400"/>
            <w:tcBorders>
              <w:top w:val="single" w:color="7F7F7F" w:sz="4"/>
              <w:left w:val="single" w:color="7F7F7F" w:sz="4"/>
              <w:bottom w:val="single" w:color="7F7F7F" w:sz="4"/>
              <w:right w:val="single" w:color="7F7F7F" w:sz="4"/>
            </w:tcBorders>
            <w:shd w:fill="D9D9D9" w:color="auto" w:val="clear"/>
            <w:tcMar>
              <w:top w:type="dxa" w:w="50"/>
              <w:left w:type="dxa" w:w="90"/>
              <w:bottom w:type="dxa" w:w="50"/>
              <w:right w:type="dxa" w:w="90"/>
            </w:tcMar>
          </w:tcPr>
          <w:p>
            <w:pPr>
              <w:spacing w:after="0"/>
            </w:pPr>
            <w:r>
              <w:rPr>
                <w:b/>
                <w:bCs/>
                <w:sz w:val="19"/>
                <w:szCs w:val="19"/>
              </w:rPr>
              <w:t xml:space="preserve">Prestation</w:t>
            </w:r>
          </w:p>
        </w:tc>
        <w:tc>
          <w:tcPr>
            <w:tcW w:type="dxa" w:w="1600"/>
            <w:tcBorders>
              <w:top w:val="single" w:color="7F7F7F" w:sz="4"/>
              <w:left w:val="single" w:color="7F7F7F" w:sz="4"/>
              <w:bottom w:val="single" w:color="7F7F7F" w:sz="4"/>
              <w:right w:val="single" w:color="7F7F7F" w:sz="4"/>
            </w:tcBorders>
            <w:shd w:fill="D9D9D9" w:color="auto" w:val="clear"/>
            <w:tcMar>
              <w:top w:type="dxa" w:w="50"/>
              <w:left w:type="dxa" w:w="90"/>
              <w:bottom w:type="dxa" w:w="50"/>
              <w:right w:type="dxa" w:w="90"/>
            </w:tcMar>
          </w:tcPr>
          <w:p>
            <w:pPr>
              <w:spacing w:after="0"/>
            </w:pPr>
            <w:r>
              <w:rPr>
                <w:b/>
                <w:bCs/>
                <w:sz w:val="19"/>
                <w:szCs w:val="19"/>
              </w:rPr>
              <w:t xml:space="preserve">Jour</w:t>
            </w:r>
          </w:p>
        </w:tc>
        <w:tc>
          <w:tcPr>
            <w:tcW w:type="dxa" w:w="1200"/>
            <w:tcBorders>
              <w:top w:val="single" w:color="7F7F7F" w:sz="4"/>
              <w:left w:val="single" w:color="7F7F7F" w:sz="4"/>
              <w:bottom w:val="single" w:color="7F7F7F" w:sz="4"/>
              <w:right w:val="single" w:color="7F7F7F" w:sz="4"/>
            </w:tcBorders>
            <w:shd w:fill="D9D9D9" w:color="auto" w:val="clear"/>
            <w:tcMar>
              <w:top w:type="dxa" w:w="50"/>
              <w:left w:type="dxa" w:w="90"/>
              <w:bottom w:type="dxa" w:w="50"/>
              <w:right w:type="dxa" w:w="90"/>
            </w:tcMar>
          </w:tcPr>
          <w:p>
            <w:pPr>
              <w:spacing w:after="0"/>
            </w:pPr>
            <w:r>
              <w:rPr>
                <w:b/>
                <w:bCs/>
                <w:sz w:val="19"/>
                <w:szCs w:val="19"/>
              </w:rPr>
              <w:t xml:space="preserve">Date</w:t>
            </w:r>
          </w:p>
        </w:tc>
        <w:tc>
          <w:tcPr>
            <w:tcW w:type="dxa" w:w="1400"/>
            <w:tcBorders>
              <w:top w:val="single" w:color="7F7F7F" w:sz="4"/>
              <w:left w:val="single" w:color="7F7F7F" w:sz="4"/>
              <w:bottom w:val="single" w:color="7F7F7F" w:sz="4"/>
              <w:right w:val="single" w:color="7F7F7F" w:sz="4"/>
            </w:tcBorders>
            <w:shd w:fill="D9D9D9" w:color="auto" w:val="clear"/>
            <w:tcMar>
              <w:top w:type="dxa" w:w="50"/>
              <w:left w:type="dxa" w:w="90"/>
              <w:bottom w:type="dxa" w:w="50"/>
              <w:right w:type="dxa" w:w="90"/>
            </w:tcMar>
          </w:tcPr>
          <w:p>
            <w:pPr>
              <w:spacing w:after="0"/>
            </w:pPr>
            <w:r>
              <w:rPr>
                <w:b/>
                <w:bCs/>
                <w:sz w:val="19"/>
                <w:szCs w:val="19"/>
              </w:rPr>
              <w:t xml:space="preserve">Début</w:t>
            </w:r>
          </w:p>
        </w:tc>
        <w:tc>
          <w:tcPr>
            <w:tcW w:type="dxa" w:w="2472"/>
            <w:tcBorders>
              <w:top w:val="single" w:color="7F7F7F" w:sz="4"/>
              <w:left w:val="single" w:color="7F7F7F" w:sz="4"/>
              <w:bottom w:val="single" w:color="7F7F7F" w:sz="4"/>
              <w:right w:val="single" w:color="7F7F7F" w:sz="4"/>
            </w:tcBorders>
            <w:shd w:fill="D9D9D9" w:color="auto" w:val="clear"/>
            <w:tcMar>
              <w:top w:type="dxa" w:w="50"/>
              <w:left w:type="dxa" w:w="90"/>
              <w:bottom w:type="dxa" w:w="50"/>
              <w:right w:type="dxa" w:w="90"/>
            </w:tcMar>
          </w:tcPr>
          <w:p>
            <w:pPr>
              <w:spacing w:after="0"/>
            </w:pPr>
            <w:r>
              <w:rPr>
                <w:b/>
                <w:bCs/>
                <w:sz w:val="19"/>
                <w:szCs w:val="19"/>
              </w:rPr>
              <w:t xml:space="preserve">Fin</w:t>
            </w:r>
          </w:p>
        </w:tc>
      </w:tr>
      <w:tr>
        <w:trPr>
          <w:cantSplit/>
        </w:trPr>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Pao</w:t>
            </w:r>
          </w:p>
        </w:tc>
        <w:tc>
          <w:tcPr>
            <w:tcW w:type="dxa" w:w="16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Vendredi</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20/11</w:t>
            </w:r>
          </w:p>
        </w:tc>
        <w:tc>
          <w:tcPr>
            <w:tcW w:type="dxa" w:w="14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18:00</w:t>
            </w:r>
          </w:p>
        </w:tc>
        <w:tc>
          <w:tcPr>
            <w:tcW w:type="dxa" w:w="2472"/>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23:00</w:t>
            </w:r>
          </w:p>
        </w:tc>
      </w:tr>
      <w:tr>
        <w:trPr>
          <w:cantSplit/>
        </w:trPr>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Grand Mariage</w:t>
            </w:r>
          </w:p>
        </w:tc>
        <w:tc>
          <w:tcPr>
            <w:tcW w:type="dxa" w:w="16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Samedi</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21/11</w:t>
            </w:r>
          </w:p>
        </w:tc>
        <w:tc>
          <w:tcPr>
            <w:tcW w:type="dxa" w:w="14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10:00</w:t>
            </w:r>
          </w:p>
        </w:tc>
        <w:tc>
          <w:tcPr>
            <w:tcW w:type="dxa" w:w="2472"/>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02:00 (lendemain)</w:t>
            </w:r>
          </w:p>
        </w:tc>
      </w:tr>
    </w:tbl>
    <w:p>
      <w:pPr>
        <w:spacing w:after="100"/>
      </w:pPr>
    </w:p>
    <w:p>
      <w:pPr>
        <w:spacing w:after="120" w:before="0"/>
      </w:pPr>
      <w:r>
        <w:t xml:space="preserve">Le même programme est repris sur la fiche de prestation en PDF (§ 9.6).</w:t>
      </w:r>
    </w:p>
    <w:p>
      <w:pPr>
        <w:pStyle w:val="Heading2"/>
      </w:pPr>
      <w:r>
        <w:t xml:space="preserve">8.4 Séance photo</w:t>
      </w:r>
    </w:p>
    <w:p>
      <w:pPr>
        <w:spacing w:after="120" w:before="0"/>
      </w:pPr>
      <w:r>
        <w:t xml:space="preserve">Dans le formulaire de mariage, la séance photo est une section facultative : une grille de numéros de 1 à 30, dont le client sélectionne un ou plusieurs. Le champ est enregistré comme une liste de numéros. Son intitulé à l’écran dépend de la signification de ces numéros, à confirmer avec l’agence (§ 15).</w:t>
      </w:r>
    </w:p>
    <w:p>
      <w:pPr>
        <w:spacing w:after="120" w:before="0"/>
      </w:pPr>
      <w:r>
        <w:t xml:space="preserve">La séance photo existe aussi seule, hors mariage : type de séance, date, heure, lieu, nombre de personnes, informations complémentaires, fichiers d’inspiration. Elle forme alors une demande à part, qui peut être liée à un mariage (R10).</w:t>
      </w:r>
    </w:p>
    <w:p>
      <w:pPr>
        <w:pStyle w:val="Heading2"/>
      </w:pPr>
      <w:r>
        <w:t xml:space="preserve">8.5 Spot publicitaire</w:t>
      </w:r>
    </w:p>
    <w:p>
      <w:pPr>
        <w:pStyle w:val="ListParagraph"/>
        <w:numPr>
          <w:ilvl w:val="0"/>
          <w:numId w:val="2"/>
        </w:numPr>
        <w:spacing w:after="60"/>
      </w:pPr>
      <w:r>
        <w:rPr>
          <w:b/>
          <w:bCs/>
        </w:rPr>
        <w:t xml:space="preserve">Entreprise :</w:t>
      </w:r>
      <w:r>
        <w:t xml:space="preserve"> nom, activité, personne responsable, téléphone, e-mail.</w:t>
      </w:r>
    </w:p>
    <w:p>
      <w:pPr>
        <w:pStyle w:val="ListParagraph"/>
        <w:numPr>
          <w:ilvl w:val="0"/>
          <w:numId w:val="2"/>
        </w:numPr>
        <w:spacing w:after="60"/>
      </w:pPr>
      <w:r>
        <w:rPr>
          <w:b/>
          <w:bCs/>
        </w:rPr>
        <w:t xml:space="preserve">Projet :</w:t>
      </w:r>
      <w:r>
        <w:t xml:space="preserve"> objectif du spot, produit ou service à promouvoir, lieu, date souhaitée, durée, plateformes de diffusion.</w:t>
      </w:r>
    </w:p>
    <w:p>
      <w:pPr>
        <w:pStyle w:val="ListParagraph"/>
        <w:numPr>
          <w:ilvl w:val="0"/>
          <w:numId w:val="2"/>
        </w:numPr>
        <w:spacing w:after="60"/>
      </w:pPr>
      <w:r>
        <w:rPr>
          <w:b/>
          <w:bCs/>
        </w:rPr>
        <w:t xml:space="preserve">Production :</w:t>
      </w:r>
      <w:r>
        <w:t xml:space="preserve"> scénario disponible, besoin d’un scénario, acteurs, voix off, musique, autres besoins.</w:t>
      </w:r>
    </w:p>
    <w:p>
      <w:pPr>
        <w:pStyle w:val="ListParagraph"/>
        <w:numPr>
          <w:ilvl w:val="0"/>
          <w:numId w:val="2"/>
        </w:numPr>
        <w:spacing w:after="60"/>
      </w:pPr>
      <w:r>
        <w:rPr>
          <w:b/>
          <w:bCs/>
        </w:rPr>
        <w:t xml:space="preserve">Fichiers</w:t>
      </w:r>
      <w:r>
        <w:t xml:space="preserve"> éventuels.</w:t>
      </w:r>
    </w:p>
    <w:p>
      <w:pPr>
        <w:pStyle w:val="Heading2"/>
      </w:pPr>
      <w:r>
        <w:t xml:space="preserve">8.6 Imprimerie</w:t>
      </w:r>
    </w:p>
    <w:p>
      <w:pPr>
        <w:spacing w:after="120" w:before="0"/>
      </w:pPr>
      <w:r>
        <w:t xml:space="preserve">Nom, téléphone, type de document, format, quantité, couleur, recto ou recto verso, papier, finition, délai, fichier à imprimer, commentaires. Bouton « Demander un devis ».</w:t>
      </w:r>
    </w:p>
    <w:p>
      <w:pPr>
        <w:pStyle w:val="Heading2"/>
      </w:pPr>
      <w:r>
        <w:t xml:space="preserve">8.7 Services à la demande</w:t>
      </w:r>
    </w:p>
    <w:p>
      <w:pPr>
        <w:spacing w:after="60" w:before="0"/>
      </w:pPr>
      <w:r>
        <w:t xml:space="preserve">Un formulaire générique est piloté par la table </w:t>
      </w:r>
      <w:r>
        <w:rPr>
          <w:rFonts w:ascii="Consolas" w:cs="Consolas" w:eastAsia="Consolas" w:hAnsi="Consolas"/>
          <w:sz w:val="20"/>
          <w:szCs w:val="20"/>
        </w:rPr>
        <w:t xml:space="preserve">service_form_fields</w:t>
      </w:r>
      <w:r>
        <w:t xml:space="preserve">. Champs communs : demandeur, bénéficiaire, montant souhaité (indicatif), localisation, téléphone, commentaire. Champs propres à chaque service, proposés et à valider avec l’agence :</w:t>
      </w:r>
    </w:p>
    <w:p>
      <w:pPr>
        <w:pStyle w:val="ListParagraph"/>
        <w:numPr>
          <w:ilvl w:val="0"/>
          <w:numId w:val="2"/>
        </w:numPr>
        <w:spacing w:after="60"/>
      </w:pPr>
      <w:r>
        <w:t xml:space="preserve">recharge STS : numéro du compteur, saisi deux fois pour éviter les erreurs ;</w:t>
      </w:r>
    </w:p>
    <w:p>
      <w:pPr>
        <w:pStyle w:val="ListParagraph"/>
        <w:numPr>
          <w:ilvl w:val="0"/>
          <w:numId w:val="2"/>
        </w:numPr>
        <w:spacing w:after="60"/>
      </w:pPr>
      <w:r>
        <w:t xml:space="preserve">Canal+ : numéro d’abonné ou de carte, formule souhaitée ;</w:t>
      </w:r>
    </w:p>
    <w:p>
      <w:pPr>
        <w:pStyle w:val="ListParagraph"/>
        <w:numPr>
          <w:ilvl w:val="0"/>
          <w:numId w:val="2"/>
        </w:numPr>
        <w:spacing w:after="60"/>
      </w:pPr>
      <w:r>
        <w:t xml:space="preserve">crédit HURI ou YAS : numéro à recharger, opérateur, montant ;</w:t>
      </w:r>
    </w:p>
    <w:p>
      <w:pPr>
        <w:pStyle w:val="ListParagraph"/>
        <w:numPr>
          <w:ilvl w:val="0"/>
          <w:numId w:val="2"/>
        </w:numPr>
        <w:spacing w:after="60"/>
      </w:pPr>
      <w:r>
        <w:t xml:space="preserve">Holo : type d’opération (dépôt ou retrait), numéro, montant ;</w:t>
      </w:r>
    </w:p>
    <w:p>
      <w:pPr>
        <w:pStyle w:val="ListParagraph"/>
        <w:numPr>
          <w:ilvl w:val="0"/>
          <w:numId w:val="2"/>
        </w:numPr>
        <w:spacing w:after="60"/>
      </w:pPr>
      <w:r>
        <w:t xml:space="preserve">transfert international : pays de destination, bénéficiaire, mode de réception, montant.</w:t>
      </w:r>
    </w:p>
    <w:p>
      <w:pPr>
        <w:spacing w:after="120" w:before="100"/>
      </w:pPr>
      <w:r>
        <w:t xml:space="preserve">Bouton : « Envoyer ma demande ». Les formats de numéros et les montants minimal et maximal sont contrôlés.</w:t>
      </w:r>
    </w:p>
    <w:p>
      <w:pPr>
        <w:pStyle w:val="Heading2"/>
      </w:pPr>
      <w:r>
        <w:t xml:space="preserve">8.8 Contact</w:t>
      </w:r>
    </w:p>
    <w:p>
      <w:pPr>
        <w:spacing w:after="120" w:before="0"/>
      </w:pPr>
      <w:r>
        <w:t xml:space="preserve">Nom, téléphone, e-mail, sujet, message. Statuts internes : </w:t>
      </w:r>
      <w:r>
        <w:rPr>
          <w:rFonts w:ascii="Consolas" w:cs="Consolas" w:eastAsia="Consolas" w:hAnsi="Consolas"/>
          <w:sz w:val="20"/>
          <w:szCs w:val="20"/>
        </w:rPr>
        <w:t xml:space="preserve">NEW</w:t>
      </w:r>
      <w:r>
        <w:t xml:space="preserve">, </w:t>
      </w:r>
      <w:r>
        <w:rPr>
          <w:rFonts w:ascii="Consolas" w:cs="Consolas" w:eastAsia="Consolas" w:hAnsi="Consolas"/>
          <w:sz w:val="20"/>
          <w:szCs w:val="20"/>
        </w:rPr>
        <w:t xml:space="preserve">READ</w:t>
      </w:r>
      <w:r>
        <w:t xml:space="preserve">, </w:t>
      </w:r>
      <w:r>
        <w:rPr>
          <w:rFonts w:ascii="Consolas" w:cs="Consolas" w:eastAsia="Consolas" w:hAnsi="Consolas"/>
          <w:sz w:val="20"/>
          <w:szCs w:val="20"/>
        </w:rPr>
        <w:t xml:space="preserve">IN_PROGRESS</w:t>
      </w:r>
      <w:r>
        <w:t xml:space="preserve">, </w:t>
      </w:r>
      <w:r>
        <w:rPr>
          <w:rFonts w:ascii="Consolas" w:cs="Consolas" w:eastAsia="Consolas" w:hAnsi="Consolas"/>
          <w:sz w:val="20"/>
          <w:szCs w:val="20"/>
        </w:rPr>
        <w:t xml:space="preserve">RESOLVED</w:t>
      </w:r>
      <w:r>
        <w:t xml:space="preserve">, </w:t>
      </w:r>
      <w:r>
        <w:rPr>
          <w:rFonts w:ascii="Consolas" w:cs="Consolas" w:eastAsia="Consolas" w:hAnsi="Consolas"/>
          <w:sz w:val="20"/>
          <w:szCs w:val="20"/>
        </w:rPr>
        <w:t xml:space="preserve">ARCHIVED</w:t>
      </w:r>
      <w:r>
        <w:t xml:space="preserve"> (nouveau, lu, en cours, résolu, archivé).</w:t>
      </w:r>
    </w:p>
    <w:p>
      <w:pPr>
        <w:pStyle w:val="Heading1"/>
      </w:pPr>
      <w:r>
        <w:t xml:space="preserve">9. Espace d’administration</w:t>
      </w:r>
    </w:p>
    <w:p>
      <w:pPr>
        <w:pStyle w:val="Heading2"/>
      </w:pPr>
      <w:r>
        <w:t xml:space="preserve">9.1 Accès</w:t>
      </w:r>
    </w:p>
    <w:p>
      <w:pPr>
        <w:spacing w:after="120" w:before="0"/>
      </w:pPr>
      <w:r>
        <w:t xml:space="preserve">Adresse : </w:t>
      </w:r>
      <w:r>
        <w:rPr>
          <w:rFonts w:ascii="Consolas" w:cs="Consolas" w:eastAsia="Consolas" w:hAnsi="Consolas"/>
          <w:sz w:val="20"/>
          <w:szCs w:val="20"/>
        </w:rPr>
        <w:t xml:space="preserve">/admin</w:t>
      </w:r>
      <w:r>
        <w:t xml:space="preserve">, d’abord sous le même domaine que le site, ce qui est plus simple. Connexion par Supabase Auth (e-mail et mot de passe), double authentification, session persistante, protection des routes, redirection selon le rôle. Pas d’inscription publique.</w:t>
      </w:r>
    </w:p>
    <w:p>
      <w:pPr>
        <w:pStyle w:val="Heading2"/>
      </w:pPr>
      <w:r>
        <w:t xml:space="preserve">9.2 Modules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000"/>
        <w:gridCol w:w="5972"/>
        <w:gridCol w:w="1100"/>
      </w:tblGrid>
      <w:tr>
        <w:trPr>
          <w:cantSplit/>
          <w:tblHeader/>
        </w:trPr>
        <w:tc>
          <w:tcPr>
            <w:tcW w:type="dxa" w:w="2000"/>
            <w:tcBorders>
              <w:top w:val="single" w:color="7F7F7F" w:sz="4"/>
              <w:left w:val="single" w:color="7F7F7F" w:sz="4"/>
              <w:bottom w:val="single" w:color="7F7F7F" w:sz="4"/>
              <w:right w:val="single" w:color="7F7F7F" w:sz="4"/>
            </w:tcBorders>
            <w:shd w:fill="D9D9D9" w:color="auto" w:val="clear"/>
            <w:tcMar>
              <w:top w:type="dxa" w:w="50"/>
              <w:left w:type="dxa" w:w="90"/>
              <w:bottom w:type="dxa" w:w="50"/>
              <w:right w:type="dxa" w:w="90"/>
            </w:tcMar>
          </w:tcPr>
          <w:p>
            <w:pPr>
              <w:spacing w:after="0"/>
            </w:pPr>
            <w:r>
              <w:rPr>
                <w:b/>
                <w:bCs/>
                <w:sz w:val="19"/>
                <w:szCs w:val="19"/>
              </w:rPr>
              <w:t xml:space="preserve">Module</w:t>
            </w:r>
          </w:p>
        </w:tc>
        <w:tc>
          <w:tcPr>
            <w:tcW w:type="dxa" w:w="5972"/>
            <w:tcBorders>
              <w:top w:val="single" w:color="7F7F7F" w:sz="4"/>
              <w:left w:val="single" w:color="7F7F7F" w:sz="4"/>
              <w:bottom w:val="single" w:color="7F7F7F" w:sz="4"/>
              <w:right w:val="single" w:color="7F7F7F" w:sz="4"/>
            </w:tcBorders>
            <w:shd w:fill="D9D9D9" w:color="auto" w:val="clear"/>
            <w:tcMar>
              <w:top w:type="dxa" w:w="50"/>
              <w:left w:type="dxa" w:w="90"/>
              <w:bottom w:type="dxa" w:w="50"/>
              <w:right w:type="dxa" w:w="90"/>
            </w:tcMar>
          </w:tcPr>
          <w:p>
            <w:pPr>
              <w:spacing w:after="0"/>
            </w:pPr>
            <w:r>
              <w:rPr>
                <w:b/>
                <w:bCs/>
                <w:sz w:val="19"/>
                <w:szCs w:val="19"/>
              </w:rPr>
              <w:t xml:space="preserve">Fonctions</w:t>
            </w:r>
          </w:p>
        </w:tc>
        <w:tc>
          <w:tcPr>
            <w:tcW w:type="dxa" w:w="1100"/>
            <w:tcBorders>
              <w:top w:val="single" w:color="7F7F7F" w:sz="4"/>
              <w:left w:val="single" w:color="7F7F7F" w:sz="4"/>
              <w:bottom w:val="single" w:color="7F7F7F" w:sz="4"/>
              <w:right w:val="single" w:color="7F7F7F" w:sz="4"/>
            </w:tcBorders>
            <w:shd w:fill="D9D9D9" w:color="auto" w:val="clear"/>
            <w:tcMar>
              <w:top w:type="dxa" w:w="50"/>
              <w:left w:type="dxa" w:w="90"/>
              <w:bottom w:type="dxa" w:w="50"/>
              <w:right w:type="dxa" w:w="90"/>
            </w:tcMar>
          </w:tcPr>
          <w:p>
            <w:pPr>
              <w:spacing w:after="0"/>
            </w:pPr>
            <w:r>
              <w:rPr>
                <w:b/>
                <w:bCs/>
                <w:sz w:val="19"/>
                <w:szCs w:val="19"/>
              </w:rPr>
              <w:t xml:space="preserve">Version</w:t>
            </w:r>
          </w:p>
        </w:tc>
      </w:tr>
      <w:tr>
        <w:trPr>
          <w:cantSplit/>
        </w:trPr>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Tableau de bord</w:t>
            </w:r>
          </w:p>
        </w:tc>
        <w:tc>
          <w:tcPr>
            <w:tcW w:type="dxa" w:w="5972"/>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Indicateurs et graphiques (§ 9.3).</w:t>
            </w:r>
          </w:p>
        </w:tc>
        <w:tc>
          <w:tcPr>
            <w:tcW w:type="dxa" w:w="11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V1 simple, V2 complet</w:t>
            </w:r>
          </w:p>
        </w:tc>
      </w:tr>
      <w:tr>
        <w:trPr>
          <w:cantSplit/>
        </w:trPr>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Demandes</w:t>
            </w:r>
          </w:p>
        </w:tc>
        <w:tc>
          <w:tcPr>
            <w:tcW w:type="dxa" w:w="5972"/>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Liste et filtres (service, statut, date, local ou diaspora, demandeur, bénéficiaire, agent assigné). Fiche : client, bénéficiaire, prestation, planning, documents, devis, paiements, notes internes, historique. Changement de statut, assignation, création manuelle.</w:t>
            </w:r>
          </w:p>
        </w:tc>
        <w:tc>
          <w:tcPr>
            <w:tcW w:type="dxa" w:w="11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V1</w:t>
            </w:r>
          </w:p>
        </w:tc>
      </w:tr>
      <w:tr>
        <w:trPr>
          <w:cantSplit/>
        </w:trPr>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Devis</w:t>
            </w:r>
          </w:p>
        </w:tc>
        <w:tc>
          <w:tcPr>
            <w:tcW w:type="dxa" w:w="5972"/>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Créer, modifier, versionner, envoyer, générer le PDF, dupliquer, annuler, marquer accepté ou refusé.</w:t>
            </w:r>
          </w:p>
        </w:tc>
        <w:tc>
          <w:tcPr>
            <w:tcW w:type="dxa" w:w="11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V1</w:t>
            </w:r>
          </w:p>
        </w:tc>
      </w:tr>
      <w:tr>
        <w:trPr>
          <w:cantSplit/>
        </w:trPr>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Paiements</w:t>
            </w:r>
          </w:p>
        </w:tc>
        <w:tc>
          <w:tcPr>
            <w:tcW w:type="dxa" w:w="5972"/>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Enregistrer, confirmer, joindre un justificatif, émettre un reçu, enregistrer un remboursement.</w:t>
            </w:r>
          </w:p>
        </w:tc>
        <w:tc>
          <w:tcPr>
            <w:tcW w:type="dxa" w:w="11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V1</w:t>
            </w:r>
          </w:p>
        </w:tc>
      </w:tr>
      <w:tr>
        <w:trPr>
          <w:cantSplit/>
        </w:trPr>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Clients et bénéficiaires</w:t>
            </w:r>
          </w:p>
        </w:tc>
        <w:tc>
          <w:tcPr>
            <w:tcW w:type="dxa" w:w="5972"/>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Fiches, historique, relations, recherche, fusion de doublons.</w:t>
            </w:r>
          </w:p>
        </w:tc>
        <w:tc>
          <w:tcPr>
            <w:tcW w:type="dxa" w:w="11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Consultation V1, complet V2</w:t>
            </w:r>
          </w:p>
        </w:tc>
      </w:tr>
      <w:tr>
        <w:trPr>
          <w:cantSplit/>
        </w:trPr>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Services</w:t>
            </w:r>
          </w:p>
        </w:tc>
        <w:tc>
          <w:tcPr>
            <w:tcW w:type="dxa" w:w="5972"/>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Catégories, services, ordre, publication, champs des formulaires génériques.</w:t>
            </w:r>
          </w:p>
        </w:tc>
        <w:tc>
          <w:tcPr>
            <w:tcW w:type="dxa" w:w="11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V1</w:t>
            </w:r>
          </w:p>
        </w:tc>
      </w:tr>
      <w:tr>
        <w:trPr>
          <w:cantSplit/>
        </w:trPr>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Réglages</w:t>
            </w:r>
          </w:p>
        </w:tc>
        <w:tc>
          <w:tcPr>
            <w:tcW w:type="dxa" w:w="5972"/>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Logo, cachet de l’agence, slogan, textes, numéros de téléphone, e-mail, WhatsApp, réseaux sociaux, horaires, valeurs par défaut (validité des devis, taux d’acompte).</w:t>
            </w:r>
          </w:p>
        </w:tc>
        <w:tc>
          <w:tcPr>
            <w:tcW w:type="dxa" w:w="11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V1 (essentiels)</w:t>
            </w:r>
          </w:p>
        </w:tc>
      </w:tr>
      <w:tr>
        <w:trPr>
          <w:cantSplit/>
        </w:trPr>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Messages de contact</w:t>
            </w:r>
          </w:p>
        </w:tc>
        <w:tc>
          <w:tcPr>
            <w:tcW w:type="dxa" w:w="5972"/>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Liste et statuts.</w:t>
            </w:r>
          </w:p>
        </w:tc>
        <w:tc>
          <w:tcPr>
            <w:tcW w:type="dxa" w:w="11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V1</w:t>
            </w:r>
          </w:p>
        </w:tc>
      </w:tr>
      <w:tr>
        <w:trPr>
          <w:cantSplit/>
        </w:trPr>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Utilisateurs</w:t>
            </w:r>
          </w:p>
        </w:tc>
        <w:tc>
          <w:tcPr>
            <w:tcW w:type="dxa" w:w="5972"/>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Création de comptes, rôles, désactivation.</w:t>
            </w:r>
          </w:p>
        </w:tc>
        <w:tc>
          <w:tcPr>
            <w:tcW w:type="dxa" w:w="11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V1</w:t>
            </w:r>
          </w:p>
        </w:tc>
      </w:tr>
      <w:tr>
        <w:trPr>
          <w:cantSplit/>
        </w:trPr>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Journal d’activité</w:t>
            </w:r>
          </w:p>
        </w:tc>
        <w:tc>
          <w:tcPr>
            <w:tcW w:type="dxa" w:w="5972"/>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Qui a fait quoi, et quand.</w:t>
            </w:r>
          </w:p>
        </w:tc>
        <w:tc>
          <w:tcPr>
            <w:tcW w:type="dxa" w:w="11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V1</w:t>
            </w:r>
          </w:p>
        </w:tc>
      </w:tr>
      <w:tr>
        <w:trPr>
          <w:cantSplit/>
        </w:trPr>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Dépenses</w:t>
            </w:r>
          </w:p>
        </w:tc>
        <w:tc>
          <w:tcPr>
            <w:tcW w:type="dxa" w:w="5972"/>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Saisie, catégories, justificatifs, rattachement à une demande.</w:t>
            </w:r>
          </w:p>
        </w:tc>
        <w:tc>
          <w:tcPr>
            <w:tcW w:type="dxa" w:w="11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V2</w:t>
            </w:r>
          </w:p>
        </w:tc>
      </w:tr>
      <w:tr>
        <w:trPr>
          <w:cantSplit/>
        </w:trPr>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Finance et rapports</w:t>
            </w:r>
          </w:p>
        </w:tc>
        <w:tc>
          <w:tcPr>
            <w:tcW w:type="dxa" w:w="5972"/>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Revenus, encaissements, reste à encaisser, sommes de passage, résultat, exports.</w:t>
            </w:r>
          </w:p>
        </w:tc>
        <w:tc>
          <w:tcPr>
            <w:tcW w:type="dxa" w:w="11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V2</w:t>
            </w:r>
          </w:p>
        </w:tc>
      </w:tr>
      <w:tr>
        <w:trPr>
          <w:cantSplit/>
        </w:trPr>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Calendrier</w:t>
            </w:r>
          </w:p>
        </w:tc>
        <w:tc>
          <w:tcPr>
            <w:tcW w:type="dxa" w:w="5972"/>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Prestations à venir, détection des conflits de dates, affectation.</w:t>
            </w:r>
          </w:p>
        </w:tc>
        <w:tc>
          <w:tcPr>
            <w:tcW w:type="dxa" w:w="11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V2</w:t>
            </w:r>
          </w:p>
        </w:tc>
      </w:tr>
      <w:tr>
        <w:trPr>
          <w:cantSplit/>
        </w:trPr>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Contenus</w:t>
            </w:r>
          </w:p>
        </w:tc>
        <w:tc>
          <w:tcPr>
            <w:tcW w:type="dxa" w:w="5972"/>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Galerie (catégories, ordre, publication), témoignages, FAQ.</w:t>
            </w:r>
          </w:p>
        </w:tc>
        <w:tc>
          <w:tcPr>
            <w:tcW w:type="dxa" w:w="11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V2</w:t>
            </w:r>
          </w:p>
        </w:tc>
      </w:tr>
    </w:tbl>
    <w:p>
      <w:pPr>
        <w:spacing w:after="100"/>
      </w:pPr>
    </w:p>
    <w:p>
      <w:pPr>
        <w:pStyle w:val="Heading2"/>
      </w:pPr>
      <w:r>
        <w:t xml:space="preserve">9.3 Tableau de bord</w:t>
      </w:r>
    </w:p>
    <w:p>
      <w:pPr>
        <w:spacing w:after="120" w:before="0"/>
      </w:pPr>
      <w:r>
        <w:t xml:space="preserve">Indicateurs : demandes du jour, devis en attente, prestations à venir, nombre de clients, revenus du mois, dépenses du mois, résultat, reste à encaisser, sommes de passage en cours. Graphiques : revenus (jour, semaine, mois, année), demandes par service, clients locaux et diaspora, devis envoyés, acceptés et refusés. Les calculs sont faits par la base (vues ou fonctions), pas dans le navigateur.</w:t>
      </w:r>
    </w:p>
    <w:p>
      <w:pPr>
        <w:pStyle w:val="Heading2"/>
      </w:pPr>
      <w:r>
        <w:t xml:space="preserve">9.4 Notifications et tâches planifiées</w:t>
      </w:r>
    </w:p>
    <w:p>
      <w:pPr>
        <w:pStyle w:val="ListParagraph"/>
        <w:numPr>
          <w:ilvl w:val="0"/>
          <w:numId w:val="2"/>
        </w:numPr>
        <w:spacing w:after="60"/>
      </w:pPr>
      <w:r>
        <w:rPr>
          <w:b/>
          <w:bCs/>
        </w:rPr>
        <w:t xml:space="preserve">Administration (dans l’application) :</w:t>
      </w:r>
      <w:r>
        <w:t xml:space="preserve"> nouvelle demande, nouveau contact, devis accepté, paiement enregistré ou confirmé, prestation proche.</w:t>
      </w:r>
    </w:p>
    <w:p>
      <w:pPr>
        <w:pStyle w:val="ListParagraph"/>
        <w:numPr>
          <w:ilvl w:val="0"/>
          <w:numId w:val="2"/>
        </w:numPr>
        <w:spacing w:after="60"/>
      </w:pPr>
      <w:r>
        <w:rPr>
          <w:b/>
          <w:bCs/>
        </w:rPr>
        <w:t xml:space="preserve">Client :</w:t>
      </w:r>
      <w:r>
        <w:t xml:space="preserve"> e-mails transactionnels (demande reçue, devis disponible, paiement confirmé, prestation terminée). En V1, l’agent dispose aussi d’un message WhatsApp prérempli à envoyer d’un clic ; l’envoi automatique relève de la V3.</w:t>
      </w:r>
    </w:p>
    <w:p>
      <w:pPr>
        <w:pStyle w:val="ListParagraph"/>
        <w:numPr>
          <w:ilvl w:val="0"/>
          <w:numId w:val="2"/>
        </w:numPr>
        <w:spacing w:after="60"/>
      </w:pPr>
      <w:r>
        <w:rPr>
          <w:b/>
          <w:bCs/>
        </w:rPr>
        <w:t xml:space="preserve">Tâches planifiées :</w:t>
      </w:r>
      <w:r>
        <w:t xml:space="preserve"> expiration des devis à échéance, rappel des prestations à venir, suppression des fichiers après la durée de conservation.</w:t>
      </w:r>
    </w:p>
    <w:p>
      <w:pPr>
        <w:pStyle w:val="Heading2"/>
      </w:pPr>
      <w:r>
        <w:t xml:space="preserve">9.5 Journal d’activité</w:t>
      </w:r>
    </w:p>
    <w:p>
      <w:pPr>
        <w:spacing w:after="120" w:before="0"/>
      </w:pPr>
      <w:r>
        <w:t xml:space="preserve">Chaque action sensible (modification d’un devis, confirmation d’un paiement, changement de statut) est consignée avec l’auteur, l’action, l’objet concerné, les anciennes et nouvelles valeurs et l’horodatage. Le journal est alimenté par des déclencheurs de la base, consultable en lecture seule, ni modifiable ni supprimable. Il se distingue de </w:t>
      </w:r>
      <w:r>
        <w:rPr>
          <w:rFonts w:ascii="Consolas" w:cs="Consolas" w:eastAsia="Consolas" w:hAnsi="Consolas"/>
          <w:sz w:val="20"/>
          <w:szCs w:val="20"/>
        </w:rPr>
        <w:t xml:space="preserve">request_events</w:t>
      </w:r>
      <w:r>
        <w:t xml:space="preserve">, qui est l’historique métier d’une demande, en partie visible du client.</w:t>
      </w:r>
    </w:p>
    <w:p>
      <w:pPr>
        <w:pStyle w:val="Heading2"/>
      </w:pPr>
      <w:r>
        <w:t xml:space="preserve">9.6 Documents PDF de l’agence</w:t>
      </w:r>
    </w:p>
    <w:p>
      <w:pPr>
        <w:spacing w:after="60" w:before="0"/>
      </w:pPr>
      <w:r>
        <w:t xml:space="preserve">Le serveur produit les documents de l’agence à partir des données de la base, avec le même en-tête et le cachet de l’agence.</w:t>
      </w:r>
    </w:p>
    <w:p>
      <w:pPr>
        <w:pStyle w:val="ListParagraph"/>
        <w:numPr>
          <w:ilvl w:val="0"/>
          <w:numId w:val="2"/>
        </w:numPr>
        <w:spacing w:after="60"/>
      </w:pPr>
      <w:r>
        <w:rPr>
          <w:b/>
          <w:bCs/>
        </w:rPr>
        <w:t xml:space="preserve">En-tête :</w:t>
      </w:r>
      <w:r>
        <w:t xml:space="preserve"> logo, nom de l’agence, numéros de téléphone, e-mail et adresse, lus dans les réglages, mis en forme selon le § 16.8. Une modification des coordonnées s’applique aux documents suivants, pas à ceux déjà émis.</w:t>
      </w:r>
    </w:p>
    <w:p>
      <w:pPr>
        <w:pStyle w:val="ListParagraph"/>
        <w:numPr>
          <w:ilvl w:val="0"/>
          <w:numId w:val="2"/>
        </w:numPr>
        <w:spacing w:after="60"/>
      </w:pPr>
      <w:r>
        <w:rPr>
          <w:b/>
          <w:bCs/>
        </w:rPr>
        <w:t xml:space="preserve">Devis :</w:t>
      </w:r>
      <w:r>
        <w:t xml:space="preserve"> numéro, client, prestation, lignes, total, validité, conditions, mention « Bon pour accord » avec zone de signature du client.</w:t>
      </w:r>
    </w:p>
    <w:p>
      <w:pPr>
        <w:pStyle w:val="ListParagraph"/>
        <w:numPr>
          <w:ilvl w:val="0"/>
          <w:numId w:val="2"/>
        </w:numPr>
        <w:spacing w:after="60"/>
      </w:pPr>
      <w:r>
        <w:rPr>
          <w:b/>
          <w:bCs/>
        </w:rPr>
        <w:t xml:space="preserve">Fiche de prestation de mariage :</w:t>
      </w:r>
      <w:r>
        <w:t xml:space="preserve"> reproduit la fiche papier « Prestation du mariage » à partir des données saisies (client, mariés, Boina Harus, Bibi Harus, lieu, dates, prestations cochées, programme avec jours et heures, numéros de la séance photo). Elle porte les zones de signature du client et de l’agence.</w:t>
      </w:r>
    </w:p>
    <w:p>
      <w:pPr>
        <w:pStyle w:val="ListParagraph"/>
        <w:numPr>
          <w:ilvl w:val="0"/>
          <w:numId w:val="2"/>
        </w:numPr>
        <w:spacing w:after="60"/>
      </w:pPr>
      <w:r>
        <w:rPr>
          <w:b/>
          <w:bCs/>
        </w:rPr>
        <w:t xml:space="preserve">Reçu de paiement :</w:t>
      </w:r>
      <w:r>
        <w:t xml:space="preserve"> numéro, montant, mode, référence, date.</w:t>
      </w:r>
    </w:p>
    <w:p>
      <w:pPr>
        <w:pStyle w:val="ListParagraph"/>
        <w:numPr>
          <w:ilvl w:val="0"/>
          <w:numId w:val="2"/>
        </w:numPr>
        <w:spacing w:after="60"/>
      </w:pPr>
      <w:r>
        <w:rPr>
          <w:b/>
          <w:bCs/>
        </w:rPr>
        <w:t xml:space="preserve">Cachet :</w:t>
      </w:r>
      <w:r>
        <w:t xml:space="preserve"> l’image du cachet (PNG à fond transparent) est enregistrée une fois par le super-administrateur, dans un espace de stockage privé, puis apposée automatiquement à l’emplacement prévu sur chaque document émis. Un document en brouillon porte la mention « Brouillon » et n’est pas cacheté. Seul le serveur lit l’image : elle n’est jamais publique ni envoyée au navigateur, pour éviter qu’elle soit copiée. Tout changement de cachet est inscrit au journal d’activité.</w:t>
      </w:r>
    </w:p>
    <w:p>
      <w:pPr>
        <w:pStyle w:val="ListParagraph"/>
        <w:numPr>
          <w:ilvl w:val="0"/>
          <w:numId w:val="2"/>
        </w:numPr>
        <w:spacing w:after="60"/>
      </w:pPr>
      <w:r>
        <w:rPr>
          <w:b/>
          <w:bCs/>
        </w:rPr>
        <w:t xml:space="preserve">Archivage :</w:t>
      </w:r>
      <w:r>
        <w:t xml:space="preserve"> chaque document émis est enregistré et figé. Une correction produit un nouveau document, jamais une modification de l’ancien.</w:t>
      </w:r>
    </w:p>
    <w:p>
      <w:pPr>
        <w:pStyle w:val="Heading1"/>
      </w:pPr>
      <w:r>
        <w:t xml:space="preserve">10. Modèle de données</w:t>
      </w:r>
    </w:p>
    <w:p>
      <w:pPr>
        <w:pStyle w:val="Heading2"/>
      </w:pPr>
      <w:r>
        <w:t xml:space="preserve">10.1 Conventions</w:t>
      </w:r>
    </w:p>
    <w:p>
      <w:pPr>
        <w:pStyle w:val="ListParagraph"/>
        <w:numPr>
          <w:ilvl w:val="0"/>
          <w:numId w:val="2"/>
        </w:numPr>
        <w:spacing w:after="60"/>
      </w:pPr>
      <w:r>
        <w:t xml:space="preserve">Identifiants de type uuid. Dates techniques en </w:t>
      </w:r>
      <w:r>
        <w:rPr>
          <w:rFonts w:ascii="Consolas" w:cs="Consolas" w:eastAsia="Consolas" w:hAnsi="Consolas"/>
          <w:sz w:val="20"/>
          <w:szCs w:val="20"/>
        </w:rPr>
        <w:t xml:space="preserve">timestamptz</w:t>
      </w:r>
      <w:r>
        <w:t xml:space="preserve"> (UTC).</w:t>
      </w:r>
    </w:p>
    <w:p>
      <w:pPr>
        <w:pStyle w:val="ListParagraph"/>
        <w:numPr>
          <w:ilvl w:val="0"/>
          <w:numId w:val="2"/>
        </w:numPr>
        <w:spacing w:after="60"/>
      </w:pPr>
      <w:r>
        <w:t xml:space="preserve">Dates et heures d’événements en </w:t>
      </w:r>
      <w:r>
        <w:rPr>
          <w:rFonts w:ascii="Consolas" w:cs="Consolas" w:eastAsia="Consolas" w:hAnsi="Consolas"/>
          <w:sz w:val="20"/>
          <w:szCs w:val="20"/>
        </w:rPr>
        <w:t xml:space="preserve">date</w:t>
      </w:r>
      <w:r>
        <w:t xml:space="preserve"> et </w:t>
      </w:r>
      <w:r>
        <w:rPr>
          <w:rFonts w:ascii="Consolas" w:cs="Consolas" w:eastAsia="Consolas" w:hAnsi="Consolas"/>
          <w:sz w:val="20"/>
          <w:szCs w:val="20"/>
        </w:rPr>
        <w:t xml:space="preserve">time</w:t>
      </w:r>
      <w:r>
        <w:t xml:space="preserve"> sans fuseau : c’est l’heure locale du lieu, indépendante du fuseau du client.</w:t>
      </w:r>
    </w:p>
    <w:p>
      <w:pPr>
        <w:pStyle w:val="ListParagraph"/>
        <w:numPr>
          <w:ilvl w:val="0"/>
          <w:numId w:val="2"/>
        </w:numPr>
        <w:spacing w:after="60"/>
      </w:pPr>
      <w:r>
        <w:t xml:space="preserve">Montants en entiers ou en </w:t>
      </w:r>
      <w:r>
        <w:rPr>
          <w:rFonts w:ascii="Consolas" w:cs="Consolas" w:eastAsia="Consolas" w:hAnsi="Consolas"/>
          <w:sz w:val="20"/>
          <w:szCs w:val="20"/>
        </w:rPr>
        <w:t xml:space="preserve">numeric</w:t>
      </w:r>
      <w:r>
        <w:t xml:space="preserve">, jamais en nombres flottants. Chaque montant porte sa devise. Totaux calculés par la base.</w:t>
      </w:r>
    </w:p>
    <w:p>
      <w:pPr>
        <w:pStyle w:val="ListParagraph"/>
        <w:numPr>
          <w:ilvl w:val="0"/>
          <w:numId w:val="2"/>
        </w:numPr>
        <w:spacing w:after="60"/>
      </w:pPr>
      <w:r>
        <w:t xml:space="preserve">Téléphones au format international.</w:t>
      </w:r>
    </w:p>
    <w:p>
      <w:pPr>
        <w:pStyle w:val="ListParagraph"/>
        <w:numPr>
          <w:ilvl w:val="0"/>
          <w:numId w:val="2"/>
        </w:numPr>
        <w:spacing w:after="60"/>
      </w:pPr>
      <w:r>
        <w:t xml:space="preserve">Statuts stables en enums PostgreSQL ; listes évolutives (types de cérémonie, types de séance) en texte contraint ou table de référence.</w:t>
      </w:r>
    </w:p>
    <w:p>
      <w:pPr>
        <w:pStyle w:val="ListParagraph"/>
        <w:numPr>
          <w:ilvl w:val="0"/>
          <w:numId w:val="2"/>
        </w:numPr>
        <w:spacing w:after="60"/>
      </w:pPr>
      <w:r>
        <w:t xml:space="preserve">Suppression logique (</w:t>
      </w:r>
      <w:r>
        <w:rPr>
          <w:rFonts w:ascii="Consolas" w:cs="Consolas" w:eastAsia="Consolas" w:hAnsi="Consolas"/>
          <w:sz w:val="20"/>
          <w:szCs w:val="20"/>
        </w:rPr>
        <w:t xml:space="preserve">deleted_at</w:t>
      </w:r>
      <w:r>
        <w:t xml:space="preserve">) pour clients et bénéficiaires. Suppression interdite pour paiements, devis envoyés et journal. Clés étrangères financières en </w:t>
      </w:r>
      <w:r>
        <w:rPr>
          <w:rFonts w:ascii="Consolas" w:cs="Consolas" w:eastAsia="Consolas" w:hAnsi="Consolas"/>
          <w:sz w:val="20"/>
          <w:szCs w:val="20"/>
        </w:rPr>
        <w:t xml:space="preserve">ON DELETE RESTRICT</w:t>
      </w:r>
      <w:r>
        <w:t xml:space="preserve">.</w:t>
      </w:r>
    </w:p>
    <w:p>
      <w:pPr>
        <w:pStyle w:val="ListParagraph"/>
        <w:numPr>
          <w:ilvl w:val="0"/>
          <w:numId w:val="2"/>
        </w:numPr>
        <w:spacing w:after="60"/>
      </w:pPr>
      <w:r>
        <w:t xml:space="preserve">Index sur </w:t>
      </w:r>
      <w:r>
        <w:rPr>
          <w:rFonts w:ascii="Consolas" w:cs="Consolas" w:eastAsia="Consolas" w:hAnsi="Consolas"/>
          <w:sz w:val="20"/>
          <w:szCs w:val="20"/>
        </w:rPr>
        <w:t xml:space="preserve">reference</w:t>
      </w:r>
      <w:r>
        <w:t xml:space="preserve">, </w:t>
      </w:r>
      <w:r>
        <w:rPr>
          <w:rFonts w:ascii="Consolas" w:cs="Consolas" w:eastAsia="Consolas" w:hAnsi="Consolas"/>
          <w:sz w:val="20"/>
          <w:szCs w:val="20"/>
        </w:rPr>
        <w:t xml:space="preserve">status</w:t>
      </w:r>
      <w:r>
        <w:t xml:space="preserve">, </w:t>
      </w:r>
      <w:r>
        <w:rPr>
          <w:rFonts w:ascii="Consolas" w:cs="Consolas" w:eastAsia="Consolas" w:hAnsi="Consolas"/>
          <w:sz w:val="20"/>
          <w:szCs w:val="20"/>
        </w:rPr>
        <w:t xml:space="preserve">created_at</w:t>
      </w:r>
      <w:r>
        <w:t xml:space="preserve">, </w:t>
      </w:r>
      <w:r>
        <w:rPr>
          <w:rFonts w:ascii="Consolas" w:cs="Consolas" w:eastAsia="Consolas" w:hAnsi="Consolas"/>
          <w:sz w:val="20"/>
          <w:szCs w:val="20"/>
        </w:rPr>
        <w:t xml:space="preserve">customer_id</w:t>
      </w:r>
      <w:r>
        <w:t xml:space="preserve">, </w:t>
      </w:r>
      <w:r>
        <w:rPr>
          <w:rFonts w:ascii="Consolas" w:cs="Consolas" w:eastAsia="Consolas" w:hAnsi="Consolas"/>
          <w:sz w:val="20"/>
          <w:szCs w:val="20"/>
        </w:rPr>
        <w:t xml:space="preserve">service_id</w:t>
      </w:r>
      <w:r>
        <w:t xml:space="preserve">, </w:t>
      </w:r>
      <w:r>
        <w:rPr>
          <w:rFonts w:ascii="Consolas" w:cs="Consolas" w:eastAsia="Consolas" w:hAnsi="Consolas"/>
          <w:sz w:val="20"/>
          <w:szCs w:val="20"/>
        </w:rPr>
        <w:t xml:space="preserve">assigned_to</w:t>
      </w:r>
      <w:r>
        <w:t xml:space="preserve">. Colonnes </w:t>
      </w:r>
      <w:r>
        <w:rPr>
          <w:rFonts w:ascii="Consolas" w:cs="Consolas" w:eastAsia="Consolas" w:hAnsi="Consolas"/>
          <w:sz w:val="20"/>
          <w:szCs w:val="20"/>
        </w:rPr>
        <w:t xml:space="preserve">created_at</w:t>
      </w:r>
      <w:r>
        <w:t xml:space="preserve"> et </w:t>
      </w:r>
      <w:r>
        <w:rPr>
          <w:rFonts w:ascii="Consolas" w:cs="Consolas" w:eastAsia="Consolas" w:hAnsi="Consolas"/>
          <w:sz w:val="20"/>
          <w:szCs w:val="20"/>
        </w:rPr>
        <w:t xml:space="preserve">updated_at</w:t>
      </w:r>
      <w:r>
        <w:t xml:space="preserve"> sur toutes les tables.</w:t>
      </w:r>
    </w:p>
    <w:p>
      <w:pPr>
        <w:pStyle w:val="Heading2"/>
      </w:pPr>
      <w:r>
        <w:t xml:space="preserve">10.2 Tables</w:t>
      </w:r>
    </w:p>
    <w:p>
      <w:pPr>
        <w:keepNext/>
        <w:spacing w:after="60" w:before="0"/>
      </w:pPr>
      <w:r>
        <w:rPr>
          <w:b/>
          <w:bCs/>
        </w:rPr>
        <w:t xml:space="preserve">Accès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00"/>
        <w:gridCol w:w="2000"/>
        <w:gridCol w:w="5172"/>
      </w:tblGrid>
      <w:tr>
        <w:trPr>
          <w:cantSplit/>
          <w:tblHeader/>
        </w:trPr>
        <w:tc>
          <w:tcPr>
            <w:tcW w:type="dxa" w:w="1900"/>
            <w:tcBorders>
              <w:top w:val="single" w:color="7F7F7F" w:sz="4"/>
              <w:left w:val="single" w:color="7F7F7F" w:sz="4"/>
              <w:bottom w:val="single" w:color="7F7F7F" w:sz="4"/>
              <w:right w:val="single" w:color="7F7F7F" w:sz="4"/>
            </w:tcBorders>
            <w:shd w:fill="D9D9D9" w:color="auto" w:val="clear"/>
            <w:tcMar>
              <w:top w:type="dxa" w:w="50"/>
              <w:left w:type="dxa" w:w="90"/>
              <w:bottom w:type="dxa" w:w="50"/>
              <w:right w:type="dxa" w:w="90"/>
            </w:tcMar>
          </w:tcPr>
          <w:p>
            <w:pPr>
              <w:spacing w:after="0"/>
            </w:pPr>
            <w:r>
              <w:rPr>
                <w:b/>
                <w:bCs/>
                <w:sz w:val="19"/>
                <w:szCs w:val="19"/>
              </w:rPr>
              <w:t xml:space="preserve">Table</w:t>
            </w:r>
          </w:p>
        </w:tc>
        <w:tc>
          <w:tcPr>
            <w:tcW w:type="dxa" w:w="2000"/>
            <w:tcBorders>
              <w:top w:val="single" w:color="7F7F7F" w:sz="4"/>
              <w:left w:val="single" w:color="7F7F7F" w:sz="4"/>
              <w:bottom w:val="single" w:color="7F7F7F" w:sz="4"/>
              <w:right w:val="single" w:color="7F7F7F" w:sz="4"/>
            </w:tcBorders>
            <w:shd w:fill="D9D9D9" w:color="auto" w:val="clear"/>
            <w:tcMar>
              <w:top w:type="dxa" w:w="50"/>
              <w:left w:type="dxa" w:w="90"/>
              <w:bottom w:type="dxa" w:w="50"/>
              <w:right w:type="dxa" w:w="90"/>
            </w:tcMar>
          </w:tcPr>
          <w:p>
            <w:pPr>
              <w:spacing w:after="0"/>
            </w:pPr>
            <w:r>
              <w:rPr>
                <w:b/>
                <w:bCs/>
                <w:sz w:val="19"/>
                <w:szCs w:val="19"/>
              </w:rPr>
              <w:t xml:space="preserve">Rôle</w:t>
            </w:r>
          </w:p>
        </w:tc>
        <w:tc>
          <w:tcPr>
            <w:tcW w:type="dxa" w:w="5172"/>
            <w:tcBorders>
              <w:top w:val="single" w:color="7F7F7F" w:sz="4"/>
              <w:left w:val="single" w:color="7F7F7F" w:sz="4"/>
              <w:bottom w:val="single" w:color="7F7F7F" w:sz="4"/>
              <w:right w:val="single" w:color="7F7F7F" w:sz="4"/>
            </w:tcBorders>
            <w:shd w:fill="D9D9D9" w:color="auto" w:val="clear"/>
            <w:tcMar>
              <w:top w:type="dxa" w:w="50"/>
              <w:left w:type="dxa" w:w="90"/>
              <w:bottom w:type="dxa" w:w="50"/>
              <w:right w:type="dxa" w:w="90"/>
            </w:tcMar>
          </w:tcPr>
          <w:p>
            <w:pPr>
              <w:spacing w:after="0"/>
            </w:pPr>
            <w:r>
              <w:rPr>
                <w:b/>
                <w:bCs/>
                <w:sz w:val="19"/>
                <w:szCs w:val="19"/>
              </w:rPr>
              <w:t xml:space="preserve">Champs principaux</w:t>
            </w:r>
          </w:p>
        </w:tc>
      </w:tr>
      <w:tr>
        <w:trPr>
          <w:cantSplit/>
        </w:trPr>
        <w:tc>
          <w:tcPr>
            <w:tcW w:type="dxa" w:w="19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rFonts w:ascii="Consolas" w:cs="Consolas" w:eastAsia="Consolas" w:hAnsi="Consolas"/>
                <w:b w:val="false"/>
                <w:bCs w:val="false"/>
                <w:sz w:val="17"/>
                <w:szCs w:val="17"/>
              </w:rPr>
              <w:t xml:space="preserve">profiles</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Utilisateurs de l’administration</w:t>
            </w:r>
          </w:p>
        </w:tc>
        <w:tc>
          <w:tcPr>
            <w:tcW w:type="dxa" w:w="5172"/>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id (identique à l’identifiant d’authentification), first_name, last_name, phone, email, avatar_url, role (SUPER_ADMIN, ADMIN, AGENT), is_active.</w:t>
            </w:r>
          </w:p>
        </w:tc>
      </w:tr>
    </w:tbl>
    <w:p>
      <w:pPr>
        <w:spacing w:after="100"/>
      </w:pPr>
    </w:p>
    <w:p>
      <w:pPr>
        <w:keepNext/>
        <w:spacing w:after="60" w:before="0"/>
      </w:pPr>
      <w:r>
        <w:rPr>
          <w:b/>
          <w:bCs/>
        </w:rPr>
        <w:t xml:space="preserve">Catalogue</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00"/>
        <w:gridCol w:w="2000"/>
        <w:gridCol w:w="5172"/>
      </w:tblGrid>
      <w:tr>
        <w:trPr>
          <w:cantSplit/>
          <w:tblHeader/>
        </w:trPr>
        <w:tc>
          <w:tcPr>
            <w:tcW w:type="dxa" w:w="1900"/>
            <w:tcBorders>
              <w:top w:val="single" w:color="7F7F7F" w:sz="4"/>
              <w:left w:val="single" w:color="7F7F7F" w:sz="4"/>
              <w:bottom w:val="single" w:color="7F7F7F" w:sz="4"/>
              <w:right w:val="single" w:color="7F7F7F" w:sz="4"/>
            </w:tcBorders>
            <w:shd w:fill="D9D9D9" w:color="auto" w:val="clear"/>
            <w:tcMar>
              <w:top w:type="dxa" w:w="50"/>
              <w:left w:type="dxa" w:w="90"/>
              <w:bottom w:type="dxa" w:w="50"/>
              <w:right w:type="dxa" w:w="90"/>
            </w:tcMar>
          </w:tcPr>
          <w:p>
            <w:pPr>
              <w:spacing w:after="0"/>
            </w:pPr>
            <w:r>
              <w:rPr>
                <w:b/>
                <w:bCs/>
                <w:sz w:val="19"/>
                <w:szCs w:val="19"/>
              </w:rPr>
              <w:t xml:space="preserve">Table</w:t>
            </w:r>
          </w:p>
        </w:tc>
        <w:tc>
          <w:tcPr>
            <w:tcW w:type="dxa" w:w="2000"/>
            <w:tcBorders>
              <w:top w:val="single" w:color="7F7F7F" w:sz="4"/>
              <w:left w:val="single" w:color="7F7F7F" w:sz="4"/>
              <w:bottom w:val="single" w:color="7F7F7F" w:sz="4"/>
              <w:right w:val="single" w:color="7F7F7F" w:sz="4"/>
            </w:tcBorders>
            <w:shd w:fill="D9D9D9" w:color="auto" w:val="clear"/>
            <w:tcMar>
              <w:top w:type="dxa" w:w="50"/>
              <w:left w:type="dxa" w:w="90"/>
              <w:bottom w:type="dxa" w:w="50"/>
              <w:right w:type="dxa" w:w="90"/>
            </w:tcMar>
          </w:tcPr>
          <w:p>
            <w:pPr>
              <w:spacing w:after="0"/>
            </w:pPr>
            <w:r>
              <w:rPr>
                <w:b/>
                <w:bCs/>
                <w:sz w:val="19"/>
                <w:szCs w:val="19"/>
              </w:rPr>
              <w:t xml:space="preserve">Rôle</w:t>
            </w:r>
          </w:p>
        </w:tc>
        <w:tc>
          <w:tcPr>
            <w:tcW w:type="dxa" w:w="5172"/>
            <w:tcBorders>
              <w:top w:val="single" w:color="7F7F7F" w:sz="4"/>
              <w:left w:val="single" w:color="7F7F7F" w:sz="4"/>
              <w:bottom w:val="single" w:color="7F7F7F" w:sz="4"/>
              <w:right w:val="single" w:color="7F7F7F" w:sz="4"/>
            </w:tcBorders>
            <w:shd w:fill="D9D9D9" w:color="auto" w:val="clear"/>
            <w:tcMar>
              <w:top w:type="dxa" w:w="50"/>
              <w:left w:type="dxa" w:w="90"/>
              <w:bottom w:type="dxa" w:w="50"/>
              <w:right w:type="dxa" w:w="90"/>
            </w:tcMar>
          </w:tcPr>
          <w:p>
            <w:pPr>
              <w:spacing w:after="0"/>
            </w:pPr>
            <w:r>
              <w:rPr>
                <w:b/>
                <w:bCs/>
                <w:sz w:val="19"/>
                <w:szCs w:val="19"/>
              </w:rPr>
              <w:t xml:space="preserve">Champs principaux</w:t>
            </w:r>
          </w:p>
        </w:tc>
      </w:tr>
      <w:tr>
        <w:trPr>
          <w:cantSplit/>
        </w:trPr>
        <w:tc>
          <w:tcPr>
            <w:tcW w:type="dxa" w:w="19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rFonts w:ascii="Consolas" w:cs="Consolas" w:eastAsia="Consolas" w:hAnsi="Consolas"/>
                <w:b w:val="false"/>
                <w:bCs w:val="false"/>
                <w:sz w:val="17"/>
                <w:szCs w:val="17"/>
              </w:rPr>
              <w:t xml:space="preserve">service_categories</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Catégories</w:t>
            </w:r>
          </w:p>
        </w:tc>
        <w:tc>
          <w:tcPr>
            <w:tcW w:type="dxa" w:w="5172"/>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id, name, slug, description, icon, image_url, is_active, sort_order.</w:t>
            </w:r>
          </w:p>
        </w:tc>
      </w:tr>
      <w:tr>
        <w:trPr>
          <w:cantSplit/>
        </w:trPr>
        <w:tc>
          <w:tcPr>
            <w:tcW w:type="dxa" w:w="19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rFonts w:ascii="Consolas" w:cs="Consolas" w:eastAsia="Consolas" w:hAnsi="Consolas"/>
                <w:b w:val="false"/>
                <w:bCs w:val="false"/>
                <w:sz w:val="17"/>
                <w:szCs w:val="17"/>
              </w:rPr>
              <w:t xml:space="preserve">services</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Prestations et services</w:t>
            </w:r>
          </w:p>
        </w:tc>
        <w:tc>
          <w:tcPr>
            <w:tcW w:type="dxa" w:w="5172"/>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id, category_id, name, slug, short_description, description, service_type (QUOTE, REQUEST), form_key (wedding, photo, advertising, printing, generic), image_url, is_active, is_featured, requires_schedule, sort_order.</w:t>
            </w:r>
          </w:p>
        </w:tc>
      </w:tr>
      <w:tr>
        <w:trPr>
          <w:cantSplit/>
        </w:trPr>
        <w:tc>
          <w:tcPr>
            <w:tcW w:type="dxa" w:w="19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rFonts w:ascii="Consolas" w:cs="Consolas" w:eastAsia="Consolas" w:hAnsi="Consolas"/>
                <w:b w:val="false"/>
                <w:bCs w:val="false"/>
                <w:sz w:val="17"/>
                <w:szCs w:val="17"/>
              </w:rPr>
              <w:t xml:space="preserve">service_form_fields</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Champs des formulaires génériques</w:t>
            </w:r>
          </w:p>
        </w:tc>
        <w:tc>
          <w:tcPr>
            <w:tcW w:type="dxa" w:w="5172"/>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id, service_id, field_key, label, field_type, is_required, options (jsonb), sort_order. Réservée aux services à la demande.</w:t>
            </w:r>
          </w:p>
        </w:tc>
      </w:tr>
    </w:tbl>
    <w:p>
      <w:pPr>
        <w:spacing w:after="100"/>
      </w:pPr>
    </w:p>
    <w:p>
      <w:pPr>
        <w:keepNext/>
        <w:spacing w:after="60" w:before="0"/>
      </w:pPr>
      <w:r>
        <w:rPr>
          <w:b/>
          <w:bCs/>
        </w:rPr>
        <w:t xml:space="preserve">Personnes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00"/>
        <w:gridCol w:w="2000"/>
        <w:gridCol w:w="5172"/>
      </w:tblGrid>
      <w:tr>
        <w:trPr>
          <w:cantSplit/>
          <w:tblHeader/>
        </w:trPr>
        <w:tc>
          <w:tcPr>
            <w:tcW w:type="dxa" w:w="1900"/>
            <w:tcBorders>
              <w:top w:val="single" w:color="7F7F7F" w:sz="4"/>
              <w:left w:val="single" w:color="7F7F7F" w:sz="4"/>
              <w:bottom w:val="single" w:color="7F7F7F" w:sz="4"/>
              <w:right w:val="single" w:color="7F7F7F" w:sz="4"/>
            </w:tcBorders>
            <w:shd w:fill="D9D9D9" w:color="auto" w:val="clear"/>
            <w:tcMar>
              <w:top w:type="dxa" w:w="50"/>
              <w:left w:type="dxa" w:w="90"/>
              <w:bottom w:type="dxa" w:w="50"/>
              <w:right w:type="dxa" w:w="90"/>
            </w:tcMar>
          </w:tcPr>
          <w:p>
            <w:pPr>
              <w:spacing w:after="0"/>
            </w:pPr>
            <w:r>
              <w:rPr>
                <w:b/>
                <w:bCs/>
                <w:sz w:val="19"/>
                <w:szCs w:val="19"/>
              </w:rPr>
              <w:t xml:space="preserve">Table</w:t>
            </w:r>
          </w:p>
        </w:tc>
        <w:tc>
          <w:tcPr>
            <w:tcW w:type="dxa" w:w="2000"/>
            <w:tcBorders>
              <w:top w:val="single" w:color="7F7F7F" w:sz="4"/>
              <w:left w:val="single" w:color="7F7F7F" w:sz="4"/>
              <w:bottom w:val="single" w:color="7F7F7F" w:sz="4"/>
              <w:right w:val="single" w:color="7F7F7F" w:sz="4"/>
            </w:tcBorders>
            <w:shd w:fill="D9D9D9" w:color="auto" w:val="clear"/>
            <w:tcMar>
              <w:top w:type="dxa" w:w="50"/>
              <w:left w:type="dxa" w:w="90"/>
              <w:bottom w:type="dxa" w:w="50"/>
              <w:right w:type="dxa" w:w="90"/>
            </w:tcMar>
          </w:tcPr>
          <w:p>
            <w:pPr>
              <w:spacing w:after="0"/>
            </w:pPr>
            <w:r>
              <w:rPr>
                <w:b/>
                <w:bCs/>
                <w:sz w:val="19"/>
                <w:szCs w:val="19"/>
              </w:rPr>
              <w:t xml:space="preserve">Rôle</w:t>
            </w:r>
          </w:p>
        </w:tc>
        <w:tc>
          <w:tcPr>
            <w:tcW w:type="dxa" w:w="5172"/>
            <w:tcBorders>
              <w:top w:val="single" w:color="7F7F7F" w:sz="4"/>
              <w:left w:val="single" w:color="7F7F7F" w:sz="4"/>
              <w:bottom w:val="single" w:color="7F7F7F" w:sz="4"/>
              <w:right w:val="single" w:color="7F7F7F" w:sz="4"/>
            </w:tcBorders>
            <w:shd w:fill="D9D9D9" w:color="auto" w:val="clear"/>
            <w:tcMar>
              <w:top w:type="dxa" w:w="50"/>
              <w:left w:type="dxa" w:w="90"/>
              <w:bottom w:type="dxa" w:w="50"/>
              <w:right w:type="dxa" w:w="90"/>
            </w:tcMar>
          </w:tcPr>
          <w:p>
            <w:pPr>
              <w:spacing w:after="0"/>
            </w:pPr>
            <w:r>
              <w:rPr>
                <w:b/>
                <w:bCs/>
                <w:sz w:val="19"/>
                <w:szCs w:val="19"/>
              </w:rPr>
              <w:t xml:space="preserve">Champs principaux</w:t>
            </w:r>
          </w:p>
        </w:tc>
      </w:tr>
      <w:tr>
        <w:trPr>
          <w:cantSplit/>
        </w:trPr>
        <w:tc>
          <w:tcPr>
            <w:tcW w:type="dxa" w:w="19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rFonts w:ascii="Consolas" w:cs="Consolas" w:eastAsia="Consolas" w:hAnsi="Consolas"/>
                <w:b w:val="false"/>
                <w:bCs w:val="false"/>
                <w:sz w:val="17"/>
                <w:szCs w:val="17"/>
              </w:rPr>
              <w:t xml:space="preserve">customers</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Demandeurs (clients)</w:t>
            </w:r>
          </w:p>
        </w:tc>
        <w:tc>
          <w:tcPr>
            <w:tcW w:type="dxa" w:w="5172"/>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id, first_name, last_name, email, phone, whatsapp, country, city, region, address, customer_type (LOCAL, DIASPORA), notes, consent_at, deleted_at. Unicité sur le téléphone normalisé.</w:t>
            </w:r>
          </w:p>
        </w:tc>
      </w:tr>
      <w:tr>
        <w:trPr>
          <w:cantSplit/>
        </w:trPr>
        <w:tc>
          <w:tcPr>
            <w:tcW w:type="dxa" w:w="19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rFonts w:ascii="Consolas" w:cs="Consolas" w:eastAsia="Consolas" w:hAnsi="Consolas"/>
                <w:b w:val="false"/>
                <w:bCs w:val="false"/>
                <w:sz w:val="17"/>
                <w:szCs w:val="17"/>
              </w:rPr>
              <w:t xml:space="preserve">beneficiaries</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Bénéficiaires d’un client</w:t>
            </w:r>
          </w:p>
        </w:tc>
        <w:tc>
          <w:tcPr>
            <w:tcW w:type="dxa" w:w="5172"/>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id, customer_id, first_name, last_name, phone, whatsapp, country, city, region, address, relationship, notes, deleted_at.</w:t>
            </w:r>
          </w:p>
        </w:tc>
      </w:tr>
    </w:tbl>
    <w:p>
      <w:pPr>
        <w:spacing w:after="100"/>
      </w:pPr>
    </w:p>
    <w:p>
      <w:pPr>
        <w:keepNext/>
        <w:spacing w:after="60" w:before="0"/>
      </w:pPr>
      <w:r>
        <w:rPr>
          <w:b/>
          <w:bCs/>
        </w:rPr>
        <w:t xml:space="preserve">Demandes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00"/>
        <w:gridCol w:w="2000"/>
        <w:gridCol w:w="5172"/>
      </w:tblGrid>
      <w:tr>
        <w:trPr>
          <w:cantSplit/>
          <w:tblHeader/>
        </w:trPr>
        <w:tc>
          <w:tcPr>
            <w:tcW w:type="dxa" w:w="1900"/>
            <w:tcBorders>
              <w:top w:val="single" w:color="7F7F7F" w:sz="4"/>
              <w:left w:val="single" w:color="7F7F7F" w:sz="4"/>
              <w:bottom w:val="single" w:color="7F7F7F" w:sz="4"/>
              <w:right w:val="single" w:color="7F7F7F" w:sz="4"/>
            </w:tcBorders>
            <w:shd w:fill="D9D9D9" w:color="auto" w:val="clear"/>
            <w:tcMar>
              <w:top w:type="dxa" w:w="50"/>
              <w:left w:type="dxa" w:w="90"/>
              <w:bottom w:type="dxa" w:w="50"/>
              <w:right w:type="dxa" w:w="90"/>
            </w:tcMar>
          </w:tcPr>
          <w:p>
            <w:pPr>
              <w:spacing w:after="0"/>
            </w:pPr>
            <w:r>
              <w:rPr>
                <w:b/>
                <w:bCs/>
                <w:sz w:val="19"/>
                <w:szCs w:val="19"/>
              </w:rPr>
              <w:t xml:space="preserve">Table</w:t>
            </w:r>
          </w:p>
        </w:tc>
        <w:tc>
          <w:tcPr>
            <w:tcW w:type="dxa" w:w="2000"/>
            <w:tcBorders>
              <w:top w:val="single" w:color="7F7F7F" w:sz="4"/>
              <w:left w:val="single" w:color="7F7F7F" w:sz="4"/>
              <w:bottom w:val="single" w:color="7F7F7F" w:sz="4"/>
              <w:right w:val="single" w:color="7F7F7F" w:sz="4"/>
            </w:tcBorders>
            <w:shd w:fill="D9D9D9" w:color="auto" w:val="clear"/>
            <w:tcMar>
              <w:top w:type="dxa" w:w="50"/>
              <w:left w:type="dxa" w:w="90"/>
              <w:bottom w:type="dxa" w:w="50"/>
              <w:right w:type="dxa" w:w="90"/>
            </w:tcMar>
          </w:tcPr>
          <w:p>
            <w:pPr>
              <w:spacing w:after="0"/>
            </w:pPr>
            <w:r>
              <w:rPr>
                <w:b/>
                <w:bCs/>
                <w:sz w:val="19"/>
                <w:szCs w:val="19"/>
              </w:rPr>
              <w:t xml:space="preserve">Rôle</w:t>
            </w:r>
          </w:p>
        </w:tc>
        <w:tc>
          <w:tcPr>
            <w:tcW w:type="dxa" w:w="5172"/>
            <w:tcBorders>
              <w:top w:val="single" w:color="7F7F7F" w:sz="4"/>
              <w:left w:val="single" w:color="7F7F7F" w:sz="4"/>
              <w:bottom w:val="single" w:color="7F7F7F" w:sz="4"/>
              <w:right w:val="single" w:color="7F7F7F" w:sz="4"/>
            </w:tcBorders>
            <w:shd w:fill="D9D9D9" w:color="auto" w:val="clear"/>
            <w:tcMar>
              <w:top w:type="dxa" w:w="50"/>
              <w:left w:type="dxa" w:w="90"/>
              <w:bottom w:type="dxa" w:w="50"/>
              <w:right w:type="dxa" w:w="90"/>
            </w:tcMar>
          </w:tcPr>
          <w:p>
            <w:pPr>
              <w:spacing w:after="0"/>
            </w:pPr>
            <w:r>
              <w:rPr>
                <w:b/>
                <w:bCs/>
                <w:sz w:val="19"/>
                <w:szCs w:val="19"/>
              </w:rPr>
              <w:t xml:space="preserve">Champs principaux</w:t>
            </w:r>
          </w:p>
        </w:tc>
      </w:tr>
      <w:tr>
        <w:trPr>
          <w:cantSplit/>
        </w:trPr>
        <w:tc>
          <w:tcPr>
            <w:tcW w:type="dxa" w:w="19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rFonts w:ascii="Consolas" w:cs="Consolas" w:eastAsia="Consolas" w:hAnsi="Consolas"/>
                <w:b w:val="false"/>
                <w:bCs w:val="false"/>
                <w:sz w:val="17"/>
                <w:szCs w:val="17"/>
              </w:rPr>
              <w:t xml:space="preserve">requests</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Table centrale</w:t>
            </w:r>
          </w:p>
        </w:tc>
        <w:tc>
          <w:tcPr>
            <w:tcW w:type="dxa" w:w="5172"/>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id, reference (unique), public_token (aléatoire, unique), customer_id, beneficiary_id (vide si pour soi), service_id, parent_request_id, request_type (QUOTE, SERVICE_REQUEST), status, payment_state, source (SITE, WHATSAPP, PHONE, MANUAL), assigned_to, preferred_date, preferred_time, description, internal_notes, currency, cancelled_reason. Les montants se lisent sur le devis accepté (vue). Le champ estimated_amount est supprimé : l’estimation relève du devis.</w:t>
            </w:r>
          </w:p>
        </w:tc>
      </w:tr>
      <w:tr>
        <w:trPr>
          <w:cantSplit/>
        </w:trPr>
        <w:tc>
          <w:tcPr>
            <w:tcW w:type="dxa" w:w="19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rFonts w:ascii="Consolas" w:cs="Consolas" w:eastAsia="Consolas" w:hAnsi="Consolas"/>
                <w:b w:val="false"/>
                <w:bCs w:val="false"/>
                <w:sz w:val="17"/>
                <w:szCs w:val="17"/>
              </w:rPr>
              <w:t xml:space="preserve">request_events</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Historique métier</w:t>
            </w:r>
          </w:p>
        </w:tc>
        <w:tc>
          <w:tcPr>
            <w:tcW w:type="dxa" w:w="5172"/>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id, request_id, event_type, from_status, to_status, message, visible_to_client, created_by, created_at.</w:t>
            </w:r>
          </w:p>
        </w:tc>
      </w:tr>
      <w:tr>
        <w:trPr>
          <w:cantSplit/>
        </w:trPr>
        <w:tc>
          <w:tcPr>
            <w:tcW w:type="dxa" w:w="19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rFonts w:ascii="Consolas" w:cs="Consolas" w:eastAsia="Consolas" w:hAnsi="Consolas"/>
                <w:b w:val="false"/>
                <w:bCs w:val="false"/>
                <w:sz w:val="17"/>
                <w:szCs w:val="17"/>
              </w:rPr>
              <w:t xml:space="preserve">request_files</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Fichiers joints</w:t>
            </w:r>
          </w:p>
        </w:tc>
        <w:tc>
          <w:tcPr>
            <w:tcW w:type="dxa" w:w="5172"/>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id, request_id, file_name, file_path, mime_type, file_size, uploaded_by (vide si visiteur).</w:t>
            </w:r>
          </w:p>
        </w:tc>
      </w:tr>
    </w:tbl>
    <w:p>
      <w:pPr>
        <w:spacing w:after="100"/>
      </w:pPr>
    </w:p>
    <w:p>
      <w:pPr>
        <w:keepNext/>
        <w:spacing w:after="60" w:before="0"/>
      </w:pPr>
      <w:r>
        <w:rPr>
          <w:b/>
          <w:bCs/>
        </w:rPr>
        <w:t xml:space="preserve">Détails métier</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00"/>
        <w:gridCol w:w="2000"/>
        <w:gridCol w:w="5172"/>
      </w:tblGrid>
      <w:tr>
        <w:trPr>
          <w:cantSplit/>
          <w:tblHeader/>
        </w:trPr>
        <w:tc>
          <w:tcPr>
            <w:tcW w:type="dxa" w:w="1900"/>
            <w:tcBorders>
              <w:top w:val="single" w:color="7F7F7F" w:sz="4"/>
              <w:left w:val="single" w:color="7F7F7F" w:sz="4"/>
              <w:bottom w:val="single" w:color="7F7F7F" w:sz="4"/>
              <w:right w:val="single" w:color="7F7F7F" w:sz="4"/>
            </w:tcBorders>
            <w:shd w:fill="D9D9D9" w:color="auto" w:val="clear"/>
            <w:tcMar>
              <w:top w:type="dxa" w:w="50"/>
              <w:left w:type="dxa" w:w="90"/>
              <w:bottom w:type="dxa" w:w="50"/>
              <w:right w:type="dxa" w:w="90"/>
            </w:tcMar>
          </w:tcPr>
          <w:p>
            <w:pPr>
              <w:spacing w:after="0"/>
            </w:pPr>
            <w:r>
              <w:rPr>
                <w:b/>
                <w:bCs/>
                <w:sz w:val="19"/>
                <w:szCs w:val="19"/>
              </w:rPr>
              <w:t xml:space="preserve">Table</w:t>
            </w:r>
          </w:p>
        </w:tc>
        <w:tc>
          <w:tcPr>
            <w:tcW w:type="dxa" w:w="2000"/>
            <w:tcBorders>
              <w:top w:val="single" w:color="7F7F7F" w:sz="4"/>
              <w:left w:val="single" w:color="7F7F7F" w:sz="4"/>
              <w:bottom w:val="single" w:color="7F7F7F" w:sz="4"/>
              <w:right w:val="single" w:color="7F7F7F" w:sz="4"/>
            </w:tcBorders>
            <w:shd w:fill="D9D9D9" w:color="auto" w:val="clear"/>
            <w:tcMar>
              <w:top w:type="dxa" w:w="50"/>
              <w:left w:type="dxa" w:w="90"/>
              <w:bottom w:type="dxa" w:w="50"/>
              <w:right w:type="dxa" w:w="90"/>
            </w:tcMar>
          </w:tcPr>
          <w:p>
            <w:pPr>
              <w:spacing w:after="0"/>
            </w:pPr>
            <w:r>
              <w:rPr>
                <w:b/>
                <w:bCs/>
                <w:sz w:val="19"/>
                <w:szCs w:val="19"/>
              </w:rPr>
              <w:t xml:space="preserve">Rôle</w:t>
            </w:r>
          </w:p>
        </w:tc>
        <w:tc>
          <w:tcPr>
            <w:tcW w:type="dxa" w:w="5172"/>
            <w:tcBorders>
              <w:top w:val="single" w:color="7F7F7F" w:sz="4"/>
              <w:left w:val="single" w:color="7F7F7F" w:sz="4"/>
              <w:bottom w:val="single" w:color="7F7F7F" w:sz="4"/>
              <w:right w:val="single" w:color="7F7F7F" w:sz="4"/>
            </w:tcBorders>
            <w:shd w:fill="D9D9D9" w:color="auto" w:val="clear"/>
            <w:tcMar>
              <w:top w:type="dxa" w:w="50"/>
              <w:left w:type="dxa" w:w="90"/>
              <w:bottom w:type="dxa" w:w="50"/>
              <w:right w:type="dxa" w:w="90"/>
            </w:tcMar>
          </w:tcPr>
          <w:p>
            <w:pPr>
              <w:spacing w:after="0"/>
            </w:pPr>
            <w:r>
              <w:rPr>
                <w:b/>
                <w:bCs/>
                <w:sz w:val="19"/>
                <w:szCs w:val="19"/>
              </w:rPr>
              <w:t xml:space="preserve">Champs principaux</w:t>
            </w:r>
          </w:p>
        </w:tc>
      </w:tr>
      <w:tr>
        <w:trPr>
          <w:cantSplit/>
        </w:trPr>
        <w:tc>
          <w:tcPr>
            <w:tcW w:type="dxa" w:w="19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rFonts w:ascii="Consolas" w:cs="Consolas" w:eastAsia="Consolas" w:hAnsi="Consolas"/>
                <w:b w:val="false"/>
                <w:bCs w:val="false"/>
                <w:sz w:val="17"/>
                <w:szCs w:val="17"/>
              </w:rPr>
              <w:t xml:space="preserve">wedding_details</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Informations du mariage</w:t>
            </w:r>
          </w:p>
        </w:tc>
        <w:tc>
          <w:tcPr>
            <w:tcW w:type="dxa" w:w="5172"/>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id, request_id (unique), requester_role, groom_name, bride_name, boina_harus_name, bibi_harus_name, venue, city, region, start_date, end_date, additional_notes.</w:t>
            </w:r>
          </w:p>
        </w:tc>
      </w:tr>
      <w:tr>
        <w:trPr>
          <w:cantSplit/>
        </w:trPr>
        <w:tc>
          <w:tcPr>
            <w:tcW w:type="dxa" w:w="19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rFonts w:ascii="Consolas" w:cs="Consolas" w:eastAsia="Consolas" w:hAnsi="Consolas"/>
                <w:b w:val="false"/>
                <w:bCs w:val="false"/>
                <w:sz w:val="17"/>
                <w:szCs w:val="17"/>
              </w:rPr>
              <w:t xml:space="preserve">ceremony_types</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Prestations de mariage connues</w:t>
            </w:r>
          </w:p>
        </w:tc>
        <w:tc>
          <w:tcPr>
            <w:tcW w:type="dxa" w:w="5172"/>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id, code, label, is_active, sort_order. Valeurs initiales : Grand Mariage, Karam, Mdhwahirisho, Pao, Mambizo.</w:t>
            </w:r>
          </w:p>
        </w:tc>
      </w:tr>
      <w:tr>
        <w:trPr>
          <w:cantSplit/>
        </w:trPr>
        <w:tc>
          <w:tcPr>
            <w:tcW w:type="dxa" w:w="19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rFonts w:ascii="Consolas" w:cs="Consolas" w:eastAsia="Consolas" w:hAnsi="Consolas"/>
                <w:b w:val="false"/>
                <w:bCs w:val="false"/>
                <w:sz w:val="17"/>
                <w:szCs w:val="17"/>
              </w:rPr>
              <w:t xml:space="preserve">wedding_events</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Programme jour par jour</w:t>
            </w:r>
          </w:p>
        </w:tc>
        <w:tc>
          <w:tcPr>
            <w:tcW w:type="dxa" w:w="5172"/>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id, wedding_detail_id, ceremony_type_id (vide pour une prestation libre), custom_label (intitulé d’une prestation libre), event_date, start_time, end_time, ends_next_day, venue, notes, sort_order. Le nom du jour est déduit de la date.</w:t>
            </w:r>
          </w:p>
        </w:tc>
      </w:tr>
      <w:tr>
        <w:trPr>
          <w:cantSplit/>
        </w:trPr>
        <w:tc>
          <w:tcPr>
            <w:tcW w:type="dxa" w:w="19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rFonts w:ascii="Consolas" w:cs="Consolas" w:eastAsia="Consolas" w:hAnsi="Consolas"/>
                <w:b w:val="false"/>
                <w:bCs w:val="false"/>
                <w:sz w:val="17"/>
                <w:szCs w:val="17"/>
              </w:rPr>
              <w:t xml:space="preserve">photo_sessions</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Séances photo</w:t>
            </w:r>
          </w:p>
        </w:tc>
        <w:tc>
          <w:tcPr>
            <w:tcW w:type="dxa" w:w="5172"/>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id, request_id, wedding_detail_id (vide si autonome), session_type, session_date, start_time, end_time, location, participants_count, photo_numbers (liste d’entiers de 1 à 30), notes.</w:t>
            </w:r>
          </w:p>
        </w:tc>
      </w:tr>
      <w:tr>
        <w:trPr>
          <w:cantSplit/>
        </w:trPr>
        <w:tc>
          <w:tcPr>
            <w:tcW w:type="dxa" w:w="19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rFonts w:ascii="Consolas" w:cs="Consolas" w:eastAsia="Consolas" w:hAnsi="Consolas"/>
                <w:b w:val="false"/>
                <w:bCs w:val="false"/>
                <w:sz w:val="17"/>
                <w:szCs w:val="17"/>
              </w:rPr>
              <w:t xml:space="preserve">advertising_requests</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Spots publicitaires</w:t>
            </w:r>
          </w:p>
        </w:tc>
        <w:tc>
          <w:tcPr>
            <w:tcW w:type="dxa" w:w="5172"/>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id, request_id, company_name, activity, contact_person, campaign_objective, product_service, shooting_location, preferred_date, duration, distribution_channels, has_script, needs_script, needs_actors, needs_voiceover, needs_music, other_needs, notes.</w:t>
            </w:r>
          </w:p>
        </w:tc>
      </w:tr>
      <w:tr>
        <w:trPr>
          <w:cantSplit/>
        </w:trPr>
        <w:tc>
          <w:tcPr>
            <w:tcW w:type="dxa" w:w="19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rFonts w:ascii="Consolas" w:cs="Consolas" w:eastAsia="Consolas" w:hAnsi="Consolas"/>
                <w:b w:val="false"/>
                <w:bCs w:val="false"/>
                <w:sz w:val="17"/>
                <w:szCs w:val="17"/>
              </w:rPr>
              <w:t xml:space="preserve">printing_requests</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Imprimerie</w:t>
            </w:r>
          </w:p>
        </w:tc>
        <w:tc>
          <w:tcPr>
            <w:tcW w:type="dxa" w:w="5172"/>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id, request_id, document_type, format, quantity, color_mode, duplex, paper_type, finishing, deadline, notes. Le fichier à imprimer est dans request_files.</w:t>
            </w:r>
          </w:p>
        </w:tc>
      </w:tr>
      <w:tr>
        <w:trPr>
          <w:cantSplit/>
        </w:trPr>
        <w:tc>
          <w:tcPr>
            <w:tcW w:type="dxa" w:w="19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rFonts w:ascii="Consolas" w:cs="Consolas" w:eastAsia="Consolas" w:hAnsi="Consolas"/>
                <w:b w:val="false"/>
                <w:bCs w:val="false"/>
                <w:sz w:val="17"/>
                <w:szCs w:val="17"/>
              </w:rPr>
              <w:t xml:space="preserve">service_request_details</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Services à la demande</w:t>
            </w:r>
          </w:p>
        </w:tc>
        <w:tc>
          <w:tcPr>
            <w:tcW w:type="dxa" w:w="5172"/>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id, request_id, details (jsonb, validé selon form_key).</w:t>
            </w:r>
          </w:p>
        </w:tc>
      </w:tr>
    </w:tbl>
    <w:p>
      <w:pPr>
        <w:spacing w:after="100"/>
      </w:pPr>
    </w:p>
    <w:p>
      <w:pPr>
        <w:keepNext/>
        <w:spacing w:after="60" w:before="0"/>
      </w:pPr>
      <w:r>
        <w:rPr>
          <w:b/>
          <w:bCs/>
        </w:rPr>
        <w:t xml:space="preserve">Commercial et finance</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00"/>
        <w:gridCol w:w="2000"/>
        <w:gridCol w:w="5172"/>
      </w:tblGrid>
      <w:tr>
        <w:trPr>
          <w:cantSplit/>
          <w:tblHeader/>
        </w:trPr>
        <w:tc>
          <w:tcPr>
            <w:tcW w:type="dxa" w:w="1900"/>
            <w:tcBorders>
              <w:top w:val="single" w:color="7F7F7F" w:sz="4"/>
              <w:left w:val="single" w:color="7F7F7F" w:sz="4"/>
              <w:bottom w:val="single" w:color="7F7F7F" w:sz="4"/>
              <w:right w:val="single" w:color="7F7F7F" w:sz="4"/>
            </w:tcBorders>
            <w:shd w:fill="D9D9D9" w:color="auto" w:val="clear"/>
            <w:tcMar>
              <w:top w:type="dxa" w:w="50"/>
              <w:left w:type="dxa" w:w="90"/>
              <w:bottom w:type="dxa" w:w="50"/>
              <w:right w:type="dxa" w:w="90"/>
            </w:tcMar>
          </w:tcPr>
          <w:p>
            <w:pPr>
              <w:spacing w:after="0"/>
            </w:pPr>
            <w:r>
              <w:rPr>
                <w:b/>
                <w:bCs/>
                <w:sz w:val="19"/>
                <w:szCs w:val="19"/>
              </w:rPr>
              <w:t xml:space="preserve">Table</w:t>
            </w:r>
          </w:p>
        </w:tc>
        <w:tc>
          <w:tcPr>
            <w:tcW w:type="dxa" w:w="2000"/>
            <w:tcBorders>
              <w:top w:val="single" w:color="7F7F7F" w:sz="4"/>
              <w:left w:val="single" w:color="7F7F7F" w:sz="4"/>
              <w:bottom w:val="single" w:color="7F7F7F" w:sz="4"/>
              <w:right w:val="single" w:color="7F7F7F" w:sz="4"/>
            </w:tcBorders>
            <w:shd w:fill="D9D9D9" w:color="auto" w:val="clear"/>
            <w:tcMar>
              <w:top w:type="dxa" w:w="50"/>
              <w:left w:type="dxa" w:w="90"/>
              <w:bottom w:type="dxa" w:w="50"/>
              <w:right w:type="dxa" w:w="90"/>
            </w:tcMar>
          </w:tcPr>
          <w:p>
            <w:pPr>
              <w:spacing w:after="0"/>
            </w:pPr>
            <w:r>
              <w:rPr>
                <w:b/>
                <w:bCs/>
                <w:sz w:val="19"/>
                <w:szCs w:val="19"/>
              </w:rPr>
              <w:t xml:space="preserve">Rôle</w:t>
            </w:r>
          </w:p>
        </w:tc>
        <w:tc>
          <w:tcPr>
            <w:tcW w:type="dxa" w:w="5172"/>
            <w:tcBorders>
              <w:top w:val="single" w:color="7F7F7F" w:sz="4"/>
              <w:left w:val="single" w:color="7F7F7F" w:sz="4"/>
              <w:bottom w:val="single" w:color="7F7F7F" w:sz="4"/>
              <w:right w:val="single" w:color="7F7F7F" w:sz="4"/>
            </w:tcBorders>
            <w:shd w:fill="D9D9D9" w:color="auto" w:val="clear"/>
            <w:tcMar>
              <w:top w:type="dxa" w:w="50"/>
              <w:left w:type="dxa" w:w="90"/>
              <w:bottom w:type="dxa" w:w="50"/>
              <w:right w:type="dxa" w:w="90"/>
            </w:tcMar>
          </w:tcPr>
          <w:p>
            <w:pPr>
              <w:spacing w:after="0"/>
            </w:pPr>
            <w:r>
              <w:rPr>
                <w:b/>
                <w:bCs/>
                <w:sz w:val="19"/>
                <w:szCs w:val="19"/>
              </w:rPr>
              <w:t xml:space="preserve">Champs principaux</w:t>
            </w:r>
          </w:p>
        </w:tc>
      </w:tr>
      <w:tr>
        <w:trPr>
          <w:cantSplit/>
        </w:trPr>
        <w:tc>
          <w:tcPr>
            <w:tcW w:type="dxa" w:w="19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rFonts w:ascii="Consolas" w:cs="Consolas" w:eastAsia="Consolas" w:hAnsi="Consolas"/>
                <w:b w:val="false"/>
                <w:bCs w:val="false"/>
                <w:sz w:val="17"/>
                <w:szCs w:val="17"/>
              </w:rPr>
              <w:t xml:space="preserve">quotes</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Devis, y compris devis simplifiés</w:t>
            </w:r>
          </w:p>
        </w:tc>
        <w:tc>
          <w:tcPr>
            <w:tcW w:type="dxa" w:w="5172"/>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id, request_id, quote_number (unique), version, parent_quote_id, status (DRAFT, SENT, VIEWED, ACCEPTED, REJECTED, EXPIRED, CANCELLED), subtotal, discount, tax, total, deposit_amount, currency, valid_until, terms, notes, public_token, sent_at, viewed_at, accepted_at, accepted_by_name, created_by.</w:t>
            </w:r>
          </w:p>
        </w:tc>
      </w:tr>
      <w:tr>
        <w:trPr>
          <w:cantSplit/>
        </w:trPr>
        <w:tc>
          <w:tcPr>
            <w:tcW w:type="dxa" w:w="19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rFonts w:ascii="Consolas" w:cs="Consolas" w:eastAsia="Consolas" w:hAnsi="Consolas"/>
                <w:b w:val="false"/>
                <w:bCs w:val="false"/>
                <w:sz w:val="17"/>
                <w:szCs w:val="17"/>
              </w:rPr>
              <w:t xml:space="preserve">quote_items</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Lignes de devis</w:t>
            </w:r>
          </w:p>
        </w:tc>
        <w:tc>
          <w:tcPr>
            <w:tcW w:type="dxa" w:w="5172"/>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id, quote_id, description, quantity, unit_price, total (calculé par la base), is_pass_through, sort_order.</w:t>
            </w:r>
          </w:p>
        </w:tc>
      </w:tr>
      <w:tr>
        <w:trPr>
          <w:cantSplit/>
        </w:trPr>
        <w:tc>
          <w:tcPr>
            <w:tcW w:type="dxa" w:w="19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rFonts w:ascii="Consolas" w:cs="Consolas" w:eastAsia="Consolas" w:hAnsi="Consolas"/>
                <w:b w:val="false"/>
                <w:bCs w:val="false"/>
                <w:sz w:val="17"/>
                <w:szCs w:val="17"/>
              </w:rPr>
              <w:t xml:space="preserve">payments</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Paiements</w:t>
            </w:r>
          </w:p>
        </w:tc>
        <w:tc>
          <w:tcPr>
            <w:tcW w:type="dxa" w:w="5172"/>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id, request_id, quote_id, customer_id, amount, currency, payment_method, reference, status (PENDING, CONFIRMED, FAILED, CANCELLED, REFUNDED), paid_at, proof_file_path, confirmed_by, confirmed_at, notes. Jamais supprimés.</w:t>
            </w:r>
          </w:p>
        </w:tc>
      </w:tr>
      <w:tr>
        <w:trPr>
          <w:cantSplit/>
        </w:trPr>
        <w:tc>
          <w:tcPr>
            <w:tcW w:type="dxa" w:w="19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rFonts w:ascii="Consolas" w:cs="Consolas" w:eastAsia="Consolas" w:hAnsi="Consolas"/>
                <w:b w:val="false"/>
                <w:bCs w:val="false"/>
                <w:sz w:val="17"/>
                <w:szCs w:val="17"/>
              </w:rPr>
              <w:t xml:space="preserve">generated_documents</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Documents PDF émis</w:t>
            </w:r>
          </w:p>
        </w:tc>
        <w:tc>
          <w:tcPr>
            <w:tcW w:type="dxa" w:w="5172"/>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id, request_id, quote_id (facultatif), document_type (QUOTE, SERVICE_SHEET, RECEIPT), document_number, file_path, is_stamped, generated_by, created_at. Jamais modifiés ni supprimés.</w:t>
            </w:r>
          </w:p>
        </w:tc>
      </w:tr>
      <w:tr>
        <w:trPr>
          <w:cantSplit/>
        </w:trPr>
        <w:tc>
          <w:tcPr>
            <w:tcW w:type="dxa" w:w="19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rFonts w:ascii="Consolas" w:cs="Consolas" w:eastAsia="Consolas" w:hAnsi="Consolas"/>
                <w:b w:val="false"/>
                <w:bCs w:val="false"/>
                <w:sz w:val="17"/>
                <w:szCs w:val="17"/>
              </w:rPr>
              <w:t xml:space="preserve">expense_categories</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Catégories de dépenses</w:t>
            </w:r>
          </w:p>
        </w:tc>
        <w:tc>
          <w:tcPr>
            <w:tcW w:type="dxa" w:w="5172"/>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id, name, is_active.</w:t>
            </w:r>
          </w:p>
        </w:tc>
      </w:tr>
      <w:tr>
        <w:trPr>
          <w:cantSplit/>
        </w:trPr>
        <w:tc>
          <w:tcPr>
            <w:tcW w:type="dxa" w:w="19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rFonts w:ascii="Consolas" w:cs="Consolas" w:eastAsia="Consolas" w:hAnsi="Consolas"/>
                <w:b w:val="false"/>
                <w:bCs w:val="false"/>
                <w:sz w:val="17"/>
                <w:szCs w:val="17"/>
              </w:rPr>
              <w:t xml:space="preserve">expenses</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Dépenses</w:t>
            </w:r>
          </w:p>
        </w:tc>
        <w:tc>
          <w:tcPr>
            <w:tcW w:type="dxa" w:w="5172"/>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id, request_id (facultatif), category_id, description, supplier, amount, currency, expense_date, payment_method, receipt_path, created_by, notes.</w:t>
            </w:r>
          </w:p>
        </w:tc>
      </w:tr>
      <w:tr>
        <w:trPr>
          <w:cantSplit/>
        </w:trPr>
        <w:tc>
          <w:tcPr>
            <w:tcW w:type="dxa" w:w="19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rFonts w:ascii="Consolas" w:cs="Consolas" w:eastAsia="Consolas" w:hAnsi="Consolas"/>
                <w:b w:val="false"/>
                <w:bCs w:val="false"/>
                <w:sz w:val="17"/>
                <w:szCs w:val="17"/>
              </w:rPr>
              <w:t xml:space="preserve">bookings</w:t>
            </w:r>
            <w:r>
              <w:rPr>
                <w:b w:val="false"/>
                <w:bCs w:val="false"/>
                <w:sz w:val="19"/>
                <w:szCs w:val="19"/>
              </w:rPr>
              <w:t xml:space="preserve"> (V2)</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Calendrier des prestations</w:t>
            </w:r>
          </w:p>
        </w:tc>
        <w:tc>
          <w:tcPr>
            <w:tcW w:type="dxa" w:w="5172"/>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id, request_id, start_at, end_at, venue, assigned_to, status, notes.</w:t>
            </w:r>
          </w:p>
        </w:tc>
      </w:tr>
    </w:tbl>
    <w:p>
      <w:pPr>
        <w:spacing w:after="100"/>
      </w:pPr>
    </w:p>
    <w:p>
      <w:pPr>
        <w:spacing w:after="120" w:before="0"/>
      </w:pPr>
      <w:r>
        <w:t xml:space="preserve">Modes de paiement configurables : espèces, Wave, Orange Money, Holo, virement, autre (liste à adapter selon la réponse à la question 1 du § 15).</w:t>
      </w:r>
    </w:p>
    <w:p>
      <w:pPr>
        <w:keepNext/>
        <w:spacing w:after="60" w:before="0"/>
      </w:pPr>
      <w:r>
        <w:rPr>
          <w:b/>
          <w:bCs/>
        </w:rPr>
        <w:t xml:space="preserve">Contenus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00"/>
        <w:gridCol w:w="2000"/>
        <w:gridCol w:w="5172"/>
      </w:tblGrid>
      <w:tr>
        <w:trPr>
          <w:cantSplit/>
          <w:tblHeader/>
        </w:trPr>
        <w:tc>
          <w:tcPr>
            <w:tcW w:type="dxa" w:w="1900"/>
            <w:tcBorders>
              <w:top w:val="single" w:color="7F7F7F" w:sz="4"/>
              <w:left w:val="single" w:color="7F7F7F" w:sz="4"/>
              <w:bottom w:val="single" w:color="7F7F7F" w:sz="4"/>
              <w:right w:val="single" w:color="7F7F7F" w:sz="4"/>
            </w:tcBorders>
            <w:shd w:fill="D9D9D9" w:color="auto" w:val="clear"/>
            <w:tcMar>
              <w:top w:type="dxa" w:w="50"/>
              <w:left w:type="dxa" w:w="90"/>
              <w:bottom w:type="dxa" w:w="50"/>
              <w:right w:type="dxa" w:w="90"/>
            </w:tcMar>
          </w:tcPr>
          <w:p>
            <w:pPr>
              <w:spacing w:after="0"/>
            </w:pPr>
            <w:r>
              <w:rPr>
                <w:b/>
                <w:bCs/>
                <w:sz w:val="19"/>
                <w:szCs w:val="19"/>
              </w:rPr>
              <w:t xml:space="preserve">Table</w:t>
            </w:r>
          </w:p>
        </w:tc>
        <w:tc>
          <w:tcPr>
            <w:tcW w:type="dxa" w:w="2000"/>
            <w:tcBorders>
              <w:top w:val="single" w:color="7F7F7F" w:sz="4"/>
              <w:left w:val="single" w:color="7F7F7F" w:sz="4"/>
              <w:bottom w:val="single" w:color="7F7F7F" w:sz="4"/>
              <w:right w:val="single" w:color="7F7F7F" w:sz="4"/>
            </w:tcBorders>
            <w:shd w:fill="D9D9D9" w:color="auto" w:val="clear"/>
            <w:tcMar>
              <w:top w:type="dxa" w:w="50"/>
              <w:left w:type="dxa" w:w="90"/>
              <w:bottom w:type="dxa" w:w="50"/>
              <w:right w:type="dxa" w:w="90"/>
            </w:tcMar>
          </w:tcPr>
          <w:p>
            <w:pPr>
              <w:spacing w:after="0"/>
            </w:pPr>
            <w:r>
              <w:rPr>
                <w:b/>
                <w:bCs/>
                <w:sz w:val="19"/>
                <w:szCs w:val="19"/>
              </w:rPr>
              <w:t xml:space="preserve">Rôle</w:t>
            </w:r>
          </w:p>
        </w:tc>
        <w:tc>
          <w:tcPr>
            <w:tcW w:type="dxa" w:w="5172"/>
            <w:tcBorders>
              <w:top w:val="single" w:color="7F7F7F" w:sz="4"/>
              <w:left w:val="single" w:color="7F7F7F" w:sz="4"/>
              <w:bottom w:val="single" w:color="7F7F7F" w:sz="4"/>
              <w:right w:val="single" w:color="7F7F7F" w:sz="4"/>
            </w:tcBorders>
            <w:shd w:fill="D9D9D9" w:color="auto" w:val="clear"/>
            <w:tcMar>
              <w:top w:type="dxa" w:w="50"/>
              <w:left w:type="dxa" w:w="90"/>
              <w:bottom w:type="dxa" w:w="50"/>
              <w:right w:type="dxa" w:w="90"/>
            </w:tcMar>
          </w:tcPr>
          <w:p>
            <w:pPr>
              <w:spacing w:after="0"/>
            </w:pPr>
            <w:r>
              <w:rPr>
                <w:b/>
                <w:bCs/>
                <w:sz w:val="19"/>
                <w:szCs w:val="19"/>
              </w:rPr>
              <w:t xml:space="preserve">Champs principaux</w:t>
            </w:r>
          </w:p>
        </w:tc>
      </w:tr>
      <w:tr>
        <w:trPr>
          <w:cantSplit/>
        </w:trPr>
        <w:tc>
          <w:tcPr>
            <w:tcW w:type="dxa" w:w="19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rFonts w:ascii="Consolas" w:cs="Consolas" w:eastAsia="Consolas" w:hAnsi="Consolas"/>
                <w:b w:val="false"/>
                <w:bCs w:val="false"/>
                <w:sz w:val="17"/>
                <w:szCs w:val="17"/>
              </w:rPr>
              <w:t xml:space="preserve">gallery_items</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Galerie</w:t>
            </w:r>
          </w:p>
        </w:tc>
        <w:tc>
          <w:tcPr>
            <w:tcW w:type="dxa" w:w="5172"/>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id, category (mariage, photo, publicité, imprimerie, événement, autre), title, image_path, sort_order, is_published.</w:t>
            </w:r>
          </w:p>
        </w:tc>
      </w:tr>
      <w:tr>
        <w:trPr>
          <w:cantSplit/>
        </w:trPr>
        <w:tc>
          <w:tcPr>
            <w:tcW w:type="dxa" w:w="19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rFonts w:ascii="Consolas" w:cs="Consolas" w:eastAsia="Consolas" w:hAnsi="Consolas"/>
                <w:b w:val="false"/>
                <w:bCs w:val="false"/>
                <w:sz w:val="17"/>
                <w:szCs w:val="17"/>
              </w:rPr>
              <w:t xml:space="preserve">testimonials</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Témoignages</w:t>
            </w:r>
          </w:p>
        </w:tc>
        <w:tc>
          <w:tcPr>
            <w:tcW w:type="dxa" w:w="5172"/>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id, author_name, author_context, content, is_published, sort_order.</w:t>
            </w:r>
          </w:p>
        </w:tc>
      </w:tr>
      <w:tr>
        <w:trPr>
          <w:cantSplit/>
        </w:trPr>
        <w:tc>
          <w:tcPr>
            <w:tcW w:type="dxa" w:w="19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rFonts w:ascii="Consolas" w:cs="Consolas" w:eastAsia="Consolas" w:hAnsi="Consolas"/>
                <w:b w:val="false"/>
                <w:bCs w:val="false"/>
                <w:sz w:val="17"/>
                <w:szCs w:val="17"/>
              </w:rPr>
              <w:t xml:space="preserve">faqs</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Questions fréquentes</w:t>
            </w:r>
          </w:p>
        </w:tc>
        <w:tc>
          <w:tcPr>
            <w:tcW w:type="dxa" w:w="5172"/>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id, question, answer, service_id (facultatif), sort_order, is_published.</w:t>
            </w:r>
          </w:p>
        </w:tc>
      </w:tr>
      <w:tr>
        <w:trPr>
          <w:cantSplit/>
        </w:trPr>
        <w:tc>
          <w:tcPr>
            <w:tcW w:type="dxa" w:w="19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rFonts w:ascii="Consolas" w:cs="Consolas" w:eastAsia="Consolas" w:hAnsi="Consolas"/>
                <w:b w:val="false"/>
                <w:bCs w:val="false"/>
                <w:sz w:val="17"/>
                <w:szCs w:val="17"/>
              </w:rPr>
              <w:t xml:space="preserve">site_settings</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Réglages du site</w:t>
            </w:r>
          </w:p>
        </w:tc>
        <w:tc>
          <w:tcPr>
            <w:tcW w:type="dxa" w:w="5172"/>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id, key (unique), value, type, is_public, updated_by. Seules les clés marquées publiques sont lisibles par les visiteurs. Identité de l’agence : nom, téléphones, e-mail, adresse, WhatsApp ; le chemin du cachet n’est jamais public.</w:t>
            </w:r>
          </w:p>
        </w:tc>
      </w:tr>
      <w:tr>
        <w:trPr>
          <w:cantSplit/>
        </w:trPr>
        <w:tc>
          <w:tcPr>
            <w:tcW w:type="dxa" w:w="19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rFonts w:ascii="Consolas" w:cs="Consolas" w:eastAsia="Consolas" w:hAnsi="Consolas"/>
                <w:b w:val="false"/>
                <w:bCs w:val="false"/>
                <w:sz w:val="17"/>
                <w:szCs w:val="17"/>
              </w:rPr>
              <w:t xml:space="preserve">contact_messages</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Messages de contact</w:t>
            </w:r>
          </w:p>
        </w:tc>
        <w:tc>
          <w:tcPr>
            <w:tcW w:type="dxa" w:w="5172"/>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id, name, phone, email, subject, message, status (NEW, READ, IN_PROGRESS, RESOLVED, ARCHIVED), handled_by.</w:t>
            </w:r>
          </w:p>
        </w:tc>
      </w:tr>
    </w:tbl>
    <w:p>
      <w:pPr>
        <w:spacing w:after="100"/>
      </w:pPr>
    </w:p>
    <w:p>
      <w:pPr>
        <w:keepNext/>
        <w:spacing w:after="60" w:before="0"/>
      </w:pPr>
      <w:r>
        <w:rPr>
          <w:b/>
          <w:bCs/>
        </w:rPr>
        <w:t xml:space="preserve">Système</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00"/>
        <w:gridCol w:w="2000"/>
        <w:gridCol w:w="5172"/>
      </w:tblGrid>
      <w:tr>
        <w:trPr>
          <w:cantSplit/>
          <w:tblHeader/>
        </w:trPr>
        <w:tc>
          <w:tcPr>
            <w:tcW w:type="dxa" w:w="1900"/>
            <w:tcBorders>
              <w:top w:val="single" w:color="7F7F7F" w:sz="4"/>
              <w:left w:val="single" w:color="7F7F7F" w:sz="4"/>
              <w:bottom w:val="single" w:color="7F7F7F" w:sz="4"/>
              <w:right w:val="single" w:color="7F7F7F" w:sz="4"/>
            </w:tcBorders>
            <w:shd w:fill="D9D9D9" w:color="auto" w:val="clear"/>
            <w:tcMar>
              <w:top w:type="dxa" w:w="50"/>
              <w:left w:type="dxa" w:w="90"/>
              <w:bottom w:type="dxa" w:w="50"/>
              <w:right w:type="dxa" w:w="90"/>
            </w:tcMar>
          </w:tcPr>
          <w:p>
            <w:pPr>
              <w:spacing w:after="0"/>
            </w:pPr>
            <w:r>
              <w:rPr>
                <w:b/>
                <w:bCs/>
                <w:sz w:val="19"/>
                <w:szCs w:val="19"/>
              </w:rPr>
              <w:t xml:space="preserve">Table</w:t>
            </w:r>
          </w:p>
        </w:tc>
        <w:tc>
          <w:tcPr>
            <w:tcW w:type="dxa" w:w="2000"/>
            <w:tcBorders>
              <w:top w:val="single" w:color="7F7F7F" w:sz="4"/>
              <w:left w:val="single" w:color="7F7F7F" w:sz="4"/>
              <w:bottom w:val="single" w:color="7F7F7F" w:sz="4"/>
              <w:right w:val="single" w:color="7F7F7F" w:sz="4"/>
            </w:tcBorders>
            <w:shd w:fill="D9D9D9" w:color="auto" w:val="clear"/>
            <w:tcMar>
              <w:top w:type="dxa" w:w="50"/>
              <w:left w:type="dxa" w:w="90"/>
              <w:bottom w:type="dxa" w:w="50"/>
              <w:right w:type="dxa" w:w="90"/>
            </w:tcMar>
          </w:tcPr>
          <w:p>
            <w:pPr>
              <w:spacing w:after="0"/>
            </w:pPr>
            <w:r>
              <w:rPr>
                <w:b/>
                <w:bCs/>
                <w:sz w:val="19"/>
                <w:szCs w:val="19"/>
              </w:rPr>
              <w:t xml:space="preserve">Rôle</w:t>
            </w:r>
          </w:p>
        </w:tc>
        <w:tc>
          <w:tcPr>
            <w:tcW w:type="dxa" w:w="5172"/>
            <w:tcBorders>
              <w:top w:val="single" w:color="7F7F7F" w:sz="4"/>
              <w:left w:val="single" w:color="7F7F7F" w:sz="4"/>
              <w:bottom w:val="single" w:color="7F7F7F" w:sz="4"/>
              <w:right w:val="single" w:color="7F7F7F" w:sz="4"/>
            </w:tcBorders>
            <w:shd w:fill="D9D9D9" w:color="auto" w:val="clear"/>
            <w:tcMar>
              <w:top w:type="dxa" w:w="50"/>
              <w:left w:type="dxa" w:w="90"/>
              <w:bottom w:type="dxa" w:w="50"/>
              <w:right w:type="dxa" w:w="90"/>
            </w:tcMar>
          </w:tcPr>
          <w:p>
            <w:pPr>
              <w:spacing w:after="0"/>
            </w:pPr>
            <w:r>
              <w:rPr>
                <w:b/>
                <w:bCs/>
                <w:sz w:val="19"/>
                <w:szCs w:val="19"/>
              </w:rPr>
              <w:t xml:space="preserve">Champs principaux</w:t>
            </w:r>
          </w:p>
        </w:tc>
      </w:tr>
      <w:tr>
        <w:trPr>
          <w:cantSplit/>
        </w:trPr>
        <w:tc>
          <w:tcPr>
            <w:tcW w:type="dxa" w:w="19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rFonts w:ascii="Consolas" w:cs="Consolas" w:eastAsia="Consolas" w:hAnsi="Consolas"/>
                <w:b w:val="false"/>
                <w:bCs w:val="false"/>
                <w:sz w:val="17"/>
                <w:szCs w:val="17"/>
              </w:rPr>
              <w:t xml:space="preserve">notifications</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Notifications internes</w:t>
            </w:r>
          </w:p>
        </w:tc>
        <w:tc>
          <w:tcPr>
            <w:tcW w:type="dxa" w:w="5172"/>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id, user_id, request_id, title, message, type, is_read, created_at.</w:t>
            </w:r>
          </w:p>
        </w:tc>
      </w:tr>
      <w:tr>
        <w:trPr>
          <w:cantSplit/>
        </w:trPr>
        <w:tc>
          <w:tcPr>
            <w:tcW w:type="dxa" w:w="19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rFonts w:ascii="Consolas" w:cs="Consolas" w:eastAsia="Consolas" w:hAnsi="Consolas"/>
                <w:b w:val="false"/>
                <w:bCs w:val="false"/>
                <w:sz w:val="17"/>
                <w:szCs w:val="17"/>
              </w:rPr>
              <w:t xml:space="preserve">audit_logs</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Journal d’activité</w:t>
            </w:r>
          </w:p>
        </w:tc>
        <w:tc>
          <w:tcPr>
            <w:tcW w:type="dxa" w:w="5172"/>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id, user_id, action, entity_type, entity_id, old_data, new_data, ip_address, created_at. Alimenté par déclencheurs, lecture seule.</w:t>
            </w:r>
          </w:p>
        </w:tc>
      </w:tr>
    </w:tbl>
    <w:p>
      <w:pPr>
        <w:spacing w:after="100"/>
      </w:pPr>
    </w:p>
    <w:p>
      <w:pPr>
        <w:pStyle w:val="Heading1"/>
      </w:pPr>
      <w:r>
        <w:t xml:space="preserve">11. Sécurité et conformité</w:t>
      </w:r>
    </w:p>
    <w:p>
      <w:pPr>
        <w:pStyle w:val="ListParagraph"/>
        <w:numPr>
          <w:ilvl w:val="0"/>
          <w:numId w:val="6"/>
        </w:numPr>
        <w:spacing w:after="60"/>
      </w:pPr>
      <w:r>
        <w:rPr>
          <w:b/>
          <w:bCs/>
        </w:rPr>
        <w:t xml:space="preserve">RLS partout.</w:t>
      </w:r>
      <w:r>
        <w:t xml:space="preserve"> Row Level Security est activé sur toutes les tables du schéma public, y compris les tables de détail. Aucune table n’est livrée sans politique, dans la même migration.</w:t>
      </w:r>
    </w:p>
    <w:p>
      <w:pPr>
        <w:pStyle w:val="ListParagraph"/>
        <w:numPr>
          <w:ilvl w:val="0"/>
          <w:numId w:val="6"/>
        </w:numPr>
        <w:spacing w:after="60"/>
      </w:pPr>
      <w:r>
        <w:rPr>
          <w:b/>
          <w:bCs/>
        </w:rPr>
        <w:t xml:space="preserve">Lecture publique limitée</w:t>
      </w:r>
      <w:r>
        <w:t xml:space="preserve"> aux contenus publiés : services actifs, galerie visible, FAQ et témoignages publiés, réglages marqués publics.</w:t>
      </w:r>
    </w:p>
    <w:p>
      <w:pPr>
        <w:pStyle w:val="ListParagraph"/>
        <w:numPr>
          <w:ilvl w:val="0"/>
          <w:numId w:val="6"/>
        </w:numPr>
        <w:spacing w:after="60"/>
      </w:pPr>
      <w:r>
        <w:rPr>
          <w:b/>
          <w:bCs/>
        </w:rPr>
        <w:t xml:space="preserve">Écriture anonyme encadrée.</w:t>
      </w:r>
      <w:r>
        <w:t xml:space="preserve"> Les formulaires publics passent par le serveur (actions serveur), avec validation Zod, anti-spam et limitation de débit. Aucune lecture anonyme des demandes, clients, devis, paiements ou fichiers.</w:t>
      </w:r>
    </w:p>
    <w:p>
      <w:pPr>
        <w:pStyle w:val="ListParagraph"/>
        <w:numPr>
          <w:ilvl w:val="0"/>
          <w:numId w:val="6"/>
        </w:numPr>
        <w:spacing w:after="60"/>
      </w:pPr>
      <w:r>
        <w:rPr>
          <w:b/>
          <w:bCs/>
        </w:rPr>
        <w:t xml:space="preserve">Suivi sans énumération.</w:t>
      </w:r>
      <w:r>
        <w:t xml:space="preserve"> Les liens de suivi et d’acceptation de devis utilisent un jeton aléatoire long. Les réponses publiques ne contiennent que le strict nécessaire.</w:t>
      </w:r>
    </w:p>
    <w:p>
      <w:pPr>
        <w:pStyle w:val="ListParagraph"/>
        <w:numPr>
          <w:ilvl w:val="0"/>
          <w:numId w:val="6"/>
        </w:numPr>
        <w:spacing w:after="60"/>
      </w:pPr>
      <w:r>
        <w:rPr>
          <w:b/>
          <w:bCs/>
        </w:rPr>
        <w:t xml:space="preserve">Rôles.</w:t>
      </w:r>
      <w:r>
        <w:t xml:space="preserve"> Le rôle est lu dans </w:t>
      </w:r>
      <w:r>
        <w:rPr>
          <w:rFonts w:ascii="Consolas" w:cs="Consolas" w:eastAsia="Consolas" w:hAnsi="Consolas"/>
          <w:sz w:val="20"/>
          <w:szCs w:val="20"/>
        </w:rPr>
        <w:t xml:space="preserve">profiles</w:t>
      </w:r>
      <w:r>
        <w:t xml:space="preserve"> par une fonction sécurisée, jamais dans des métadonnées modifiables par l’utilisateur. Nul ne peut modifier son propre rôle. Double authentification pour ADMIN et SUPER_ADMIN.</w:t>
      </w:r>
    </w:p>
    <w:p>
      <w:pPr>
        <w:pStyle w:val="ListParagraph"/>
        <w:numPr>
          <w:ilvl w:val="0"/>
          <w:numId w:val="6"/>
        </w:numPr>
        <w:spacing w:after="60"/>
      </w:pPr>
      <w:r>
        <w:rPr>
          <w:b/>
          <w:bCs/>
        </w:rPr>
        <w:t xml:space="preserve">Montants protégés.</w:t>
      </w:r>
      <w:r>
        <w:t xml:space="preserve"> Totaux et références sont calculés côté base ou serveur. Seuls ADMIN et SUPER_ADMIN confirment un paiement. Une requête falsifiée ne peut pas modifier un montant.</w:t>
      </w:r>
    </w:p>
    <w:p>
      <w:pPr>
        <w:pStyle w:val="ListParagraph"/>
        <w:numPr>
          <w:ilvl w:val="0"/>
          <w:numId w:val="6"/>
        </w:numPr>
        <w:spacing w:after="60"/>
      </w:pPr>
      <w:r>
        <w:rPr>
          <w:b/>
          <w:bCs/>
        </w:rPr>
        <w:t xml:space="preserve">Stockage.</w:t>
      </w:r>
      <w:r>
        <w:t xml:space="preserve"> Buckets privés sauf galerie et ressources du site. Le cachet de l’agence est dans un bucket privé dédié, lu uniquement par le serveur. Téléversement par URL signée, contrôle du type MIME et de la taille, nom de fichier généré, accès aux documents par URL signée à durée limitée.</w:t>
      </w:r>
    </w:p>
    <w:p>
      <w:pPr>
        <w:pStyle w:val="ListParagraph"/>
        <w:numPr>
          <w:ilvl w:val="0"/>
          <w:numId w:val="6"/>
        </w:numPr>
        <w:spacing w:after="60"/>
      </w:pPr>
      <w:r>
        <w:rPr>
          <w:b/>
          <w:bCs/>
        </w:rPr>
        <w:t xml:space="preserve">Secrets.</w:t>
      </w:r>
      <w:r>
        <w:t xml:space="preserve"> La clé </w:t>
      </w:r>
      <w:r>
        <w:rPr>
          <w:rFonts w:ascii="Consolas" w:cs="Consolas" w:eastAsia="Consolas" w:hAnsi="Consolas"/>
          <w:sz w:val="20"/>
          <w:szCs w:val="20"/>
        </w:rPr>
        <w:t xml:space="preserve">service_role</w:t>
      </w:r>
      <w:r>
        <w:t xml:space="preserve"> reste côté serveur. Aucun secret dans le dépôt ; </w:t>
      </w:r>
      <w:r>
        <w:rPr>
          <w:rFonts w:ascii="Consolas" w:cs="Consolas" w:eastAsia="Consolas" w:hAnsi="Consolas"/>
          <w:sz w:val="20"/>
          <w:szCs w:val="20"/>
        </w:rPr>
        <w:t xml:space="preserve">.env.example</w:t>
      </w:r>
      <w:r>
        <w:t xml:space="preserve"> sans valeurs. Rotation immédiate en cas de fuite.</w:t>
      </w:r>
    </w:p>
    <w:p>
      <w:pPr>
        <w:pStyle w:val="ListParagraph"/>
        <w:numPr>
          <w:ilvl w:val="0"/>
          <w:numId w:val="6"/>
        </w:numPr>
        <w:spacing w:after="60"/>
      </w:pPr>
      <w:r>
        <w:rPr>
          <w:b/>
          <w:bCs/>
        </w:rPr>
        <w:t xml:space="preserve">Journal et logs.</w:t>
      </w:r>
      <w:r>
        <w:t xml:space="preserve"> Journal d’activité immuable ; aucune donnée personnelle ni financière dans les logs applicatifs.</w:t>
      </w:r>
    </w:p>
    <w:p>
      <w:pPr>
        <w:pStyle w:val="ListParagraph"/>
        <w:numPr>
          <w:ilvl w:val="0"/>
          <w:numId w:val="6"/>
        </w:numPr>
        <w:spacing w:after="60"/>
      </w:pPr>
      <w:r>
        <w:rPr>
          <w:b/>
          <w:bCs/>
        </w:rPr>
        <w:t xml:space="preserve">Sauvegardes</w:t>
      </w:r>
      <w:r>
        <w:t xml:space="preserve"> automatiques, avec un test de restauration avant la mise en production.</w:t>
      </w:r>
    </w:p>
    <w:p>
      <w:pPr>
        <w:spacing w:after="120" w:before="100"/>
      </w:pPr>
      <w:r>
        <w:rPr>
          <w:b/>
          <w:bCs/>
        </w:rPr>
        <w:t xml:space="preserve">Données personnelles.</w:t>
      </w:r>
      <w:r>
        <w:t xml:space="preserve"> Le site collecte des données de tiers (bénéficiaires) et de personnes résidant à l’étranger. Il faut prévoir : une politique de confidentialité et des mentions légales ; un consentement explicite à l’envoi, avec information que le bénéficiaire sera enregistré ; une durée de conservation par type de donnée ; une procédure de suppression ou d’anonymisation sur demande ; la vérification de la réglementation applicable selon le pays de l’agence et celui des clients.</w:t>
      </w:r>
    </w:p>
    <w:p>
      <w:pPr>
        <w:pStyle w:val="Heading1"/>
      </w:pPr>
      <w:r>
        <w:t xml:space="preserve">12. Architecture technique et déploiement</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500"/>
        <w:gridCol w:w="6572"/>
      </w:tblGrid>
      <w:tr>
        <w:trPr>
          <w:cantSplit/>
          <w:tblHeader/>
        </w:trPr>
        <w:tc>
          <w:tcPr>
            <w:tcW w:type="dxa" w:w="2500"/>
            <w:tcBorders>
              <w:top w:val="single" w:color="7F7F7F" w:sz="4"/>
              <w:left w:val="single" w:color="7F7F7F" w:sz="4"/>
              <w:bottom w:val="single" w:color="7F7F7F" w:sz="4"/>
              <w:right w:val="single" w:color="7F7F7F" w:sz="4"/>
            </w:tcBorders>
            <w:shd w:fill="D9D9D9" w:color="auto" w:val="clear"/>
            <w:tcMar>
              <w:top w:type="dxa" w:w="50"/>
              <w:left w:type="dxa" w:w="90"/>
              <w:bottom w:type="dxa" w:w="50"/>
              <w:right w:type="dxa" w:w="90"/>
            </w:tcMar>
          </w:tcPr>
          <w:p>
            <w:pPr>
              <w:spacing w:after="0"/>
            </w:pPr>
            <w:r>
              <w:rPr>
                <w:b/>
                <w:bCs/>
                <w:sz w:val="19"/>
                <w:szCs w:val="19"/>
              </w:rPr>
              <w:t xml:space="preserve">Couche</w:t>
            </w:r>
          </w:p>
        </w:tc>
        <w:tc>
          <w:tcPr>
            <w:tcW w:type="dxa" w:w="6572"/>
            <w:tcBorders>
              <w:top w:val="single" w:color="7F7F7F" w:sz="4"/>
              <w:left w:val="single" w:color="7F7F7F" w:sz="4"/>
              <w:bottom w:val="single" w:color="7F7F7F" w:sz="4"/>
              <w:right w:val="single" w:color="7F7F7F" w:sz="4"/>
            </w:tcBorders>
            <w:shd w:fill="D9D9D9" w:color="auto" w:val="clear"/>
            <w:tcMar>
              <w:top w:type="dxa" w:w="50"/>
              <w:left w:type="dxa" w:w="90"/>
              <w:bottom w:type="dxa" w:w="50"/>
              <w:right w:type="dxa" w:w="90"/>
            </w:tcMar>
          </w:tcPr>
          <w:p>
            <w:pPr>
              <w:spacing w:after="0"/>
            </w:pPr>
            <w:r>
              <w:rPr>
                <w:b/>
                <w:bCs/>
                <w:sz w:val="19"/>
                <w:szCs w:val="19"/>
              </w:rPr>
              <w:t xml:space="preserve">Choix</w:t>
            </w:r>
          </w:p>
        </w:tc>
      </w:tr>
      <w:tr>
        <w:trPr>
          <w:cantSplit/>
        </w:trPr>
        <w:tc>
          <w:tcPr>
            <w:tcW w:type="dxa" w:w="25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Interface</w:t>
            </w:r>
          </w:p>
        </w:tc>
        <w:tc>
          <w:tcPr>
            <w:tcW w:type="dxa" w:w="6572"/>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Next.js (App Router), TypeScript, Tailwind CSS, shadcn/ui, Lucide, Recharts. Polices Montserrat et Poppins chargées par next/font ; thème issu de la charte graphique (§ 16).</w:t>
            </w:r>
          </w:p>
        </w:tc>
      </w:tr>
      <w:tr>
        <w:trPr>
          <w:cantSplit/>
        </w:trPr>
        <w:tc>
          <w:tcPr>
            <w:tcW w:type="dxa" w:w="25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Formulaires</w:t>
            </w:r>
          </w:p>
        </w:tc>
        <w:tc>
          <w:tcPr>
            <w:tcW w:type="dxa" w:w="6572"/>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React Hook Form et Zod, schémas partagés entre navigateur et serveur.</w:t>
            </w:r>
          </w:p>
        </w:tc>
      </w:tr>
      <w:tr>
        <w:trPr>
          <w:cantSplit/>
        </w:trPr>
        <w:tc>
          <w:tcPr>
            <w:tcW w:type="dxa" w:w="25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Données et authentification</w:t>
            </w:r>
          </w:p>
        </w:tc>
        <w:tc>
          <w:tcPr>
            <w:tcW w:type="dxa" w:w="6572"/>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Supabase : PostgreSQL, Auth, Storage, RLS. Client </w:t>
            </w:r>
            <w:r>
              <w:rPr>
                <w:rFonts w:ascii="Consolas" w:cs="Consolas" w:eastAsia="Consolas" w:hAnsi="Consolas"/>
                <w:b w:val="false"/>
                <w:bCs w:val="false"/>
                <w:sz w:val="17"/>
                <w:szCs w:val="17"/>
              </w:rPr>
              <w:t xml:space="preserve">@supabase/ssr</w:t>
            </w:r>
            <w:r>
              <w:rPr>
                <w:b w:val="false"/>
                <w:bCs w:val="false"/>
                <w:sz w:val="19"/>
                <w:szCs w:val="19"/>
              </w:rPr>
              <w:t xml:space="preserve"> (clients navigateur et serveur séparés).</w:t>
            </w:r>
          </w:p>
        </w:tc>
      </w:tr>
      <w:tr>
        <w:trPr>
          <w:cantSplit/>
        </w:trPr>
        <w:tc>
          <w:tcPr>
            <w:tcW w:type="dxa" w:w="25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PDF</w:t>
            </w:r>
          </w:p>
        </w:tc>
        <w:tc>
          <w:tcPr>
            <w:tcW w:type="dxa" w:w="6572"/>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Génération côté serveur avec une bibliothèque compatible avec les fonctions serverless (par exemple </w:t>
            </w:r>
            <w:r>
              <w:rPr>
                <w:rFonts w:ascii="Consolas" w:cs="Consolas" w:eastAsia="Consolas" w:hAnsi="Consolas"/>
                <w:b w:val="false"/>
                <w:bCs w:val="false"/>
                <w:sz w:val="17"/>
                <w:szCs w:val="17"/>
              </w:rPr>
              <w:t xml:space="preserve">@react-pdf/renderer</w:t>
            </w:r>
            <w:r>
              <w:rPr>
                <w:b w:val="false"/>
                <w:bCs w:val="false"/>
                <w:sz w:val="19"/>
                <w:szCs w:val="19"/>
              </w:rPr>
              <w:t xml:space="preserve">). Éviter un navigateur sans interface, lourd sur Netlify. Le cachet est lu côté serveur depuis un espace privé. À valider par un essai de déploiement.</w:t>
            </w:r>
          </w:p>
        </w:tc>
      </w:tr>
      <w:tr>
        <w:trPr>
          <w:cantSplit/>
        </w:trPr>
        <w:tc>
          <w:tcPr>
            <w:tcW w:type="dxa" w:w="25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E-mails</w:t>
            </w:r>
          </w:p>
        </w:tc>
        <w:tc>
          <w:tcPr>
            <w:tcW w:type="dxa" w:w="6572"/>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Service d’e-mails transactionnels (par exemple Resend), domaine authentifié (SPF, DKIM).</w:t>
            </w:r>
          </w:p>
        </w:tc>
      </w:tr>
      <w:tr>
        <w:trPr>
          <w:cantSplit/>
        </w:trPr>
        <w:tc>
          <w:tcPr>
            <w:tcW w:type="dxa" w:w="25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Anti-spam</w:t>
            </w:r>
          </w:p>
        </w:tc>
        <w:tc>
          <w:tcPr>
            <w:tcW w:type="dxa" w:w="6572"/>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Cloudflare Turnstile ou équivalent.</w:t>
            </w:r>
          </w:p>
        </w:tc>
      </w:tr>
      <w:tr>
        <w:trPr>
          <w:cantSplit/>
        </w:trPr>
        <w:tc>
          <w:tcPr>
            <w:tcW w:type="dxa" w:w="25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Tâches planifiées</w:t>
            </w:r>
          </w:p>
        </w:tc>
        <w:tc>
          <w:tcPr>
            <w:tcW w:type="dxa" w:w="6572"/>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pg_cron de Supabase ou fonctions planifiées de Netlify, à choisir au lot 2.</w:t>
            </w:r>
          </w:p>
        </w:tc>
      </w:tr>
      <w:tr>
        <w:trPr>
          <w:cantSplit/>
        </w:trPr>
        <w:tc>
          <w:tcPr>
            <w:tcW w:type="dxa" w:w="25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Logique serveur</w:t>
            </w:r>
          </w:p>
        </w:tc>
        <w:tc>
          <w:tcPr>
            <w:tcW w:type="dxa" w:w="6572"/>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Actions serveur et routes API de Next.js en priorité ; fonctions Edge de Supabase seulement si nécessaire, pour garder un seul endroit où chercher la logique.</w:t>
            </w:r>
          </w:p>
        </w:tc>
      </w:tr>
      <w:tr>
        <w:trPr>
          <w:cantSplit/>
        </w:trPr>
        <w:tc>
          <w:tcPr>
            <w:tcW w:type="dxa" w:w="25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Code et déploiement</w:t>
            </w:r>
          </w:p>
        </w:tc>
        <w:tc>
          <w:tcPr>
            <w:tcW w:type="dxa" w:w="6572"/>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GitHub (branches </w:t>
            </w:r>
            <w:r>
              <w:rPr>
                <w:rFonts w:ascii="Consolas" w:cs="Consolas" w:eastAsia="Consolas" w:hAnsi="Consolas"/>
                <w:b w:val="false"/>
                <w:bCs w:val="false"/>
                <w:sz w:val="17"/>
                <w:szCs w:val="17"/>
              </w:rPr>
              <w:t xml:space="preserve">main</w:t>
            </w:r>
            <w:r>
              <w:rPr>
                <w:b w:val="false"/>
                <w:bCs w:val="false"/>
                <w:sz w:val="19"/>
                <w:szCs w:val="19"/>
              </w:rPr>
              <w:t xml:space="preserve">, </w:t>
            </w:r>
            <w:r>
              <w:rPr>
                <w:rFonts w:ascii="Consolas" w:cs="Consolas" w:eastAsia="Consolas" w:hAnsi="Consolas"/>
                <w:b w:val="false"/>
                <w:bCs w:val="false"/>
                <w:sz w:val="17"/>
                <w:szCs w:val="17"/>
              </w:rPr>
              <w:t xml:space="preserve">develop</w:t>
            </w:r>
            <w:r>
              <w:rPr>
                <w:b w:val="false"/>
                <w:bCs w:val="false"/>
                <w:sz w:val="19"/>
                <w:szCs w:val="19"/>
              </w:rPr>
              <w:t xml:space="preserve">, </w:t>
            </w:r>
            <w:r>
              <w:rPr>
                <w:rFonts w:ascii="Consolas" w:cs="Consolas" w:eastAsia="Consolas" w:hAnsi="Consolas"/>
                <w:b w:val="false"/>
                <w:bCs w:val="false"/>
                <w:sz w:val="17"/>
                <w:szCs w:val="17"/>
              </w:rPr>
              <w:t xml:space="preserve">feature/*</w:t>
            </w:r>
            <w:r>
              <w:rPr>
                <w:b w:val="false"/>
                <w:bCs w:val="false"/>
                <w:sz w:val="19"/>
                <w:szCs w:val="19"/>
              </w:rPr>
              <w:t xml:space="preserve">), Netlify avec déploiement continu et préversions par branche. Développement avec Windsurf.</w:t>
            </w:r>
          </w:p>
        </w:tc>
      </w:tr>
    </w:tbl>
    <w:p>
      <w:pPr>
        <w:spacing w:after="100"/>
      </w:pPr>
    </w:p>
    <w:p>
      <w:pPr>
        <w:pStyle w:val="Heading2"/>
      </w:pPr>
      <w:r>
        <w:t xml:space="preserve">12.1 Environnements et variables</w:t>
      </w:r>
    </w:p>
    <w:p>
      <w:pPr>
        <w:spacing w:after="120" w:before="0"/>
      </w:pPr>
      <w:r>
        <w:t xml:space="preserve">Trois environnements : local, préversion Netlify, production. Deux projets Supabase distincts : un pour le développement et les préversions, un pour la production. Variables : </w:t>
      </w:r>
      <w:r>
        <w:rPr>
          <w:rFonts w:ascii="Consolas" w:cs="Consolas" w:eastAsia="Consolas" w:hAnsi="Consolas"/>
          <w:sz w:val="20"/>
          <w:szCs w:val="20"/>
        </w:rPr>
        <w:t xml:space="preserve">NEXT_PUBLIC_SUPABASE_URL</w:t>
      </w:r>
      <w:r>
        <w:t xml:space="preserve"> et </w:t>
      </w:r>
      <w:r>
        <w:rPr>
          <w:rFonts w:ascii="Consolas" w:cs="Consolas" w:eastAsia="Consolas" w:hAnsi="Consolas"/>
          <w:sz w:val="20"/>
          <w:szCs w:val="20"/>
        </w:rPr>
        <w:t xml:space="preserve">NEXT_PUBLIC_SUPABASE_PUBLISHABLE_KEY</w:t>
      </w:r>
      <w:r>
        <w:t xml:space="preserve"> côté navigateur ; </w:t>
      </w:r>
      <w:r>
        <w:rPr>
          <w:rFonts w:ascii="Consolas" w:cs="Consolas" w:eastAsia="Consolas" w:hAnsi="Consolas"/>
          <w:sz w:val="20"/>
          <w:szCs w:val="20"/>
        </w:rPr>
        <w:t xml:space="preserve">SUPABASE_SERVICE_ROLE_KEY</w:t>
      </w:r>
      <w:r>
        <w:t xml:space="preserve"> côté serveur uniquement, sans préfixe public ; clés des services d’e-mail et d’anti-spam côté serveur. Les noms exacts sont à confirmer dans la documentation de Supabase.</w:t>
      </w:r>
    </w:p>
    <w:p>
      <w:pPr>
        <w:pStyle w:val="Heading2"/>
      </w:pPr>
      <w:r>
        <w:t xml:space="preserve">12.2 Offre d’hébergement</w:t>
      </w:r>
    </w:p>
    <w:p>
      <w:pPr>
        <w:spacing w:after="120" w:before="0"/>
      </w:pPr>
      <w:r>
        <w:t xml:space="preserve">Prévoir une offre payante de Supabase pour la production. Les offres gratuites comportent des limites (mise en pause pour inactivité, sauvegardes, taille des fichiers) à vérifier sur la grille tarifaire en vigueur. Le volume de demandes attendu (§ 15) sert à dimensionner l’offre.</w:t>
      </w:r>
    </w:p>
    <w:p>
      <w:pPr>
        <w:pStyle w:val="Heading2"/>
      </w:pPr>
      <w:r>
        <w:t xml:space="preserve">12.3 Domaine</w:t>
      </w:r>
    </w:p>
    <w:p>
      <w:pPr>
        <w:spacing w:after="120" w:before="0"/>
      </w:pPr>
      <w:r>
        <w:t xml:space="preserve">Au départ, un seul domaine avec l’administration sous </w:t>
      </w:r>
      <w:r>
        <w:rPr>
          <w:rFonts w:ascii="Consolas" w:cs="Consolas" w:eastAsia="Consolas" w:hAnsi="Consolas"/>
          <w:sz w:val="20"/>
          <w:szCs w:val="20"/>
        </w:rPr>
        <w:t xml:space="preserve">/admin</w:t>
      </w:r>
      <w:r>
        <w:t xml:space="preserve">. Un sous-domaine d’administration pourra venir plus tard.</w:t>
      </w:r>
    </w:p>
    <w:p>
      <w:pPr>
        <w:pStyle w:val="Heading2"/>
      </w:pPr>
      <w:r>
        <w:t xml:space="preserve">12.4 Organisation du dépôt</w:t>
      </w:r>
    </w:p>
    <w:p>
      <w:pPr>
        <w:shd w:fill="F2F2F2" w:color="auto" w:val="clear"/>
        <w:spacing w:after="0"/>
        <w:ind w:left="200"/>
      </w:pPr>
      <w:r>
        <w:rPr>
          <w:rFonts w:ascii="Consolas" w:cs="Consolas" w:eastAsia="Consolas" w:hAnsi="Consolas"/>
          <w:sz w:val="18"/>
          <w:szCs w:val="18"/>
        </w:rPr>
        <w:t xml:space="preserve">dz-multi-services/</w:t>
      </w:r>
    </w:p>
    <w:p>
      <w:pPr>
        <w:shd w:fill="F2F2F2" w:color="auto" w:val="clear"/>
        <w:spacing w:after="0"/>
        <w:ind w:left="200"/>
      </w:pPr>
      <w:r>
        <w:rPr>
          <w:rFonts w:ascii="Consolas" w:cs="Consolas" w:eastAsia="Consolas" w:hAnsi="Consolas"/>
          <w:sz w:val="18"/>
          <w:szCs w:val="18"/>
        </w:rPr>
        <w:t xml:space="preserve">  app/            (public)/  admin/  api/</w:t>
      </w:r>
    </w:p>
    <w:p>
      <w:pPr>
        <w:shd w:fill="F2F2F2" w:color="auto" w:val="clear"/>
        <w:spacing w:after="0"/>
        <w:ind w:left="200"/>
      </w:pPr>
      <w:r>
        <w:rPr>
          <w:rFonts w:ascii="Consolas" w:cs="Consolas" w:eastAsia="Consolas" w:hAnsi="Consolas"/>
          <w:sz w:val="18"/>
          <w:szCs w:val="18"/>
        </w:rPr>
        <w:t xml:space="preserve">  components/     ui/  public/  admin/  forms/  charts/</w:t>
      </w:r>
    </w:p>
    <w:p>
      <w:pPr>
        <w:shd w:fill="F2F2F2" w:color="auto" w:val="clear"/>
        <w:spacing w:after="0"/>
        <w:ind w:left="200"/>
      </w:pPr>
      <w:r>
        <w:rPr>
          <w:rFonts w:ascii="Consolas" w:cs="Consolas" w:eastAsia="Consolas" w:hAnsi="Consolas"/>
          <w:sz w:val="18"/>
          <w:szCs w:val="18"/>
        </w:rPr>
        <w:t xml:space="preserve">  lib/            supabase/  auth/  validations/  utils/  pdf/</w:t>
      </w:r>
    </w:p>
    <w:p>
      <w:pPr>
        <w:shd w:fill="F2F2F2" w:color="auto" w:val="clear"/>
        <w:spacing w:after="0"/>
        <w:ind w:left="200"/>
      </w:pPr>
      <w:r>
        <w:rPr>
          <w:rFonts w:ascii="Consolas" w:cs="Consolas" w:eastAsia="Consolas" w:hAnsi="Consolas"/>
          <w:sz w:val="18"/>
          <w:szCs w:val="18"/>
        </w:rPr>
        <w:t xml:space="preserve">  types/</w:t>
      </w:r>
    </w:p>
    <w:p>
      <w:pPr>
        <w:shd w:fill="F2F2F2" w:color="auto" w:val="clear"/>
        <w:spacing w:after="0"/>
        <w:ind w:left="200"/>
      </w:pPr>
      <w:r>
        <w:rPr>
          <w:rFonts w:ascii="Consolas" w:cs="Consolas" w:eastAsia="Consolas" w:hAnsi="Consolas"/>
          <w:sz w:val="18"/>
          <w:szCs w:val="18"/>
        </w:rPr>
        <w:t xml:space="preserve">  supabase/       migrations/  seed.sql  tests/</w:t>
      </w:r>
    </w:p>
    <w:p>
      <w:pPr>
        <w:shd w:fill="F2F2F2" w:color="auto" w:val="clear"/>
        <w:spacing w:after="0"/>
        <w:ind w:left="200"/>
      </w:pPr>
      <w:r>
        <w:rPr>
          <w:rFonts w:ascii="Consolas" w:cs="Consolas" w:eastAsia="Consolas" w:hAnsi="Consolas"/>
          <w:sz w:val="18"/>
          <w:szCs w:val="18"/>
        </w:rPr>
        <w:t xml:space="preserve">  docs/           cahier-des-charges.md  architecture.md  database.md</w:t>
      </w:r>
    </w:p>
    <w:p>
      <w:pPr>
        <w:shd w:fill="F2F2F2" w:color="auto" w:val="clear"/>
        <w:spacing w:after="0"/>
        <w:ind w:left="200"/>
      </w:pPr>
      <w:r>
        <w:rPr>
          <w:rFonts w:ascii="Consolas" w:cs="Consolas" w:eastAsia="Consolas" w:hAnsi="Consolas"/>
          <w:sz w:val="18"/>
          <w:szCs w:val="18"/>
        </w:rPr>
        <w:t xml:space="preserve">                  roles-permissions.md  deployment.md</w:t>
      </w:r>
    </w:p>
    <w:p>
      <w:pPr>
        <w:shd w:fill="F2F2F2" w:color="auto" w:val="clear"/>
        <w:spacing w:after="0"/>
        <w:ind w:left="200"/>
      </w:pPr>
      <w:r>
        <w:rPr>
          <w:rFonts w:ascii="Consolas" w:cs="Consolas" w:eastAsia="Consolas" w:hAnsi="Consolas"/>
          <w:sz w:val="18"/>
          <w:szCs w:val="18"/>
        </w:rPr>
        <w:t xml:space="preserve">  AGENTS.md  README.md  .env.example</w:t>
      </w:r>
    </w:p>
    <w:p>
      <w:pPr>
        <w:spacing w:after="100"/>
      </w:pPr>
    </w:p>
    <w:p>
      <w:pPr>
        <w:pStyle w:val="Heading1"/>
      </w:pPr>
      <w:r>
        <w:t xml:space="preserve">13. Plan de développement</w:t>
      </w:r>
    </w:p>
    <w:p>
      <w:pPr>
        <w:spacing w:after="120" w:before="0"/>
      </w:pPr>
      <w:r>
        <w:t xml:space="preserve">Le travail avance par lots, un lot par branche. La base de données, les rôles et le circuit demande, devis, paiement, prestation passent avant le design de la page d’accueil. Il ne faut jamais demander à l’assistant de « créer tout le site » : il produirait un code incohérent.</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0"/>
        <w:gridCol w:w="5000"/>
        <w:gridCol w:w="3172"/>
      </w:tblGrid>
      <w:tr>
        <w:trPr>
          <w:cantSplit/>
          <w:tblHeader/>
        </w:trPr>
        <w:tc>
          <w:tcPr>
            <w:tcW w:type="dxa" w:w="900"/>
            <w:tcBorders>
              <w:top w:val="single" w:color="7F7F7F" w:sz="4"/>
              <w:left w:val="single" w:color="7F7F7F" w:sz="4"/>
              <w:bottom w:val="single" w:color="7F7F7F" w:sz="4"/>
              <w:right w:val="single" w:color="7F7F7F" w:sz="4"/>
            </w:tcBorders>
            <w:shd w:fill="D9D9D9" w:color="auto" w:val="clear"/>
            <w:tcMar>
              <w:top w:type="dxa" w:w="50"/>
              <w:left w:type="dxa" w:w="90"/>
              <w:bottom w:type="dxa" w:w="50"/>
              <w:right w:type="dxa" w:w="90"/>
            </w:tcMar>
          </w:tcPr>
          <w:p>
            <w:pPr>
              <w:spacing w:after="0"/>
            </w:pPr>
            <w:r>
              <w:rPr>
                <w:b/>
                <w:bCs/>
                <w:sz w:val="19"/>
                <w:szCs w:val="19"/>
              </w:rPr>
              <w:t xml:space="preserve">Lot</w:t>
            </w:r>
          </w:p>
        </w:tc>
        <w:tc>
          <w:tcPr>
            <w:tcW w:type="dxa" w:w="5000"/>
            <w:tcBorders>
              <w:top w:val="single" w:color="7F7F7F" w:sz="4"/>
              <w:left w:val="single" w:color="7F7F7F" w:sz="4"/>
              <w:bottom w:val="single" w:color="7F7F7F" w:sz="4"/>
              <w:right w:val="single" w:color="7F7F7F" w:sz="4"/>
            </w:tcBorders>
            <w:shd w:fill="D9D9D9" w:color="auto" w:val="clear"/>
            <w:tcMar>
              <w:top w:type="dxa" w:w="50"/>
              <w:left w:type="dxa" w:w="90"/>
              <w:bottom w:type="dxa" w:w="50"/>
              <w:right w:type="dxa" w:w="90"/>
            </w:tcMar>
          </w:tcPr>
          <w:p>
            <w:pPr>
              <w:spacing w:after="0"/>
            </w:pPr>
            <w:r>
              <w:rPr>
                <w:b/>
                <w:bCs/>
                <w:sz w:val="19"/>
                <w:szCs w:val="19"/>
              </w:rPr>
              <w:t xml:space="preserve">Contenu</w:t>
            </w:r>
          </w:p>
        </w:tc>
        <w:tc>
          <w:tcPr>
            <w:tcW w:type="dxa" w:w="3172"/>
            <w:tcBorders>
              <w:top w:val="single" w:color="7F7F7F" w:sz="4"/>
              <w:left w:val="single" w:color="7F7F7F" w:sz="4"/>
              <w:bottom w:val="single" w:color="7F7F7F" w:sz="4"/>
              <w:right w:val="single" w:color="7F7F7F" w:sz="4"/>
            </w:tcBorders>
            <w:shd w:fill="D9D9D9" w:color="auto" w:val="clear"/>
            <w:tcMar>
              <w:top w:type="dxa" w:w="50"/>
              <w:left w:type="dxa" w:w="90"/>
              <w:bottom w:type="dxa" w:w="50"/>
              <w:right w:type="dxa" w:w="90"/>
            </w:tcMar>
          </w:tcPr>
          <w:p>
            <w:pPr>
              <w:spacing w:after="0"/>
            </w:pPr>
            <w:r>
              <w:rPr>
                <w:b/>
                <w:bCs/>
                <w:sz w:val="19"/>
                <w:szCs w:val="19"/>
              </w:rPr>
              <w:t xml:space="preserve">Critère de validation</w:t>
            </w:r>
          </w:p>
        </w:tc>
      </w:tr>
      <w:tr>
        <w:trPr>
          <w:cantSplit/>
        </w:trPr>
        <w:tc>
          <w:tcPr>
            <w:tcW w:type="dxa" w:w="9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0</w:t>
            </w:r>
          </w:p>
        </w:tc>
        <w:tc>
          <w:tcPr>
            <w:tcW w:type="dxa" w:w="50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Cadrage : réponses aux questions du § 15, formulaires papier, liste des services.</w:t>
            </w:r>
          </w:p>
        </w:tc>
        <w:tc>
          <w:tcPr>
            <w:tcW w:type="dxa" w:w="3172"/>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Décisions écrites pour la V1.</w:t>
            </w:r>
          </w:p>
        </w:tc>
      </w:tr>
      <w:tr>
        <w:trPr>
          <w:cantSplit/>
        </w:trPr>
        <w:tc>
          <w:tcPr>
            <w:tcW w:type="dxa" w:w="9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1</w:t>
            </w:r>
          </w:p>
        </w:tc>
        <w:tc>
          <w:tcPr>
            <w:tcW w:type="dxa" w:w="50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Fondation : dépôt GitHub, Next.js, Tailwind, shadcn/ui, deux projets Supabase, Netlify, AGENTS.md, dossier docs, thème et polices de la charte graphique.</w:t>
            </w:r>
          </w:p>
        </w:tc>
        <w:tc>
          <w:tcPr>
            <w:tcW w:type="dxa" w:w="3172"/>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Page vide déployée en préversion.</w:t>
            </w:r>
          </w:p>
        </w:tc>
      </w:tr>
      <w:tr>
        <w:trPr>
          <w:cantSplit/>
        </w:trPr>
        <w:tc>
          <w:tcPr>
            <w:tcW w:type="dxa" w:w="9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2</w:t>
            </w:r>
          </w:p>
        </w:tc>
        <w:tc>
          <w:tcPr>
            <w:tcW w:type="dxa" w:w="50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Base de données : migrations, enums, index, séquences, déclencheurs, RLS, données d’amorçage.</w:t>
            </w:r>
          </w:p>
        </w:tc>
        <w:tc>
          <w:tcPr>
            <w:tcW w:type="dxa" w:w="3172"/>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Migrations rejouables ; tests RLS réussis.</w:t>
            </w:r>
          </w:p>
        </w:tc>
      </w:tr>
      <w:tr>
        <w:trPr>
          <w:cantSplit/>
        </w:trPr>
        <w:tc>
          <w:tcPr>
            <w:tcW w:type="dxa" w:w="9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3</w:t>
            </w:r>
          </w:p>
        </w:tc>
        <w:tc>
          <w:tcPr>
            <w:tcW w:type="dxa" w:w="50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Authentification et rôles : connexion, protection des routes, double authentification.</w:t>
            </w:r>
          </w:p>
        </w:tc>
        <w:tc>
          <w:tcPr>
            <w:tcW w:type="dxa" w:w="3172"/>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Un agent n’accède pas aux pages réservées.</w:t>
            </w:r>
          </w:p>
        </w:tc>
      </w:tr>
      <w:tr>
        <w:trPr>
          <w:cantSplit/>
        </w:trPr>
        <w:tc>
          <w:tcPr>
            <w:tcW w:type="dxa" w:w="9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4</w:t>
            </w:r>
          </w:p>
        </w:tc>
        <w:tc>
          <w:tcPr>
            <w:tcW w:type="dxa" w:w="50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Site public et catalogue dynamique.</w:t>
            </w:r>
          </w:p>
        </w:tc>
        <w:tc>
          <w:tcPr>
            <w:tcW w:type="dxa" w:w="3172"/>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Pages alimentées par la base ; mobile validé.</w:t>
            </w:r>
          </w:p>
        </w:tc>
      </w:tr>
      <w:tr>
        <w:trPr>
          <w:cantSplit/>
        </w:trPr>
        <w:tc>
          <w:tcPr>
            <w:tcW w:type="dxa" w:w="9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5</w:t>
            </w:r>
          </w:p>
        </w:tc>
        <w:tc>
          <w:tcPr>
            <w:tcW w:type="dxa" w:w="50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Formulaire de mariage avec téléversement.</w:t>
            </w:r>
          </w:p>
        </w:tc>
        <w:tc>
          <w:tcPr>
            <w:tcW w:type="dxa" w:w="3172"/>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Demande complète enregistrée, programme et fichiers compris.</w:t>
            </w:r>
          </w:p>
        </w:tc>
      </w:tr>
      <w:tr>
        <w:trPr>
          <w:cantSplit/>
        </w:trPr>
        <w:tc>
          <w:tcPr>
            <w:tcW w:type="dxa" w:w="9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6</w:t>
            </w:r>
          </w:p>
        </w:tc>
        <w:tc>
          <w:tcPr>
            <w:tcW w:type="dxa" w:w="50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Formulaires photo, publicité, imprimerie, services à la demande, contact.</w:t>
            </w:r>
          </w:p>
        </w:tc>
        <w:tc>
          <w:tcPr>
            <w:tcW w:type="dxa" w:w="3172"/>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Chaque formulaire crée sa demande.</w:t>
            </w:r>
          </w:p>
        </w:tc>
      </w:tr>
      <w:tr>
        <w:trPr>
          <w:cantSplit/>
        </w:trPr>
        <w:tc>
          <w:tcPr>
            <w:tcW w:type="dxa" w:w="9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7</w:t>
            </w:r>
          </w:p>
        </w:tc>
        <w:tc>
          <w:tcPr>
            <w:tcW w:type="dxa" w:w="50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Gestion des demandes : liste, filtres, fiche, statuts, création manuelle, assignation.</w:t>
            </w:r>
          </w:p>
        </w:tc>
        <w:tc>
          <w:tcPr>
            <w:tcW w:type="dxa" w:w="3172"/>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Traitement complet d’une demande.</w:t>
            </w:r>
          </w:p>
        </w:tc>
      </w:tr>
      <w:tr>
        <w:trPr>
          <w:cantSplit/>
        </w:trPr>
        <w:tc>
          <w:tcPr>
            <w:tcW w:type="dxa" w:w="9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8</w:t>
            </w:r>
          </w:p>
        </w:tc>
        <w:tc>
          <w:tcPr>
            <w:tcW w:type="dxa" w:w="50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Devis et fiche de prestation : lignes, totaux, versions, PDF avec cachet, envoi, acceptation par lien.</w:t>
            </w:r>
          </w:p>
        </w:tc>
        <w:tc>
          <w:tcPr>
            <w:tcW w:type="dxa" w:w="3172"/>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Devis accepté et tracé.</w:t>
            </w:r>
          </w:p>
        </w:tc>
      </w:tr>
      <w:tr>
        <w:trPr>
          <w:cantSplit/>
        </w:trPr>
        <w:tc>
          <w:tcPr>
            <w:tcW w:type="dxa" w:w="9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9</w:t>
            </w:r>
          </w:p>
        </w:tc>
        <w:tc>
          <w:tcPr>
            <w:tcW w:type="dxa" w:w="50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Paiements et tableau de bord simple.</w:t>
            </w:r>
          </w:p>
        </w:tc>
        <w:tc>
          <w:tcPr>
            <w:tcW w:type="dxa" w:w="3172"/>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Paiement partiel et état de règlement corrects.</w:t>
            </w:r>
          </w:p>
        </w:tc>
      </w:tr>
      <w:tr>
        <w:trPr>
          <w:cantSplit/>
        </w:trPr>
        <w:tc>
          <w:tcPr>
            <w:tcW w:type="dxa" w:w="9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10</w:t>
            </w:r>
          </w:p>
        </w:tc>
        <w:tc>
          <w:tcPr>
            <w:tcW w:type="dxa" w:w="50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Revue de sécurité, recette, mise en production pilote (fin de la V1).</w:t>
            </w:r>
          </w:p>
        </w:tc>
        <w:tc>
          <w:tcPr>
            <w:tcW w:type="dxa" w:w="3172"/>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Critères du § 14 satisfaits.</w:t>
            </w:r>
          </w:p>
        </w:tc>
      </w:tr>
      <w:tr>
        <w:trPr>
          <w:cantSplit/>
        </w:trPr>
        <w:tc>
          <w:tcPr>
            <w:tcW w:type="dxa" w:w="9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11 (V2)</w:t>
            </w:r>
          </w:p>
        </w:tc>
        <w:tc>
          <w:tcPr>
            <w:tcW w:type="dxa" w:w="50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Dépenses, finance, rapports.</w:t>
            </w:r>
          </w:p>
        </w:tc>
        <w:tc>
          <w:tcPr>
            <w:tcW w:type="dxa" w:w="3172"/>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Résultat conforme à la règle R5.</w:t>
            </w:r>
          </w:p>
        </w:tc>
      </w:tr>
      <w:tr>
        <w:trPr>
          <w:cantSplit/>
        </w:trPr>
        <w:tc>
          <w:tcPr>
            <w:tcW w:type="dxa" w:w="9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12 (V2)</w:t>
            </w:r>
          </w:p>
        </w:tc>
        <w:tc>
          <w:tcPr>
            <w:tcW w:type="dxa" w:w="50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Clients et bénéficiaires complets, calendrier.</w:t>
            </w:r>
          </w:p>
        </w:tc>
        <w:tc>
          <w:tcPr>
            <w:tcW w:type="dxa" w:w="3172"/>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Conflits de dates détectés.</w:t>
            </w:r>
          </w:p>
        </w:tc>
      </w:tr>
      <w:tr>
        <w:trPr>
          <w:cantSplit/>
        </w:trPr>
        <w:tc>
          <w:tcPr>
            <w:tcW w:type="dxa" w:w="9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13 (V2)</w:t>
            </w:r>
          </w:p>
        </w:tc>
        <w:tc>
          <w:tcPr>
            <w:tcW w:type="dxa" w:w="50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Gestion complète des contenus, notifications automatiques vers le client.</w:t>
            </w:r>
          </w:p>
        </w:tc>
        <w:tc>
          <w:tcPr>
            <w:tcW w:type="dxa" w:w="3172"/>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Contenus modifiables sans code.</w:t>
            </w:r>
          </w:p>
        </w:tc>
      </w:tr>
    </w:tbl>
    <w:p>
      <w:pPr>
        <w:spacing w:after="100"/>
      </w:pPr>
    </w:p>
    <w:p>
      <w:pPr>
        <w:spacing w:after="120" w:before="0"/>
      </w:pPr>
      <w:r>
        <w:t xml:space="preserve">La V3 (paiement en ligne, comptes clients, multilingue, API WhatsApp) fait l’objet d’un cadrage séparé. Un modèle de consigne pour l’assistant de développement figure en annexe B.</w:t>
      </w:r>
    </w:p>
    <w:p>
      <w:pPr>
        <w:pStyle w:val="Heading1"/>
      </w:pPr>
      <w:r>
        <w:t xml:space="preserve">14. Tests et recette</w:t>
      </w:r>
    </w:p>
    <w:p>
      <w:pPr>
        <w:pStyle w:val="ListParagraph"/>
        <w:numPr>
          <w:ilvl w:val="0"/>
          <w:numId w:val="7"/>
        </w:numPr>
        <w:spacing w:after="60"/>
      </w:pPr>
      <w:r>
        <w:t xml:space="preserve">Un visiteur anonyme ne peut lire aucune donnée de demande, de client, de devis, de paiement ou de fichier.</w:t>
      </w:r>
    </w:p>
    <w:p>
      <w:pPr>
        <w:pStyle w:val="ListParagraph"/>
        <w:numPr>
          <w:ilvl w:val="0"/>
          <w:numId w:val="7"/>
        </w:numPr>
        <w:spacing w:after="60"/>
      </w:pPr>
      <w:r>
        <w:t xml:space="preserve">Un agent ne peut ni confirmer un paiement ni ouvrir les dépenses et la finance, ni par l’interface ni par requête directe.</w:t>
      </w:r>
    </w:p>
    <w:p>
      <w:pPr>
        <w:pStyle w:val="ListParagraph"/>
        <w:numPr>
          <w:ilvl w:val="0"/>
          <w:numId w:val="7"/>
        </w:numPr>
        <w:spacing w:after="60"/>
      </w:pPr>
      <w:r>
        <w:t xml:space="preserve">La modification d’un montant par une requête falsifiée est rejetée.</w:t>
      </w:r>
    </w:p>
    <w:p>
      <w:pPr>
        <w:pStyle w:val="ListParagraph"/>
        <w:numPr>
          <w:ilvl w:val="0"/>
          <w:numId w:val="7"/>
        </w:numPr>
        <w:spacing w:after="60"/>
      </w:pPr>
      <w:r>
        <w:t xml:space="preserve">Un jeton de suivi ne se devine pas et les tentatives sont limitées.</w:t>
      </w:r>
    </w:p>
    <w:p>
      <w:pPr>
        <w:pStyle w:val="ListParagraph"/>
        <w:numPr>
          <w:ilvl w:val="0"/>
          <w:numId w:val="7"/>
        </w:numPr>
        <w:spacing w:after="60"/>
      </w:pPr>
      <w:r>
        <w:t xml:space="preserve">Un fichier de type interdit ou trop lourd est refusé.</w:t>
      </w:r>
    </w:p>
    <w:p>
      <w:pPr>
        <w:pStyle w:val="ListParagraph"/>
        <w:numPr>
          <w:ilvl w:val="0"/>
          <w:numId w:val="7"/>
        </w:numPr>
        <w:spacing w:after="60"/>
      </w:pPr>
      <w:r>
        <w:t xml:space="preserve">Deux demandes simultanées reçoivent des références différentes.</w:t>
      </w:r>
    </w:p>
    <w:p>
      <w:pPr>
        <w:pStyle w:val="ListParagraph"/>
        <w:numPr>
          <w:ilvl w:val="0"/>
          <w:numId w:val="7"/>
        </w:numPr>
        <w:spacing w:after="60"/>
      </w:pPr>
      <w:r>
        <w:t xml:space="preserve">Une demande de mariage sur deux jours, dont un événement qui finit après minuit, s’enregistre et s’affiche correctement.</w:t>
      </w:r>
    </w:p>
    <w:p>
      <w:pPr>
        <w:pStyle w:val="ListParagraph"/>
        <w:numPr>
          <w:ilvl w:val="0"/>
          <w:numId w:val="7"/>
        </w:numPr>
        <w:spacing w:after="60"/>
      </w:pPr>
      <w:r>
        <w:t xml:space="preserve">Une commande pour un proche crée le bénéficiaire et le relie au client ; un client existant est reconnu sans fuite de données.</w:t>
      </w:r>
    </w:p>
    <w:p>
      <w:pPr>
        <w:pStyle w:val="ListParagraph"/>
        <w:numPr>
          <w:ilvl w:val="0"/>
          <w:numId w:val="7"/>
        </w:numPr>
        <w:spacing w:after="60"/>
      </w:pPr>
      <w:r>
        <w:t xml:space="preserve">Un devis a des totaux exacts, un PDF conforme, une acceptation tracée et une version suivante en cas de modification.</w:t>
      </w:r>
    </w:p>
    <w:p>
      <w:pPr>
        <w:pStyle w:val="ListParagraph"/>
        <w:numPr>
          <w:ilvl w:val="0"/>
          <w:numId w:val="7"/>
        </w:numPr>
        <w:spacing w:after="60"/>
      </w:pPr>
      <w:r>
        <w:t xml:space="preserve">Un paiement partiel donne l’état PARTIAL et le bon reste à encaisser ; les sommes de passage sont exclues du chiffre d’affaires.</w:t>
      </w:r>
    </w:p>
    <w:p>
      <w:pPr>
        <w:pStyle w:val="ListParagraph"/>
        <w:numPr>
          <w:ilvl w:val="0"/>
          <w:numId w:val="7"/>
        </w:numPr>
        <w:spacing w:after="60"/>
      </w:pPr>
      <w:r>
        <w:t xml:space="preserve">Le parcours complet fonctionne sur un petit écran et sur connexion lente.</w:t>
      </w:r>
    </w:p>
    <w:p>
      <w:pPr>
        <w:pStyle w:val="ListParagraph"/>
        <w:numPr>
          <w:ilvl w:val="0"/>
          <w:numId w:val="7"/>
        </w:numPr>
        <w:spacing w:after="60"/>
      </w:pPr>
      <w:r>
        <w:t xml:space="preserve">Les contrastes texte et fond respectent le tableau du § 16.3 (vérification avec un outil dédié).</w:t>
      </w:r>
    </w:p>
    <w:p>
      <w:pPr>
        <w:pStyle w:val="ListParagraph"/>
        <w:numPr>
          <w:ilvl w:val="0"/>
          <w:numId w:val="7"/>
        </w:numPr>
        <w:spacing w:after="60"/>
      </w:pPr>
      <w:r>
        <w:t xml:space="preserve">Les PDF émis portent le cachet et les coordonnées de l’agence ; un brouillon n’est pas cacheté ; l’image du cachet n’est accessible ni publiquement ni depuis le navigateur.</w:t>
      </w:r>
    </w:p>
    <w:p>
      <w:pPr>
        <w:pStyle w:val="ListParagraph"/>
        <w:numPr>
          <w:ilvl w:val="0"/>
          <w:numId w:val="7"/>
        </w:numPr>
        <w:spacing w:after="60"/>
      </w:pPr>
      <w:r>
        <w:t xml:space="preserve">Une sauvegarde est restaurée avec succès.</w:t>
      </w:r>
    </w:p>
    <w:p>
      <w:pPr>
        <w:spacing w:after="120" w:before="100"/>
      </w:pPr>
      <w:r>
        <w:t xml:space="preserve">Outils : tests de politiques RLS dans </w:t>
      </w:r>
      <w:r>
        <w:rPr>
          <w:rFonts w:ascii="Consolas" w:cs="Consolas" w:eastAsia="Consolas" w:hAnsi="Consolas"/>
          <w:sz w:val="20"/>
          <w:szCs w:val="20"/>
        </w:rPr>
        <w:t xml:space="preserve">supabase/tests</w:t>
      </w:r>
      <w:r>
        <w:t xml:space="preserve">, tests unitaires des schémas Zod, tests de parcours de bout en bout (par exemple Playwright).</w:t>
      </w:r>
    </w:p>
    <w:p>
      <w:pPr>
        <w:pStyle w:val="Heading1"/>
      </w:pPr>
      <w:r>
        <w:t xml:space="preserve">15. Points à valider avec le client</w:t>
      </w:r>
    </w:p>
    <w:p>
      <w:pPr>
        <w:pStyle w:val="ListParagraph"/>
        <w:numPr>
          <w:ilvl w:val="0"/>
          <w:numId w:val="8"/>
        </w:numPr>
        <w:spacing w:after="60"/>
      </w:pPr>
      <w:r>
        <w:rPr>
          <w:b/>
          <w:bCs/>
        </w:rPr>
        <w:t xml:space="preserve">Pays et devise.</w:t>
      </w:r>
      <w:r>
        <w:t xml:space="preserve"> Où l’agence opère-t-elle, et quelle est la devise de référence (FCFA ou franc comorien) ? Les modes de paiement, les formats de téléphone et les régions en dépendent.</w:t>
      </w:r>
    </w:p>
    <w:p>
      <w:pPr>
        <w:pStyle w:val="ListParagraph"/>
        <w:numPr>
          <w:ilvl w:val="0"/>
          <w:numId w:val="8"/>
        </w:numPr>
        <w:spacing w:after="60"/>
      </w:pPr>
      <w:r>
        <w:rPr>
          <w:b/>
          <w:bCs/>
        </w:rPr>
        <w:t xml:space="preserve">Paiement de la diaspora.</w:t>
      </w:r>
      <w:r>
        <w:t xml:space="preserve"> Comment un client à l’étranger paie-t-il (virement, carte, transfert d’argent, mobile money) ? Le paiement est-il manuel en V1, avec justificatif ?</w:t>
      </w:r>
    </w:p>
    <w:p>
      <w:pPr>
        <w:pStyle w:val="ListParagraph"/>
        <w:numPr>
          <w:ilvl w:val="0"/>
          <w:numId w:val="8"/>
        </w:numPr>
        <w:spacing w:after="60"/>
      </w:pPr>
      <w:r>
        <w:rPr>
          <w:b/>
          <w:bCs/>
        </w:rPr>
        <w:t xml:space="preserve">Cadre légal.</w:t>
      </w:r>
      <w:r>
        <w:t xml:space="preserve"> L’agence est-elle agréée ou mandatée pour le transfert d’argent, les dépôts et retraits et la vente de crédit ?</w:t>
      </w:r>
    </w:p>
    <w:p>
      <w:pPr>
        <w:pStyle w:val="ListParagraph"/>
        <w:numPr>
          <w:ilvl w:val="0"/>
          <w:numId w:val="8"/>
        </w:numPr>
        <w:spacing w:after="60"/>
      </w:pPr>
      <w:r>
        <w:rPr>
          <w:b/>
          <w:bCs/>
        </w:rPr>
        <w:t xml:space="preserve">Séance photo.</w:t>
      </w:r>
      <w:r>
        <w:t xml:space="preserve"> Que représentent les numéros 1 à 30 de la fiche papier (nombre de photos, poses, jours du mois…) ? Le champ est prévu comme une sélection de numéros ; son intitulé est à confirmer.</w:t>
      </w:r>
    </w:p>
    <w:p>
      <w:pPr>
        <w:pStyle w:val="ListParagraph"/>
        <w:numPr>
          <w:ilvl w:val="0"/>
          <w:numId w:val="8"/>
        </w:numPr>
        <w:spacing w:after="60"/>
      </w:pPr>
      <w:r>
        <w:rPr>
          <w:b/>
          <w:bCs/>
        </w:rPr>
        <w:t xml:space="preserve">Acompte et annulation.</w:t>
      </w:r>
      <w:r>
        <w:t xml:space="preserve"> Taux d’acompte, conditions d’annulation et de remboursement.</w:t>
      </w:r>
    </w:p>
    <w:p>
      <w:pPr>
        <w:pStyle w:val="ListParagraph"/>
        <w:numPr>
          <w:ilvl w:val="0"/>
          <w:numId w:val="8"/>
        </w:numPr>
        <w:spacing w:after="60"/>
      </w:pPr>
      <w:r>
        <w:rPr>
          <w:b/>
          <w:bCs/>
        </w:rPr>
        <w:t xml:space="preserve">Validation des devis.</w:t>
      </w:r>
      <w:r>
        <w:t xml:space="preserve"> Les agents peuvent-ils envoyer un devis, ou seulement le préparer ?</w:t>
      </w:r>
    </w:p>
    <w:p>
      <w:pPr>
        <w:pStyle w:val="ListParagraph"/>
        <w:numPr>
          <w:ilvl w:val="0"/>
          <w:numId w:val="8"/>
        </w:numPr>
        <w:spacing w:after="60"/>
      </w:pPr>
      <w:r>
        <w:rPr>
          <w:b/>
          <w:bCs/>
        </w:rPr>
        <w:t xml:space="preserve">Équipe.</w:t>
      </w:r>
      <w:r>
        <w:t xml:space="preserve"> Nombre d’administrateurs et d’agents, et qui fait quoi.</w:t>
      </w:r>
    </w:p>
    <w:p>
      <w:pPr>
        <w:pStyle w:val="ListParagraph"/>
        <w:numPr>
          <w:ilvl w:val="0"/>
          <w:numId w:val="8"/>
        </w:numPr>
        <w:spacing w:after="60"/>
      </w:pPr>
      <w:r>
        <w:rPr>
          <w:b/>
          <w:bCs/>
        </w:rPr>
        <w:t xml:space="preserve">Notifications.</w:t>
      </w:r>
      <w:r>
        <w:t xml:space="preserve"> Canal préféré pour prévenir les clients : e-mail, WhatsApp, les deux ?</w:t>
      </w:r>
    </w:p>
    <w:p>
      <w:pPr>
        <w:pStyle w:val="ListParagraph"/>
        <w:numPr>
          <w:ilvl w:val="0"/>
          <w:numId w:val="8"/>
        </w:numPr>
        <w:spacing w:after="60"/>
      </w:pPr>
      <w:r>
        <w:rPr>
          <w:b/>
          <w:bCs/>
        </w:rPr>
        <w:t xml:space="preserve">Langues.</w:t>
      </w:r>
      <w:r>
        <w:t xml:space="preserve"> Français seul au départ, ou d’autres langues ?</w:t>
      </w:r>
    </w:p>
    <w:p>
      <w:pPr>
        <w:pStyle w:val="ListParagraph"/>
        <w:numPr>
          <w:ilvl w:val="0"/>
          <w:numId w:val="8"/>
        </w:numPr>
        <w:spacing w:after="60"/>
      </w:pPr>
      <w:r>
        <w:rPr>
          <w:b/>
          <w:bCs/>
        </w:rPr>
        <w:t xml:space="preserve">Volume.</w:t>
      </w:r>
      <w:r>
        <w:t xml:space="preserve"> Nombre de demandes attendu par mois, pour dimensionner l’hébergement.</w:t>
      </w:r>
    </w:p>
    <w:p>
      <w:pPr>
        <w:pStyle w:val="ListParagraph"/>
        <w:numPr>
          <w:ilvl w:val="0"/>
          <w:numId w:val="8"/>
        </w:numPr>
        <w:spacing w:after="60"/>
      </w:pPr>
      <w:r>
        <w:rPr>
          <w:b/>
          <w:bCs/>
        </w:rPr>
        <w:t xml:space="preserve">Listes.</w:t>
      </w:r>
      <w:r>
        <w:t xml:space="preserve"> Types de séances photo, formats et finitions d’impression.</w:t>
      </w:r>
    </w:p>
    <w:p>
      <w:pPr>
        <w:pStyle w:val="ListParagraph"/>
        <w:numPr>
          <w:ilvl w:val="0"/>
          <w:numId w:val="8"/>
        </w:numPr>
        <w:spacing w:after="60"/>
      </w:pPr>
      <w:r>
        <w:rPr>
          <w:b/>
          <w:bCs/>
        </w:rPr>
        <w:t xml:space="preserve">Cachet et coordonnées.</w:t>
      </w:r>
      <w:r>
        <w:t xml:space="preserve"> Fichier du cachet (PNG à fond transparent), numéros de téléphone, e-mail et adresse à imprimer sur les documents.</w:t>
      </w:r>
    </w:p>
    <w:p>
      <w:pPr>
        <w:pStyle w:val="ListParagraph"/>
        <w:numPr>
          <w:ilvl w:val="0"/>
          <w:numId w:val="8"/>
        </w:numPr>
        <w:spacing w:after="60"/>
      </w:pPr>
      <w:r>
        <w:rPr>
          <w:b/>
          <w:bCs/>
        </w:rPr>
        <w:t xml:space="preserve">Marque et domaine.</w:t>
      </w:r>
      <w:r>
        <w:t xml:space="preserve"> Fichiers vectoriels du logo (principal, inverse, monochrome, monogramme seul), nom de domaine, adresse d’envoi des e-mails. Les points de la charte à valider figurent au § 16.10.</w:t>
      </w:r>
    </w:p>
    <w:p>
      <w:pPr>
        <w:pStyle w:val="Heading1"/>
      </w:pPr>
      <w:r>
        <w:t xml:space="preserve">16. Charte graphique et design de l’interface</w:t>
      </w:r>
    </w:p>
    <w:p>
      <w:pPr>
        <w:spacing w:after="120" w:before="0"/>
      </w:pPr>
      <w:r>
        <w:t xml:space="preserve">Le site, l’administration, les documents PDF et les e-mails reprennent la charte graphique « dz Multi-Services » fournie par l’agence. Les valeurs de la charte (palette, polices, logo, règles d’usage) sont reprises telles quelles. Ce qui est ajouté pour les besoins de l’application est signalé « ajout » et reste à valider (§ 16.10).</w:t>
      </w:r>
    </w:p>
    <w:p>
      <w:pPr>
        <w:pStyle w:val="Heading2"/>
      </w:pPr>
      <w:r>
        <w:t xml:space="preserve">16.1 Identité et logo</w:t>
      </w:r>
    </w:p>
    <w:p>
      <w:pPr>
        <w:pStyle w:val="ListParagraph"/>
        <w:numPr>
          <w:ilvl w:val="0"/>
          <w:numId w:val="2"/>
        </w:numPr>
        <w:spacing w:after="60"/>
      </w:pPr>
      <w:r>
        <w:rPr>
          <w:b/>
          <w:bCs/>
        </w:rPr>
        <w:t xml:space="preserve">Signature :</w:t>
      </w:r>
      <w:r>
        <w:t xml:space="preserve"> « Plus qu’un service, une solution. » Elle accompagne le logo, figure dans le pied de page, les documents PDF et les e-mails. L’accroche « Une marque au service de vos projets. » peut ouvrir la page À propos.</w:t>
      </w:r>
    </w:p>
    <w:p>
      <w:pPr>
        <w:pStyle w:val="ListParagraph"/>
        <w:numPr>
          <w:ilvl w:val="0"/>
          <w:numId w:val="2"/>
        </w:numPr>
        <w:spacing w:after="60"/>
      </w:pPr>
      <w:r>
        <w:rPr>
          <w:b/>
          <w:bCs/>
        </w:rPr>
        <w:t xml:space="preserve">Nom écrit en texte :</w:t>
      </w:r>
      <w:r>
        <w:t xml:space="preserve"> « Dz Multi-Services ». Le logo, lui, n’est jamais retapé : il vient toujours d’un fichier.</w:t>
      </w:r>
    </w:p>
    <w:p>
      <w:pPr>
        <w:keepNext/>
        <w:spacing w:after="60" w:before="100"/>
      </w:pPr>
      <w:r>
        <w:t xml:space="preserve">Variantes du logo et emplois :</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600"/>
        <w:gridCol w:w="6472"/>
      </w:tblGrid>
      <w:tr>
        <w:trPr>
          <w:cantSplit/>
          <w:tblHeader/>
        </w:trPr>
        <w:tc>
          <w:tcPr>
            <w:tcW w:type="dxa" w:w="2600"/>
            <w:tcBorders>
              <w:top w:val="single" w:color="7F7F7F" w:sz="4"/>
              <w:left w:val="single" w:color="7F7F7F" w:sz="4"/>
              <w:bottom w:val="single" w:color="7F7F7F" w:sz="4"/>
              <w:right w:val="single" w:color="7F7F7F" w:sz="4"/>
            </w:tcBorders>
            <w:shd w:fill="D9D9D9" w:color="auto" w:val="clear"/>
            <w:tcMar>
              <w:top w:type="dxa" w:w="50"/>
              <w:left w:type="dxa" w:w="90"/>
              <w:bottom w:type="dxa" w:w="50"/>
              <w:right w:type="dxa" w:w="90"/>
            </w:tcMar>
          </w:tcPr>
          <w:p>
            <w:pPr>
              <w:spacing w:after="0"/>
            </w:pPr>
            <w:r>
              <w:rPr>
                <w:b/>
                <w:bCs/>
                <w:sz w:val="19"/>
                <w:szCs w:val="19"/>
              </w:rPr>
              <w:t xml:space="preserve">Variante</w:t>
            </w:r>
          </w:p>
        </w:tc>
        <w:tc>
          <w:tcPr>
            <w:tcW w:type="dxa" w:w="6472"/>
            <w:tcBorders>
              <w:top w:val="single" w:color="7F7F7F" w:sz="4"/>
              <w:left w:val="single" w:color="7F7F7F" w:sz="4"/>
              <w:bottom w:val="single" w:color="7F7F7F" w:sz="4"/>
              <w:right w:val="single" w:color="7F7F7F" w:sz="4"/>
            </w:tcBorders>
            <w:shd w:fill="D9D9D9" w:color="auto" w:val="clear"/>
            <w:tcMar>
              <w:top w:type="dxa" w:w="50"/>
              <w:left w:type="dxa" w:w="90"/>
              <w:bottom w:type="dxa" w:w="50"/>
              <w:right w:type="dxa" w:w="90"/>
            </w:tcMar>
          </w:tcPr>
          <w:p>
            <w:pPr>
              <w:spacing w:after="0"/>
            </w:pPr>
            <w:r>
              <w:rPr>
                <w:b/>
                <w:bCs/>
                <w:sz w:val="19"/>
                <w:szCs w:val="19"/>
              </w:rPr>
              <w:t xml:space="preserve">Emplois dans le projet</w:t>
            </w:r>
          </w:p>
        </w:tc>
      </w:tr>
      <w:tr>
        <w:trPr>
          <w:cantSplit/>
        </w:trPr>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Couleur (fond clair)</w:t>
            </w:r>
          </w:p>
        </w:tc>
        <w:tc>
          <w:tcPr>
            <w:tcW w:type="dxa" w:w="6472"/>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En-tête du site, pages publiques sur fond crème, en-tête des devis et fiches PDF, e-mails.</w:t>
            </w:r>
          </w:p>
        </w:tc>
      </w:tr>
      <w:tr>
        <w:trPr>
          <w:cantSplit/>
        </w:trPr>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Inverse (fond foncé)</w:t>
            </w:r>
          </w:p>
        </w:tc>
        <w:tc>
          <w:tcPr>
            <w:tcW w:type="dxa" w:w="6472"/>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Bandeau d’accueil sombre, pied de page, barre latérale de l’administration, image de partage.</w:t>
            </w:r>
          </w:p>
        </w:tc>
      </w:tr>
      <w:tr>
        <w:trPr>
          <w:cantSplit/>
        </w:trPr>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Monochrome (noir)</w:t>
            </w:r>
          </w:p>
        </w:tc>
        <w:tc>
          <w:tcPr>
            <w:tcW w:type="dxa" w:w="6472"/>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Documents imprimés ou photocopiés en noir et blanc, reçus.</w:t>
            </w:r>
          </w:p>
        </w:tc>
      </w:tr>
      <w:tr>
        <w:trPr>
          <w:cantSplit/>
        </w:trPr>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Monogramme « dz » seul</w:t>
            </w:r>
          </w:p>
        </w:tc>
        <w:tc>
          <w:tcPr>
            <w:tcW w:type="dxa" w:w="6472"/>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Favicon, icône d’application, avatar des réseaux sociaux, filigrane. À fournir par le designer (§ 16.10).</w:t>
            </w:r>
          </w:p>
        </w:tc>
      </w:tr>
    </w:tbl>
    <w:p>
      <w:pPr>
        <w:spacing w:after="100"/>
      </w:pPr>
    </w:p>
    <w:p>
      <w:pPr>
        <w:spacing w:after="120" w:before="0"/>
      </w:pPr>
      <w:r>
        <w:t xml:space="preserve">Règles d’usage (charte) : respecter les proportions et l’espace de protection ; choisir la variante selon le fond ; ne pas déformer le logo, ne pas changer ses couleurs en dehors de la palette, ne pas lui ajouter d’effets (ombre, contour), ne pas le placer sur un fond peu lisible, ne pas modifier son espacement ni sa typographie. Valeur de travail pour l’espace de protection : au moins la hauteur du « d » du monogramme, à confirmer.</w:t>
      </w:r>
    </w:p>
    <w:p>
      <w:pPr>
        <w:pStyle w:val="Heading2"/>
      </w:pPr>
      <w:r>
        <w:t xml:space="preserve">16.2 Palette</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5772"/>
      </w:tblGrid>
      <w:tr>
        <w:trPr>
          <w:cantSplit/>
          <w:tblHeader/>
        </w:trPr>
        <w:tc>
          <w:tcPr>
            <w:tcW w:type="dxa" w:w="1800"/>
            <w:tcBorders>
              <w:top w:val="single" w:color="7F7F7F" w:sz="4"/>
              <w:left w:val="single" w:color="7F7F7F" w:sz="4"/>
              <w:bottom w:val="single" w:color="7F7F7F" w:sz="4"/>
              <w:right w:val="single" w:color="7F7F7F" w:sz="4"/>
            </w:tcBorders>
            <w:shd w:fill="D9D9D9" w:color="auto" w:val="clear"/>
            <w:tcMar>
              <w:top w:type="dxa" w:w="50"/>
              <w:left w:type="dxa" w:w="90"/>
              <w:bottom w:type="dxa" w:w="50"/>
              <w:right w:type="dxa" w:w="90"/>
            </w:tcMar>
          </w:tcPr>
          <w:p>
            <w:pPr>
              <w:spacing w:after="0"/>
            </w:pPr>
            <w:r>
              <w:rPr>
                <w:b/>
                <w:bCs/>
                <w:sz w:val="19"/>
                <w:szCs w:val="19"/>
              </w:rPr>
              <w:t xml:space="preserve">Couleur</w:t>
            </w:r>
          </w:p>
        </w:tc>
        <w:tc>
          <w:tcPr>
            <w:tcW w:type="dxa" w:w="1500"/>
            <w:tcBorders>
              <w:top w:val="single" w:color="7F7F7F" w:sz="4"/>
              <w:left w:val="single" w:color="7F7F7F" w:sz="4"/>
              <w:bottom w:val="single" w:color="7F7F7F" w:sz="4"/>
              <w:right w:val="single" w:color="7F7F7F" w:sz="4"/>
            </w:tcBorders>
            <w:shd w:fill="D9D9D9" w:color="auto" w:val="clear"/>
            <w:tcMar>
              <w:top w:type="dxa" w:w="50"/>
              <w:left w:type="dxa" w:w="90"/>
              <w:bottom w:type="dxa" w:w="50"/>
              <w:right w:type="dxa" w:w="90"/>
            </w:tcMar>
          </w:tcPr>
          <w:p>
            <w:pPr>
              <w:spacing w:after="0"/>
            </w:pPr>
            <w:r>
              <w:rPr>
                <w:b/>
                <w:bCs/>
                <w:sz w:val="19"/>
                <w:szCs w:val="19"/>
              </w:rPr>
              <w:t xml:space="preserve">Valeur</w:t>
            </w:r>
          </w:p>
        </w:tc>
        <w:tc>
          <w:tcPr>
            <w:tcW w:type="dxa" w:w="5772"/>
            <w:tcBorders>
              <w:top w:val="single" w:color="7F7F7F" w:sz="4"/>
              <w:left w:val="single" w:color="7F7F7F" w:sz="4"/>
              <w:bottom w:val="single" w:color="7F7F7F" w:sz="4"/>
              <w:right w:val="single" w:color="7F7F7F" w:sz="4"/>
            </w:tcBorders>
            <w:shd w:fill="D9D9D9" w:color="auto" w:val="clear"/>
            <w:tcMar>
              <w:top w:type="dxa" w:w="50"/>
              <w:left w:type="dxa" w:w="90"/>
              <w:bottom w:type="dxa" w:w="50"/>
              <w:right w:type="dxa" w:w="90"/>
            </w:tcMar>
          </w:tcPr>
          <w:p>
            <w:pPr>
              <w:spacing w:after="0"/>
            </w:pPr>
            <w:r>
              <w:rPr>
                <w:b/>
                <w:bCs/>
                <w:sz w:val="19"/>
                <w:szCs w:val="19"/>
              </w:rPr>
              <w:t xml:space="preserve">Emploi dans l’application</w:t>
            </w:r>
          </w:p>
        </w:tc>
      </w:tr>
      <w:tr>
        <w:trPr>
          <w:cantSplit/>
        </w:trPr>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Bordeaux</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rFonts w:ascii="Consolas" w:cs="Consolas" w:eastAsia="Consolas" w:hAnsi="Consolas"/>
                <w:b w:val="false"/>
                <w:bCs w:val="false"/>
                <w:sz w:val="17"/>
                <w:szCs w:val="17"/>
              </w:rPr>
              <w:t xml:space="preserve">#8C0028</w:t>
            </w:r>
          </w:p>
        </w:tc>
        <w:tc>
          <w:tcPr>
            <w:tcW w:type="dxa" w:w="5772"/>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Éléments principaux : logotype, titres, boutons principaux, liens, élément actif de l’administration.</w:t>
            </w:r>
          </w:p>
        </w:tc>
      </w:tr>
      <w:tr>
        <w:trPr>
          <w:cantSplit/>
        </w:trPr>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Noir</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rFonts w:ascii="Consolas" w:cs="Consolas" w:eastAsia="Consolas" w:hAnsi="Consolas"/>
                <w:b w:val="false"/>
                <w:bCs w:val="false"/>
                <w:sz w:val="17"/>
                <w:szCs w:val="17"/>
              </w:rPr>
              <w:t xml:space="preserve">#101010</w:t>
            </w:r>
          </w:p>
        </w:tc>
        <w:tc>
          <w:tcPr>
            <w:tcW w:type="dxa" w:w="5772"/>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Texte, fonds sombres (bandeau d’accueil, pied de page, barre latérale), éléments principaux.</w:t>
            </w:r>
          </w:p>
        </w:tc>
      </w:tr>
      <w:tr>
        <w:trPr>
          <w:cantSplit/>
        </w:trPr>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Crème</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rFonts w:ascii="Consolas" w:cs="Consolas" w:eastAsia="Consolas" w:hAnsi="Consolas"/>
                <w:b w:val="false"/>
                <w:bCs w:val="false"/>
                <w:sz w:val="17"/>
                <w:szCs w:val="17"/>
              </w:rPr>
              <w:t xml:space="preserve">#F5F3EC</w:t>
            </w:r>
          </w:p>
        </w:tc>
        <w:tc>
          <w:tcPr>
            <w:tcW w:type="dxa" w:w="5772"/>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Fond de page, espaces, éléments secondaires, texte sur fonds sombres et sur bordeaux.</w:t>
            </w:r>
          </w:p>
        </w:tc>
      </w:tr>
      <w:tr>
        <w:trPr>
          <w:cantSplit/>
        </w:trPr>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Gris foncé</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rFonts w:ascii="Consolas" w:cs="Consolas" w:eastAsia="Consolas" w:hAnsi="Consolas"/>
                <w:b w:val="false"/>
                <w:bCs w:val="false"/>
                <w:sz w:val="17"/>
                <w:szCs w:val="17"/>
              </w:rPr>
              <w:t xml:space="preserve">#2B2B2B</w:t>
            </w:r>
          </w:p>
        </w:tc>
        <w:tc>
          <w:tcPr>
            <w:tcW w:type="dxa" w:w="5772"/>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Textes secondaires, icônes, bordures.</w:t>
            </w:r>
          </w:p>
        </w:tc>
      </w:tr>
      <w:tr>
        <w:trPr>
          <w:cantSplit/>
        </w:trPr>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Blanc (ajout)</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rFonts w:ascii="Consolas" w:cs="Consolas" w:eastAsia="Consolas" w:hAnsi="Consolas"/>
                <w:b w:val="false"/>
                <w:bCs w:val="false"/>
                <w:sz w:val="17"/>
                <w:szCs w:val="17"/>
              </w:rPr>
              <w:t xml:space="preserve">#FFFFFF</w:t>
            </w:r>
          </w:p>
        </w:tc>
        <w:tc>
          <w:tcPr>
            <w:tcW w:type="dxa" w:w="5772"/>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Champs de saisie, cartes et tableaux posés sur la crème.</w:t>
            </w:r>
          </w:p>
        </w:tc>
      </w:tr>
      <w:tr>
        <w:trPr>
          <w:cantSplit/>
        </w:trPr>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Vert (ajout)</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rFonts w:ascii="Consolas" w:cs="Consolas" w:eastAsia="Consolas" w:hAnsi="Consolas"/>
                <w:b w:val="false"/>
                <w:bCs w:val="false"/>
                <w:sz w:val="17"/>
                <w:szCs w:val="17"/>
              </w:rPr>
              <w:t xml:space="preserve">#2F6B3F</w:t>
            </w:r>
          </w:p>
        </w:tc>
        <w:tc>
          <w:tcPr>
            <w:tcW w:type="dxa" w:w="5772"/>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Succès uniquement : statut Terminée, paiement confirmé.</w:t>
            </w:r>
          </w:p>
        </w:tc>
      </w:tr>
      <w:tr>
        <w:trPr>
          <w:cantSplit/>
        </w:trPr>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Ambre (ajout)</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rFonts w:ascii="Consolas" w:cs="Consolas" w:eastAsia="Consolas" w:hAnsi="Consolas"/>
                <w:b w:val="false"/>
                <w:bCs w:val="false"/>
                <w:sz w:val="17"/>
                <w:szCs w:val="17"/>
              </w:rPr>
              <w:t xml:space="preserve">#8A5200</w:t>
            </w:r>
          </w:p>
        </w:tc>
        <w:tc>
          <w:tcPr>
            <w:tcW w:type="dxa" w:w="5772"/>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Avertissement uniquement : devis proche de l’échéance, paiement en attente.</w:t>
            </w:r>
          </w:p>
        </w:tc>
      </w:tr>
    </w:tbl>
    <w:p>
      <w:pPr>
        <w:spacing w:after="100"/>
      </w:pPr>
    </w:p>
    <w:p>
      <w:pPr>
        <w:pStyle w:val="Heading2"/>
      </w:pPr>
      <w:r>
        <w:t xml:space="preserve">16.3 Contraste et accessibilité</w:t>
      </w:r>
    </w:p>
    <w:p>
      <w:pPr>
        <w:spacing w:after="80" w:before="0"/>
      </w:pPr>
      <w:r>
        <w:t xml:space="preserve">Les rapports ci-dessous sont calculés selon la méthode WCAG ; un seuil de 4,5:1 est requis pour le texte courant. À recontrôler avec un outil pendant la recette.</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400"/>
        <w:gridCol w:w="4072"/>
      </w:tblGrid>
      <w:tr>
        <w:trPr>
          <w:cantSplit/>
          <w:tblHeader/>
        </w:trPr>
        <w:tc>
          <w:tcPr>
            <w:tcW w:type="dxa" w:w="1800"/>
            <w:tcBorders>
              <w:top w:val="single" w:color="7F7F7F" w:sz="4"/>
              <w:left w:val="single" w:color="7F7F7F" w:sz="4"/>
              <w:bottom w:val="single" w:color="7F7F7F" w:sz="4"/>
              <w:right w:val="single" w:color="7F7F7F" w:sz="4"/>
            </w:tcBorders>
            <w:shd w:fill="D9D9D9" w:color="auto" w:val="clear"/>
            <w:tcMar>
              <w:top w:type="dxa" w:w="50"/>
              <w:left w:type="dxa" w:w="90"/>
              <w:bottom w:type="dxa" w:w="50"/>
              <w:right w:type="dxa" w:w="90"/>
            </w:tcMar>
          </w:tcPr>
          <w:p>
            <w:pPr>
              <w:spacing w:after="0"/>
            </w:pPr>
            <w:r>
              <w:rPr>
                <w:b/>
                <w:bCs/>
                <w:sz w:val="19"/>
                <w:szCs w:val="19"/>
              </w:rPr>
              <w:t xml:space="preserve">Texte</w:t>
            </w:r>
          </w:p>
        </w:tc>
        <w:tc>
          <w:tcPr>
            <w:tcW w:type="dxa" w:w="1800"/>
            <w:tcBorders>
              <w:top w:val="single" w:color="7F7F7F" w:sz="4"/>
              <w:left w:val="single" w:color="7F7F7F" w:sz="4"/>
              <w:bottom w:val="single" w:color="7F7F7F" w:sz="4"/>
              <w:right w:val="single" w:color="7F7F7F" w:sz="4"/>
            </w:tcBorders>
            <w:shd w:fill="D9D9D9" w:color="auto" w:val="clear"/>
            <w:tcMar>
              <w:top w:type="dxa" w:w="50"/>
              <w:left w:type="dxa" w:w="90"/>
              <w:bottom w:type="dxa" w:w="50"/>
              <w:right w:type="dxa" w:w="90"/>
            </w:tcMar>
          </w:tcPr>
          <w:p>
            <w:pPr>
              <w:spacing w:after="0"/>
            </w:pPr>
            <w:r>
              <w:rPr>
                <w:b/>
                <w:bCs/>
                <w:sz w:val="19"/>
                <w:szCs w:val="19"/>
              </w:rPr>
              <w:t xml:space="preserve">Fond</w:t>
            </w:r>
          </w:p>
        </w:tc>
        <w:tc>
          <w:tcPr>
            <w:tcW w:type="dxa" w:w="1400"/>
            <w:tcBorders>
              <w:top w:val="single" w:color="7F7F7F" w:sz="4"/>
              <w:left w:val="single" w:color="7F7F7F" w:sz="4"/>
              <w:bottom w:val="single" w:color="7F7F7F" w:sz="4"/>
              <w:right w:val="single" w:color="7F7F7F" w:sz="4"/>
            </w:tcBorders>
            <w:shd w:fill="D9D9D9" w:color="auto" w:val="clear"/>
            <w:tcMar>
              <w:top w:type="dxa" w:w="50"/>
              <w:left w:type="dxa" w:w="90"/>
              <w:bottom w:type="dxa" w:w="50"/>
              <w:right w:type="dxa" w:w="90"/>
            </w:tcMar>
          </w:tcPr>
          <w:p>
            <w:pPr>
              <w:spacing w:after="0"/>
            </w:pPr>
            <w:r>
              <w:rPr>
                <w:b/>
                <w:bCs/>
                <w:sz w:val="19"/>
                <w:szCs w:val="19"/>
              </w:rPr>
              <w:t xml:space="preserve">Rapport</w:t>
            </w:r>
          </w:p>
        </w:tc>
        <w:tc>
          <w:tcPr>
            <w:tcW w:type="dxa" w:w="4072"/>
            <w:tcBorders>
              <w:top w:val="single" w:color="7F7F7F" w:sz="4"/>
              <w:left w:val="single" w:color="7F7F7F" w:sz="4"/>
              <w:bottom w:val="single" w:color="7F7F7F" w:sz="4"/>
              <w:right w:val="single" w:color="7F7F7F" w:sz="4"/>
            </w:tcBorders>
            <w:shd w:fill="D9D9D9" w:color="auto" w:val="clear"/>
            <w:tcMar>
              <w:top w:type="dxa" w:w="50"/>
              <w:left w:type="dxa" w:w="90"/>
              <w:bottom w:type="dxa" w:w="50"/>
              <w:right w:type="dxa" w:w="90"/>
            </w:tcMar>
          </w:tcPr>
          <w:p>
            <w:pPr>
              <w:spacing w:after="0"/>
            </w:pPr>
            <w:r>
              <w:rPr>
                <w:b/>
                <w:bCs/>
                <w:sz w:val="19"/>
                <w:szCs w:val="19"/>
              </w:rPr>
              <w:t xml:space="preserve">Emploi</w:t>
            </w:r>
          </w:p>
        </w:tc>
      </w:tr>
      <w:tr>
        <w:trPr>
          <w:cantSplit/>
        </w:trPr>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Noir</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Crème</w:t>
            </w:r>
          </w:p>
        </w:tc>
        <w:tc>
          <w:tcPr>
            <w:tcW w:type="dxa" w:w="14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17,1:1</w:t>
            </w:r>
          </w:p>
        </w:tc>
        <w:tc>
          <w:tcPr>
            <w:tcW w:type="dxa" w:w="4072"/>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Texte courant.</w:t>
            </w:r>
          </w:p>
        </w:tc>
      </w:tr>
      <w:tr>
        <w:trPr>
          <w:cantSplit/>
        </w:trPr>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Gris foncé</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Crème</w:t>
            </w:r>
          </w:p>
        </w:tc>
        <w:tc>
          <w:tcPr>
            <w:tcW w:type="dxa" w:w="14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12,7:1</w:t>
            </w:r>
          </w:p>
        </w:tc>
        <w:tc>
          <w:tcPr>
            <w:tcW w:type="dxa" w:w="4072"/>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Texte secondaire, bordures.</w:t>
            </w:r>
          </w:p>
        </w:tc>
      </w:tr>
      <w:tr>
        <w:trPr>
          <w:cantSplit/>
        </w:trPr>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Bordeaux</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Crème</w:t>
            </w:r>
          </w:p>
        </w:tc>
        <w:tc>
          <w:tcPr>
            <w:tcW w:type="dxa" w:w="14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8,8:1</w:t>
            </w:r>
          </w:p>
        </w:tc>
        <w:tc>
          <w:tcPr>
            <w:tcW w:type="dxa" w:w="4072"/>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Titres, liens, boutons en contour.</w:t>
            </w:r>
          </w:p>
        </w:tc>
      </w:tr>
      <w:tr>
        <w:trPr>
          <w:cantSplit/>
        </w:trPr>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Crème</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Bordeaux</w:t>
            </w:r>
          </w:p>
        </w:tc>
        <w:tc>
          <w:tcPr>
            <w:tcW w:type="dxa" w:w="14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8,8:1</w:t>
            </w:r>
          </w:p>
        </w:tc>
        <w:tc>
          <w:tcPr>
            <w:tcW w:type="dxa" w:w="4072"/>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Texte des boutons principaux.</w:t>
            </w:r>
          </w:p>
        </w:tc>
      </w:tr>
      <w:tr>
        <w:trPr>
          <w:cantSplit/>
        </w:trPr>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Crème</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Noir</w:t>
            </w:r>
          </w:p>
        </w:tc>
        <w:tc>
          <w:tcPr>
            <w:tcW w:type="dxa" w:w="14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17,1:1</w:t>
            </w:r>
          </w:p>
        </w:tc>
        <w:tc>
          <w:tcPr>
            <w:tcW w:type="dxa" w:w="4072"/>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Texte sur fonds sombres.</w:t>
            </w:r>
          </w:p>
        </w:tc>
      </w:tr>
      <w:tr>
        <w:trPr>
          <w:cantSplit/>
        </w:trPr>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Bordeaux</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Noir</w:t>
            </w:r>
          </w:p>
        </w:tc>
        <w:tc>
          <w:tcPr>
            <w:tcW w:type="dxa" w:w="14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1,9:1</w:t>
            </w:r>
          </w:p>
        </w:tc>
        <w:tc>
          <w:tcPr>
            <w:tcW w:type="dxa" w:w="4072"/>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Interdit pour du texte. Décor et logo inverse uniquement.</w:t>
            </w:r>
          </w:p>
        </w:tc>
      </w:tr>
    </w:tbl>
    <w:p>
      <w:pPr>
        <w:spacing w:after="100"/>
      </w:pPr>
    </w:p>
    <w:p>
      <w:pPr>
        <w:spacing w:after="120" w:before="0"/>
      </w:pPr>
      <w:r>
        <w:t xml:space="preserve">La palette ne définit aucune teinte de rouge lisible sur fond noir : sur fond sombre, le texte est en crème. Pour le reste : taille de base de 16 px au minimum, champs de formulaire à 16 px (évite le zoom automatique des téléphones), anneau de focus visible sur tout élément interactif, et jamais d’information portée par la seule couleur.</w:t>
      </w:r>
    </w:p>
    <w:p>
      <w:pPr>
        <w:pStyle w:val="Heading2"/>
      </w:pPr>
      <w:r>
        <w:t xml:space="preserve">16.4 Typographies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500"/>
        <w:gridCol w:w="3800"/>
        <w:gridCol w:w="3772"/>
      </w:tblGrid>
      <w:tr>
        <w:trPr>
          <w:cantSplit/>
          <w:tblHeader/>
        </w:trPr>
        <w:tc>
          <w:tcPr>
            <w:tcW w:type="dxa" w:w="1500"/>
            <w:tcBorders>
              <w:top w:val="single" w:color="7F7F7F" w:sz="4"/>
              <w:left w:val="single" w:color="7F7F7F" w:sz="4"/>
              <w:bottom w:val="single" w:color="7F7F7F" w:sz="4"/>
              <w:right w:val="single" w:color="7F7F7F" w:sz="4"/>
            </w:tcBorders>
            <w:shd w:fill="D9D9D9" w:color="auto" w:val="clear"/>
            <w:tcMar>
              <w:top w:type="dxa" w:w="50"/>
              <w:left w:type="dxa" w:w="90"/>
              <w:bottom w:type="dxa" w:w="50"/>
              <w:right w:type="dxa" w:w="90"/>
            </w:tcMar>
          </w:tcPr>
          <w:p>
            <w:pPr>
              <w:spacing w:after="0"/>
            </w:pPr>
            <w:r>
              <w:rPr>
                <w:b/>
                <w:bCs/>
                <w:sz w:val="19"/>
                <w:szCs w:val="19"/>
              </w:rPr>
              <w:t xml:space="preserve">Police</w:t>
            </w:r>
          </w:p>
        </w:tc>
        <w:tc>
          <w:tcPr>
            <w:tcW w:type="dxa" w:w="3800"/>
            <w:tcBorders>
              <w:top w:val="single" w:color="7F7F7F" w:sz="4"/>
              <w:left w:val="single" w:color="7F7F7F" w:sz="4"/>
              <w:bottom w:val="single" w:color="7F7F7F" w:sz="4"/>
              <w:right w:val="single" w:color="7F7F7F" w:sz="4"/>
            </w:tcBorders>
            <w:shd w:fill="D9D9D9" w:color="auto" w:val="clear"/>
            <w:tcMar>
              <w:top w:type="dxa" w:w="50"/>
              <w:left w:type="dxa" w:w="90"/>
              <w:bottom w:type="dxa" w:w="50"/>
              <w:right w:type="dxa" w:w="90"/>
            </w:tcMar>
          </w:tcPr>
          <w:p>
            <w:pPr>
              <w:spacing w:after="0"/>
            </w:pPr>
            <w:r>
              <w:rPr>
                <w:b/>
                <w:bCs/>
                <w:sz w:val="19"/>
                <w:szCs w:val="19"/>
              </w:rPr>
              <w:t xml:space="preserve">Emploi</w:t>
            </w:r>
          </w:p>
        </w:tc>
        <w:tc>
          <w:tcPr>
            <w:tcW w:type="dxa" w:w="3772"/>
            <w:tcBorders>
              <w:top w:val="single" w:color="7F7F7F" w:sz="4"/>
              <w:left w:val="single" w:color="7F7F7F" w:sz="4"/>
              <w:bottom w:val="single" w:color="7F7F7F" w:sz="4"/>
              <w:right w:val="single" w:color="7F7F7F" w:sz="4"/>
            </w:tcBorders>
            <w:shd w:fill="D9D9D9" w:color="auto" w:val="clear"/>
            <w:tcMar>
              <w:top w:type="dxa" w:w="50"/>
              <w:left w:type="dxa" w:w="90"/>
              <w:bottom w:type="dxa" w:w="50"/>
              <w:right w:type="dxa" w:w="90"/>
            </w:tcMar>
          </w:tcPr>
          <w:p>
            <w:pPr>
              <w:spacing w:after="0"/>
            </w:pPr>
            <w:r>
              <w:rPr>
                <w:b/>
                <w:bCs/>
                <w:sz w:val="19"/>
                <w:szCs w:val="19"/>
              </w:rPr>
              <w:t xml:space="preserve">Mise en œuvre</w:t>
            </w:r>
          </w:p>
        </w:tc>
      </w:tr>
      <w:tr>
        <w:trPr>
          <w:cantSplit/>
        </w:trPr>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Montserrat</w:t>
            </w:r>
          </w:p>
        </w:tc>
        <w:tc>
          <w:tcPr>
            <w:tcW w:type="dxa" w:w="38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Titres et sous-titres (semi-gras ou gras). Étiquettes de section en majuscules espacées, avec parcimonie.</w:t>
            </w:r>
          </w:p>
        </w:tc>
        <w:tc>
          <w:tcPr>
            <w:tcW w:type="dxa" w:w="3772"/>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Chargée par next/font, jeu de caractères latin avec accents, polices hébergées avec le site. Repli : sans-serif système.</w:t>
            </w:r>
          </w:p>
        </w:tc>
      </w:tr>
      <w:tr>
        <w:trPr>
          <w:cantSplit/>
        </w:trPr>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Poppins</w:t>
            </w:r>
          </w:p>
        </w:tc>
        <w:tc>
          <w:tcPr>
            <w:tcW w:type="dxa" w:w="38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Textes et éléments d’interface (régulier, moyen, semi-gras).</w:t>
            </w:r>
          </w:p>
        </w:tc>
        <w:tc>
          <w:tcPr>
            <w:tcW w:type="dxa" w:w="3772"/>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Idem. Repli : sans-serif système.</w:t>
            </w:r>
          </w:p>
        </w:tc>
      </w:tr>
    </w:tbl>
    <w:p>
      <w:pPr>
        <w:spacing w:after="100"/>
      </w:pPr>
    </w:p>
    <w:p>
      <w:pPr>
        <w:spacing w:after="120" w:before="0"/>
      </w:pPr>
      <w:r>
        <w:t xml:space="preserve">Dans les PDF, les deux polices sont embarquées (fichiers dans le dépôt, licences à vérifier). Dans les e-mails, les polices web ne sont pas fiables : repli sur Arial ou Helvetica.</w:t>
      </w:r>
    </w:p>
    <w:p>
      <w:pPr>
        <w:pStyle w:val="Heading2"/>
      </w:pPr>
      <w:r>
        <w:t xml:space="preserve">16.5 Application au site public</w:t>
      </w:r>
    </w:p>
    <w:p>
      <w:pPr>
        <w:pStyle w:val="ListParagraph"/>
        <w:numPr>
          <w:ilvl w:val="0"/>
          <w:numId w:val="2"/>
        </w:numPr>
        <w:spacing w:after="60"/>
      </w:pPr>
      <w:r>
        <w:rPr>
          <w:b/>
          <w:bCs/>
        </w:rPr>
        <w:t xml:space="preserve">Rythme des sections :</w:t>
      </w:r>
      <w:r>
        <w:t xml:space="preserve"> fonds crème en alternance avec des bandeaux noirs. Le bandeau d’accueil est sombre, avec le motif diagonal bordeaux de la charte et le logo inverse.</w:t>
      </w:r>
    </w:p>
    <w:p>
      <w:pPr>
        <w:pStyle w:val="ListParagraph"/>
        <w:numPr>
          <w:ilvl w:val="0"/>
          <w:numId w:val="2"/>
        </w:numPr>
        <w:spacing w:after="60"/>
      </w:pPr>
      <w:r>
        <w:rPr>
          <w:b/>
          <w:bCs/>
        </w:rPr>
        <w:t xml:space="preserve">Boutons :</w:t>
      </w:r>
      <w:r>
        <w:t xml:space="preserve"> principal en bordeaux avec texte crème ; secondaire en contour noir ou gris foncé ; au survol, le bordeaux s’assombrit. Un seul bouton principal par écran.</w:t>
      </w:r>
    </w:p>
    <w:p>
      <w:pPr>
        <w:pStyle w:val="ListParagraph"/>
        <w:numPr>
          <w:ilvl w:val="0"/>
          <w:numId w:val="2"/>
        </w:numPr>
        <w:spacing w:after="60"/>
      </w:pPr>
      <w:r>
        <w:rPr>
          <w:b/>
          <w:bCs/>
        </w:rPr>
        <w:t xml:space="preserve">Cartes de service :</w:t>
      </w:r>
      <w:r>
        <w:t xml:space="preserve"> fond blanc sur crème, icône dans un carré arrondi bordeaux (rayon de travail 16 px), titre en Montserrat.</w:t>
      </w:r>
    </w:p>
    <w:p>
      <w:pPr>
        <w:pStyle w:val="ListParagraph"/>
        <w:numPr>
          <w:ilvl w:val="0"/>
          <w:numId w:val="2"/>
        </w:numPr>
        <w:spacing w:after="60"/>
      </w:pPr>
      <w:r>
        <w:rPr>
          <w:b/>
          <w:bCs/>
        </w:rPr>
        <w:t xml:space="preserve">Motifs :</w:t>
      </w:r>
      <w:r>
        <w:t xml:space="preserve"> les bandes diagonales (bordeaux, noir, crème) servent de séparateur ou d’ornement, avec parcimonie. La texture du monogramme, à faible opacité, peut habiller le pied de page, sans gêner la lecture. Images de motif optimisées (WebP ou AVIF).</w:t>
      </w:r>
    </w:p>
    <w:p>
      <w:pPr>
        <w:pStyle w:val="ListParagraph"/>
        <w:numPr>
          <w:ilvl w:val="0"/>
          <w:numId w:val="2"/>
        </w:numPr>
        <w:spacing w:after="60"/>
      </w:pPr>
      <w:r>
        <w:rPr>
          <w:b/>
          <w:bCs/>
        </w:rPr>
        <w:t xml:space="preserve">Réseaux sociaux :</w:t>
      </w:r>
      <w:r>
        <w:t xml:space="preserve"> pictogrammes monochromes dans le pied de page, avec l’identifiant @dzmultiservices. Les liens viennent des réglages. Les icônes de marque sont des SVG dédiés.</w:t>
      </w:r>
    </w:p>
    <w:p>
      <w:pPr>
        <w:pStyle w:val="ListParagraph"/>
        <w:numPr>
          <w:ilvl w:val="0"/>
          <w:numId w:val="2"/>
        </w:numPr>
        <w:spacing w:after="60"/>
      </w:pPr>
      <w:r>
        <w:rPr>
          <w:b/>
          <w:bCs/>
        </w:rPr>
        <w:t xml:space="preserve">À propos :</w:t>
      </w:r>
      <w:r>
        <w:t xml:space="preserve"> les cinq piliers de la charte (Digital, Services, Conseil, Accompagnement, Votre partenaire), avec leurs icônes, si le texte de l’agence les reprend.</w:t>
      </w:r>
    </w:p>
    <w:p>
      <w:pPr>
        <w:spacing w:after="60" w:before="100"/>
      </w:pPr>
      <w:r>
        <w:t xml:space="preserve">Icônes : trait fin, en gris foncé ou en bordeaux, comme celles de la charte. En attendant les icônes d’origine, le jeu Lucide est utilisé ; le nom de l’icône est enregistré dans </w:t>
      </w:r>
      <w:r>
        <w:rPr>
          <w:rFonts w:ascii="Consolas" w:cs="Consolas" w:eastAsia="Consolas" w:hAnsi="Consolas"/>
          <w:sz w:val="20"/>
          <w:szCs w:val="20"/>
        </w:rPr>
        <w:t xml:space="preserve">service_categories.icon</w:t>
      </w:r>
      <w:r>
        <w:t xml:space="preserve">.</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600"/>
        <w:gridCol w:w="4472"/>
      </w:tblGrid>
      <w:tr>
        <w:trPr>
          <w:cantSplit/>
          <w:tblHeader/>
        </w:trPr>
        <w:tc>
          <w:tcPr>
            <w:tcW w:type="dxa" w:w="4600"/>
            <w:tcBorders>
              <w:top w:val="single" w:color="7F7F7F" w:sz="4"/>
              <w:left w:val="single" w:color="7F7F7F" w:sz="4"/>
              <w:bottom w:val="single" w:color="7F7F7F" w:sz="4"/>
              <w:right w:val="single" w:color="7F7F7F" w:sz="4"/>
            </w:tcBorders>
            <w:shd w:fill="D9D9D9" w:color="auto" w:val="clear"/>
            <w:tcMar>
              <w:top w:type="dxa" w:w="50"/>
              <w:left w:type="dxa" w:w="90"/>
              <w:bottom w:type="dxa" w:w="50"/>
              <w:right w:type="dxa" w:w="90"/>
            </w:tcMar>
          </w:tcPr>
          <w:p>
            <w:pPr>
              <w:spacing w:after="0"/>
            </w:pPr>
            <w:r>
              <w:rPr>
                <w:b/>
                <w:bCs/>
                <w:sz w:val="19"/>
                <w:szCs w:val="19"/>
              </w:rPr>
              <w:t xml:space="preserve">Élément</w:t>
            </w:r>
          </w:p>
        </w:tc>
        <w:tc>
          <w:tcPr>
            <w:tcW w:type="dxa" w:w="4472"/>
            <w:tcBorders>
              <w:top w:val="single" w:color="7F7F7F" w:sz="4"/>
              <w:left w:val="single" w:color="7F7F7F" w:sz="4"/>
              <w:bottom w:val="single" w:color="7F7F7F" w:sz="4"/>
              <w:right w:val="single" w:color="7F7F7F" w:sz="4"/>
            </w:tcBorders>
            <w:shd w:fill="D9D9D9" w:color="auto" w:val="clear"/>
            <w:tcMar>
              <w:top w:type="dxa" w:w="50"/>
              <w:left w:type="dxa" w:w="90"/>
              <w:bottom w:type="dxa" w:w="50"/>
              <w:right w:type="dxa" w:w="90"/>
            </w:tcMar>
          </w:tcPr>
          <w:p>
            <w:pPr>
              <w:spacing w:after="0"/>
            </w:pPr>
            <w:r>
              <w:rPr>
                <w:b/>
                <w:bCs/>
                <w:sz w:val="19"/>
                <w:szCs w:val="19"/>
              </w:rPr>
              <w:t xml:space="preserve">Icône Lucide</w:t>
            </w:r>
          </w:p>
        </w:tc>
      </w:tr>
      <w:tr>
        <w:trPr>
          <w:cantSplit/>
        </w:trPr>
        <w:tc>
          <w:tcPr>
            <w:tcW w:type="dxa" w:w="46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Digital, Services, Conseil, Accompagnement, Votre partenaire</w:t>
            </w:r>
          </w:p>
        </w:tc>
        <w:tc>
          <w:tcPr>
            <w:tcW w:type="dxa" w:w="4472"/>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rFonts w:ascii="Consolas" w:cs="Consolas" w:eastAsia="Consolas" w:hAnsi="Consolas"/>
                <w:b w:val="false"/>
                <w:bCs w:val="false"/>
                <w:sz w:val="17"/>
                <w:szCs w:val="17"/>
              </w:rPr>
              <w:t xml:space="preserve">Laptop</w:t>
            </w:r>
            <w:r>
              <w:rPr>
                <w:b w:val="false"/>
                <w:bCs w:val="false"/>
                <w:sz w:val="19"/>
                <w:szCs w:val="19"/>
              </w:rPr>
              <w:t xml:space="preserve">, </w:t>
            </w:r>
            <w:r>
              <w:rPr>
                <w:rFonts w:ascii="Consolas" w:cs="Consolas" w:eastAsia="Consolas" w:hAnsi="Consolas"/>
                <w:b w:val="false"/>
                <w:bCs w:val="false"/>
                <w:sz w:val="17"/>
                <w:szCs w:val="17"/>
              </w:rPr>
              <w:t xml:space="preserve">Settings</w:t>
            </w:r>
            <w:r>
              <w:rPr>
                <w:b w:val="false"/>
                <w:bCs w:val="false"/>
                <w:sz w:val="19"/>
                <w:szCs w:val="19"/>
              </w:rPr>
              <w:t xml:space="preserve">, </w:t>
            </w:r>
            <w:r>
              <w:rPr>
                <w:rFonts w:ascii="Consolas" w:cs="Consolas" w:eastAsia="Consolas" w:hAnsi="Consolas"/>
                <w:b w:val="false"/>
                <w:bCs w:val="false"/>
                <w:sz w:val="17"/>
                <w:szCs w:val="17"/>
              </w:rPr>
              <w:t xml:space="preserve">Handshake</w:t>
            </w:r>
            <w:r>
              <w:rPr>
                <w:b w:val="false"/>
                <w:bCs w:val="false"/>
                <w:sz w:val="19"/>
                <w:szCs w:val="19"/>
              </w:rPr>
              <w:t xml:space="preserve">, </w:t>
            </w:r>
            <w:r>
              <w:rPr>
                <w:rFonts w:ascii="Consolas" w:cs="Consolas" w:eastAsia="Consolas" w:hAnsi="Consolas"/>
                <w:b w:val="false"/>
                <w:bCs w:val="false"/>
                <w:sz w:val="17"/>
                <w:szCs w:val="17"/>
              </w:rPr>
              <w:t xml:space="preserve">TrendingUp</w:t>
            </w:r>
            <w:r>
              <w:rPr>
                <w:b w:val="false"/>
                <w:bCs w:val="false"/>
                <w:sz w:val="19"/>
                <w:szCs w:val="19"/>
              </w:rPr>
              <w:t xml:space="preserve">, </w:t>
            </w:r>
            <w:r>
              <w:rPr>
                <w:rFonts w:ascii="Consolas" w:cs="Consolas" w:eastAsia="Consolas" w:hAnsi="Consolas"/>
                <w:b w:val="false"/>
                <w:bCs w:val="false"/>
                <w:sz w:val="17"/>
                <w:szCs w:val="17"/>
              </w:rPr>
              <w:t xml:space="preserve">Users</w:t>
            </w:r>
          </w:p>
        </w:tc>
      </w:tr>
      <w:tr>
        <w:trPr>
          <w:cantSplit/>
        </w:trPr>
        <w:tc>
          <w:tcPr>
            <w:tcW w:type="dxa" w:w="46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Filmage de mariage, Séance photo, Spot publicitaire, Imprimerie</w:t>
            </w:r>
          </w:p>
        </w:tc>
        <w:tc>
          <w:tcPr>
            <w:tcW w:type="dxa" w:w="4472"/>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rFonts w:ascii="Consolas" w:cs="Consolas" w:eastAsia="Consolas" w:hAnsi="Consolas"/>
                <w:b w:val="false"/>
                <w:bCs w:val="false"/>
                <w:sz w:val="17"/>
                <w:szCs w:val="17"/>
              </w:rPr>
              <w:t xml:space="preserve">Clapperboard</w:t>
            </w:r>
            <w:r>
              <w:rPr>
                <w:b w:val="false"/>
                <w:bCs w:val="false"/>
                <w:sz w:val="19"/>
                <w:szCs w:val="19"/>
              </w:rPr>
              <w:t xml:space="preserve">, </w:t>
            </w:r>
            <w:r>
              <w:rPr>
                <w:rFonts w:ascii="Consolas" w:cs="Consolas" w:eastAsia="Consolas" w:hAnsi="Consolas"/>
                <w:b w:val="false"/>
                <w:bCs w:val="false"/>
                <w:sz w:val="17"/>
                <w:szCs w:val="17"/>
              </w:rPr>
              <w:t xml:space="preserve">Camera</w:t>
            </w:r>
            <w:r>
              <w:rPr>
                <w:b w:val="false"/>
                <w:bCs w:val="false"/>
                <w:sz w:val="19"/>
                <w:szCs w:val="19"/>
              </w:rPr>
              <w:t xml:space="preserve">, </w:t>
            </w:r>
            <w:r>
              <w:rPr>
                <w:rFonts w:ascii="Consolas" w:cs="Consolas" w:eastAsia="Consolas" w:hAnsi="Consolas"/>
                <w:b w:val="false"/>
                <w:bCs w:val="false"/>
                <w:sz w:val="17"/>
                <w:szCs w:val="17"/>
              </w:rPr>
              <w:t xml:space="preserve">Megaphone</w:t>
            </w:r>
            <w:r>
              <w:rPr>
                <w:b w:val="false"/>
                <w:bCs w:val="false"/>
                <w:sz w:val="19"/>
                <w:szCs w:val="19"/>
              </w:rPr>
              <w:t xml:space="preserve">, </w:t>
            </w:r>
            <w:r>
              <w:rPr>
                <w:rFonts w:ascii="Consolas" w:cs="Consolas" w:eastAsia="Consolas" w:hAnsi="Consolas"/>
                <w:b w:val="false"/>
                <w:bCs w:val="false"/>
                <w:sz w:val="17"/>
                <w:szCs w:val="17"/>
              </w:rPr>
              <w:t xml:space="preserve">Printer</w:t>
            </w:r>
          </w:p>
        </w:tc>
      </w:tr>
      <w:tr>
        <w:trPr>
          <w:cantSplit/>
        </w:trPr>
        <w:tc>
          <w:tcPr>
            <w:tcW w:type="dxa" w:w="46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Transfert international, Canal+, Électricité STS, Crédit HURI / YAS, Holo</w:t>
            </w:r>
          </w:p>
        </w:tc>
        <w:tc>
          <w:tcPr>
            <w:tcW w:type="dxa" w:w="4472"/>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rFonts w:ascii="Consolas" w:cs="Consolas" w:eastAsia="Consolas" w:hAnsi="Consolas"/>
                <w:b w:val="false"/>
                <w:bCs w:val="false"/>
                <w:sz w:val="17"/>
                <w:szCs w:val="17"/>
              </w:rPr>
              <w:t xml:space="preserve">Globe</w:t>
            </w:r>
            <w:r>
              <w:rPr>
                <w:b w:val="false"/>
                <w:bCs w:val="false"/>
                <w:sz w:val="19"/>
                <w:szCs w:val="19"/>
              </w:rPr>
              <w:t xml:space="preserve">, </w:t>
            </w:r>
            <w:r>
              <w:rPr>
                <w:rFonts w:ascii="Consolas" w:cs="Consolas" w:eastAsia="Consolas" w:hAnsi="Consolas"/>
                <w:b w:val="false"/>
                <w:bCs w:val="false"/>
                <w:sz w:val="17"/>
                <w:szCs w:val="17"/>
              </w:rPr>
              <w:t xml:space="preserve">Tv</w:t>
            </w:r>
            <w:r>
              <w:rPr>
                <w:b w:val="false"/>
                <w:bCs w:val="false"/>
                <w:sz w:val="19"/>
                <w:szCs w:val="19"/>
              </w:rPr>
              <w:t xml:space="preserve">, </w:t>
            </w:r>
            <w:r>
              <w:rPr>
                <w:rFonts w:ascii="Consolas" w:cs="Consolas" w:eastAsia="Consolas" w:hAnsi="Consolas"/>
                <w:b w:val="false"/>
                <w:bCs w:val="false"/>
                <w:sz w:val="17"/>
                <w:szCs w:val="17"/>
              </w:rPr>
              <w:t xml:space="preserve">Zap</w:t>
            </w:r>
            <w:r>
              <w:rPr>
                <w:b w:val="false"/>
                <w:bCs w:val="false"/>
                <w:sz w:val="19"/>
                <w:szCs w:val="19"/>
              </w:rPr>
              <w:t xml:space="preserve">, </w:t>
            </w:r>
            <w:r>
              <w:rPr>
                <w:rFonts w:ascii="Consolas" w:cs="Consolas" w:eastAsia="Consolas" w:hAnsi="Consolas"/>
                <w:b w:val="false"/>
                <w:bCs w:val="false"/>
                <w:sz w:val="17"/>
                <w:szCs w:val="17"/>
              </w:rPr>
              <w:t xml:space="preserve">Smartphone</w:t>
            </w:r>
            <w:r>
              <w:rPr>
                <w:b w:val="false"/>
                <w:bCs w:val="false"/>
                <w:sz w:val="19"/>
                <w:szCs w:val="19"/>
              </w:rPr>
              <w:t xml:space="preserve">, </w:t>
            </w:r>
            <w:r>
              <w:rPr>
                <w:rFonts w:ascii="Consolas" w:cs="Consolas" w:eastAsia="Consolas" w:hAnsi="Consolas"/>
                <w:b w:val="false"/>
                <w:bCs w:val="false"/>
                <w:sz w:val="17"/>
                <w:szCs w:val="17"/>
              </w:rPr>
              <w:t xml:space="preserve">Wallet</w:t>
            </w:r>
          </w:p>
        </w:tc>
      </w:tr>
    </w:tbl>
    <w:p>
      <w:pPr>
        <w:spacing w:after="100"/>
      </w:pPr>
    </w:p>
    <w:p>
      <w:pPr>
        <w:pStyle w:val="Heading2"/>
      </w:pPr>
      <w:r>
        <w:t xml:space="preserve">16.6 Application à l’administration</w:t>
      </w:r>
    </w:p>
    <w:p>
      <w:pPr>
        <w:pStyle w:val="ListParagraph"/>
        <w:numPr>
          <w:ilvl w:val="0"/>
          <w:numId w:val="2"/>
        </w:numPr>
        <w:spacing w:after="60"/>
      </w:pPr>
      <w:r>
        <w:t xml:space="preserve">Interface sobre : barre latérale noire avec le logo inverse et le texte en crème ; zone de travail crème ; tableaux sur fond blanc avec filets gris.</w:t>
      </w:r>
    </w:p>
    <w:p>
      <w:pPr>
        <w:pStyle w:val="ListParagraph"/>
        <w:numPr>
          <w:ilvl w:val="0"/>
          <w:numId w:val="2"/>
        </w:numPr>
        <w:spacing w:after="60"/>
      </w:pPr>
      <w:r>
        <w:t xml:space="preserve">Le bordeaux est réservé aux actions principales et à l’élément de menu actif. Titres de page en Montserrat, tout le reste en Poppins.</w:t>
      </w:r>
    </w:p>
    <w:p>
      <w:pPr>
        <w:pStyle w:val="ListParagraph"/>
        <w:numPr>
          <w:ilvl w:val="0"/>
          <w:numId w:val="2"/>
        </w:numPr>
        <w:spacing w:after="60"/>
      </w:pPr>
      <w:r>
        <w:t xml:space="preserve">Graphiques : bordeaux pour la série principale, gris foncé et noir pour les comparaisons. Pas d’arc-en-ciel : pour les neuf services, un classement par valeur avec étiquettes directes remplace la légende en couleurs.</w:t>
      </w:r>
    </w:p>
    <w:p>
      <w:pPr>
        <w:pStyle w:val="ListParagraph"/>
        <w:numPr>
          <w:ilvl w:val="0"/>
          <w:numId w:val="2"/>
        </w:numPr>
        <w:spacing w:after="60"/>
      </w:pPr>
      <w:r>
        <w:t xml:space="preserve">Pas de mode sombre automatique en V1, pour garder une palette unique.</w:t>
      </w:r>
    </w:p>
    <w:p>
      <w:pPr>
        <w:pStyle w:val="Heading2"/>
      </w:pPr>
      <w:r>
        <w:t xml:space="preserve">16.7 Statuts et messages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00"/>
        <w:gridCol w:w="6072"/>
      </w:tblGrid>
      <w:tr>
        <w:trPr>
          <w:cantSplit/>
          <w:tblHeader/>
        </w:trPr>
        <w:tc>
          <w:tcPr>
            <w:tcW w:type="dxa" w:w="3000"/>
            <w:tcBorders>
              <w:top w:val="single" w:color="7F7F7F" w:sz="4"/>
              <w:left w:val="single" w:color="7F7F7F" w:sz="4"/>
              <w:bottom w:val="single" w:color="7F7F7F" w:sz="4"/>
              <w:right w:val="single" w:color="7F7F7F" w:sz="4"/>
            </w:tcBorders>
            <w:shd w:fill="D9D9D9" w:color="auto" w:val="clear"/>
            <w:tcMar>
              <w:top w:type="dxa" w:w="50"/>
              <w:left w:type="dxa" w:w="90"/>
              <w:bottom w:type="dxa" w:w="50"/>
              <w:right w:type="dxa" w:w="90"/>
            </w:tcMar>
          </w:tcPr>
          <w:p>
            <w:pPr>
              <w:spacing w:after="0"/>
            </w:pPr>
            <w:r>
              <w:rPr>
                <w:b/>
                <w:bCs/>
                <w:sz w:val="19"/>
                <w:szCs w:val="19"/>
              </w:rPr>
              <w:t xml:space="preserve">Style</w:t>
            </w:r>
          </w:p>
        </w:tc>
        <w:tc>
          <w:tcPr>
            <w:tcW w:type="dxa" w:w="6072"/>
            <w:tcBorders>
              <w:top w:val="single" w:color="7F7F7F" w:sz="4"/>
              <w:left w:val="single" w:color="7F7F7F" w:sz="4"/>
              <w:bottom w:val="single" w:color="7F7F7F" w:sz="4"/>
              <w:right w:val="single" w:color="7F7F7F" w:sz="4"/>
            </w:tcBorders>
            <w:shd w:fill="D9D9D9" w:color="auto" w:val="clear"/>
            <w:tcMar>
              <w:top w:type="dxa" w:w="50"/>
              <w:left w:type="dxa" w:w="90"/>
              <w:bottom w:type="dxa" w:w="50"/>
              <w:right w:type="dxa" w:w="90"/>
            </w:tcMar>
          </w:tcPr>
          <w:p>
            <w:pPr>
              <w:spacing w:after="0"/>
            </w:pPr>
            <w:r>
              <w:rPr>
                <w:b/>
                <w:bCs/>
                <w:sz w:val="19"/>
                <w:szCs w:val="19"/>
              </w:rPr>
              <w:t xml:space="preserve">Utilisation</w:t>
            </w:r>
          </w:p>
        </w:tc>
      </w:tr>
      <w:tr>
        <w:trPr>
          <w:cantSplit/>
        </w:trPr>
        <w:tc>
          <w:tcPr>
            <w:tcW w:type="dxa" w:w="30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Gris foncé, en contour</w:t>
            </w:r>
          </w:p>
        </w:tc>
        <w:tc>
          <w:tcPr>
            <w:tcW w:type="dxa" w:w="6072"/>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Demande reçue, En traitement.</w:t>
            </w:r>
          </w:p>
        </w:tc>
      </w:tr>
      <w:tr>
        <w:trPr>
          <w:cantSplit/>
        </w:trPr>
        <w:tc>
          <w:tcPr>
            <w:tcW w:type="dxa" w:w="30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Bordeaux</w:t>
            </w:r>
          </w:p>
        </w:tc>
        <w:tc>
          <w:tcPr>
            <w:tcW w:type="dxa" w:w="6072"/>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Devis envoyé, Acceptée, En cours.</w:t>
            </w:r>
          </w:p>
        </w:tc>
      </w:tr>
      <w:tr>
        <w:trPr>
          <w:cantSplit/>
        </w:trPr>
        <w:tc>
          <w:tcPr>
            <w:tcW w:type="dxa" w:w="30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Vert</w:t>
            </w:r>
          </w:p>
        </w:tc>
        <w:tc>
          <w:tcPr>
            <w:tcW w:type="dxa" w:w="6072"/>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Terminée, paiement confirmé.</w:t>
            </w:r>
          </w:p>
        </w:tc>
      </w:tr>
      <w:tr>
        <w:trPr>
          <w:cantSplit/>
        </w:trPr>
        <w:tc>
          <w:tcPr>
            <w:tcW w:type="dxa" w:w="30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Gris avec icône barrée</w:t>
            </w:r>
          </w:p>
        </w:tc>
        <w:tc>
          <w:tcPr>
            <w:tcW w:type="dxa" w:w="6072"/>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Refusée, Annulée, Expirée.</w:t>
            </w:r>
          </w:p>
        </w:tc>
      </w:tr>
      <w:tr>
        <w:trPr>
          <w:cantSplit/>
        </w:trPr>
        <w:tc>
          <w:tcPr>
            <w:tcW w:type="dxa" w:w="30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Ambre</w:t>
            </w:r>
          </w:p>
        </w:tc>
        <w:tc>
          <w:tcPr>
            <w:tcW w:type="dxa" w:w="6072"/>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Avertissements : devis proche de l’échéance, paiement en attente.</w:t>
            </w:r>
          </w:p>
        </w:tc>
      </w:tr>
      <w:tr>
        <w:trPr>
          <w:cantSplit/>
        </w:trPr>
        <w:tc>
          <w:tcPr>
            <w:tcW w:type="dxa" w:w="30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Bordeaux avec icône d’alerte</w:t>
            </w:r>
          </w:p>
        </w:tc>
        <w:tc>
          <w:tcPr>
            <w:tcW w:type="dxa" w:w="6072"/>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after="0"/>
            </w:pPr>
            <w:r>
              <w:rPr>
                <w:b w:val="false"/>
                <w:bCs w:val="false"/>
                <w:sz w:val="19"/>
                <w:szCs w:val="19"/>
              </w:rPr>
              <w:t xml:space="preserve">Erreurs de saisie et d’enregistrement, toujours accompagnées d’un texte clair.</w:t>
            </w:r>
          </w:p>
        </w:tc>
      </w:tr>
    </w:tbl>
    <w:p>
      <w:pPr>
        <w:spacing w:after="100"/>
      </w:pPr>
    </w:p>
    <w:p>
      <w:pPr>
        <w:spacing w:after="120" w:before="0"/>
      </w:pPr>
      <w:r>
        <w:t xml:space="preserve">Chaque pastille associe un libellé, une icône et une couleur.</w:t>
      </w:r>
    </w:p>
    <w:p>
      <w:pPr>
        <w:pStyle w:val="Heading2"/>
      </w:pPr>
      <w:r>
        <w:t xml:space="preserve">16.8 Documents PDF et e-mails</w:t>
      </w:r>
    </w:p>
    <w:p>
      <w:pPr>
        <w:pStyle w:val="ListParagraph"/>
        <w:numPr>
          <w:ilvl w:val="0"/>
          <w:numId w:val="2"/>
        </w:numPr>
        <w:spacing w:after="60"/>
      </w:pPr>
      <w:r>
        <w:rPr>
          <w:b/>
          <w:bCs/>
        </w:rPr>
        <w:t xml:space="preserve">PDF :</w:t>
      </w:r>
      <w:r>
        <w:t xml:space="preserve"> format A4, fond blanc pour économiser l’encre. En-tête avec le logo couleur et les coordonnées. Titres en Montserrat bordeaux, texte en Poppins noir. Tableaux : en-tête bordeaux avec texte crème, filets gris, total en gras. Pied de page : signature, téléphones, e-mail, mentions légales.</w:t>
      </w:r>
    </w:p>
    <w:p>
      <w:pPr>
        <w:pStyle w:val="ListParagraph"/>
        <w:numPr>
          <w:ilvl w:val="0"/>
          <w:numId w:val="2"/>
        </w:numPr>
        <w:spacing w:after="60"/>
      </w:pPr>
      <w:r>
        <w:rPr>
          <w:b/>
          <w:bCs/>
        </w:rPr>
        <w:t xml:space="preserve">Cachet :</w:t>
      </w:r>
      <w:r>
        <w:t xml:space="preserve"> à l’emplacement prévu, tel quel : il n’est ni recoloré ni recadré, il ne relève pas de la charte.</w:t>
      </w:r>
    </w:p>
    <w:p>
      <w:pPr>
        <w:pStyle w:val="ListParagraph"/>
        <w:numPr>
          <w:ilvl w:val="0"/>
          <w:numId w:val="2"/>
        </w:numPr>
        <w:spacing w:after="60"/>
      </w:pPr>
      <w:r>
        <w:rPr>
          <w:b/>
          <w:bCs/>
        </w:rPr>
        <w:t xml:space="preserve">Impression en noir et blanc :</w:t>
      </w:r>
      <w:r>
        <w:t xml:space="preserve"> utiliser le logo monochrome ; aucune information ne dépend de la couleur.</w:t>
      </w:r>
    </w:p>
    <w:p>
      <w:pPr>
        <w:pStyle w:val="ListParagraph"/>
        <w:numPr>
          <w:ilvl w:val="0"/>
          <w:numId w:val="2"/>
        </w:numPr>
        <w:spacing w:after="60"/>
      </w:pPr>
      <w:r>
        <w:rPr>
          <w:b/>
          <w:bCs/>
        </w:rPr>
        <w:t xml:space="preserve">E-mails :</w:t>
      </w:r>
      <w:r>
        <w:t xml:space="preserve"> logo en PNG haute définition sur fond crème, bouton bordeaux avec texte crème, polices de repli, pied avec la signature, les coordonnées et les réseaux. Une version en texte brut est jointe.</w:t>
      </w:r>
    </w:p>
    <w:p>
      <w:pPr>
        <w:pStyle w:val="Heading2"/>
      </w:pPr>
      <w:r>
        <w:t xml:space="preserve">16.9 Mise en œuvre</w:t>
      </w:r>
    </w:p>
    <w:p>
      <w:pPr>
        <w:pStyle w:val="ListParagraph"/>
        <w:numPr>
          <w:ilvl w:val="0"/>
          <w:numId w:val="2"/>
        </w:numPr>
        <w:spacing w:after="60"/>
      </w:pPr>
      <w:r>
        <w:t xml:space="preserve">Les couleurs et polices sont des jetons du thème (annexe C). Aucune couleur ni police n’est écrite en dur dans les composants.</w:t>
      </w:r>
    </w:p>
    <w:p>
      <w:pPr>
        <w:pStyle w:val="ListParagraph"/>
        <w:numPr>
          <w:ilvl w:val="0"/>
          <w:numId w:val="2"/>
        </w:numPr>
        <w:spacing w:after="60"/>
      </w:pPr>
      <w:r>
        <w:t xml:space="preserve">Fichiers du logo (SVG) dans le dépôt, sous </w:t>
      </w:r>
      <w:r>
        <w:rPr>
          <w:rFonts w:ascii="Consolas" w:cs="Consolas" w:eastAsia="Consolas" w:hAnsi="Consolas"/>
          <w:sz w:val="20"/>
          <w:szCs w:val="20"/>
        </w:rPr>
        <w:t xml:space="preserve">public/brand</w:t>
      </w:r>
      <w:r>
        <w:t xml:space="preserve">. Le cachet reste, lui, dans l’espace privé (§ 9.6).</w:t>
      </w:r>
    </w:p>
    <w:p>
      <w:pPr>
        <w:pStyle w:val="ListParagraph"/>
        <w:numPr>
          <w:ilvl w:val="0"/>
          <w:numId w:val="2"/>
        </w:numPr>
        <w:spacing w:after="60"/>
      </w:pPr>
      <w:r>
        <w:t xml:space="preserve">La charte est versionnée dans </w:t>
      </w:r>
      <w:r>
        <w:rPr>
          <w:rFonts w:ascii="Consolas" w:cs="Consolas" w:eastAsia="Consolas" w:hAnsi="Consolas"/>
          <w:sz w:val="20"/>
          <w:szCs w:val="20"/>
        </w:rPr>
        <w:t xml:space="preserve">docs/charte-graphique.md</w:t>
      </w:r>
      <w:r>
        <w:t xml:space="preserve">, avec les fichiers sources du designer.</w:t>
      </w:r>
    </w:p>
    <w:p>
      <w:pPr>
        <w:pStyle w:val="Heading2"/>
      </w:pPr>
      <w:r>
        <w:t xml:space="preserve">16.10 Points de la charte à fournir ou à valider</w:t>
      </w:r>
    </w:p>
    <w:p>
      <w:pPr>
        <w:pStyle w:val="ListParagraph"/>
        <w:numPr>
          <w:ilvl w:val="0"/>
          <w:numId w:val="9"/>
        </w:numPr>
        <w:spacing w:after="60"/>
      </w:pPr>
      <w:r>
        <w:t xml:space="preserve">Fichiers vectoriels du logo (principal, inverse, monochrome) et du monogramme « dz » seul. L’image de la charte ne suffit pas pour la production.</w:t>
      </w:r>
    </w:p>
    <w:p>
      <w:pPr>
        <w:pStyle w:val="ListParagraph"/>
        <w:numPr>
          <w:ilvl w:val="0"/>
          <w:numId w:val="9"/>
        </w:numPr>
        <w:spacing w:after="60"/>
      </w:pPr>
      <w:r>
        <w:t xml:space="preserve">Espace de protection et taille minimale du logo, que la charte indique sans valeur chiffrée.</w:t>
      </w:r>
    </w:p>
    <w:p>
      <w:pPr>
        <w:pStyle w:val="ListParagraph"/>
        <w:numPr>
          <w:ilvl w:val="0"/>
          <w:numId w:val="9"/>
        </w:numPr>
        <w:spacing w:after="60"/>
      </w:pPr>
      <w:r>
        <w:t xml:space="preserve">Teinte de bordeaux clair pour du texte rouge sur fond sombre, si le besoin se confirme (la palette n’en définit pas).</w:t>
      </w:r>
    </w:p>
    <w:p>
      <w:pPr>
        <w:pStyle w:val="ListParagraph"/>
        <w:numPr>
          <w:ilvl w:val="0"/>
          <w:numId w:val="9"/>
        </w:numPr>
        <w:spacing w:after="60"/>
      </w:pPr>
      <w:r>
        <w:t xml:space="preserve">Couleurs ajoutées : blanc, vert de succès, ambre d’avertissement.</w:t>
      </w:r>
    </w:p>
    <w:p>
      <w:pPr>
        <w:pStyle w:val="ListParagraph"/>
        <w:numPr>
          <w:ilvl w:val="0"/>
          <w:numId w:val="9"/>
        </w:numPr>
        <w:spacing w:after="60"/>
      </w:pPr>
      <w:r>
        <w:t xml:space="preserve">Signature manuscrite « DZ Multi-Services » figurant en bas de la charte : emploi à préciser, aucune police ne lui est associée.</w:t>
      </w:r>
    </w:p>
    <w:p>
      <w:pPr>
        <w:pStyle w:val="ListParagraph"/>
        <w:numPr>
          <w:ilvl w:val="0"/>
          <w:numId w:val="9"/>
        </w:numPr>
        <w:spacing w:after="60"/>
      </w:pPr>
      <w:r>
        <w:t xml:space="preserve">Icônes de la charte (cinq piliers) : fichiers à fournir, ou validation du jeu Lucide en remplacement.</w:t>
      </w:r>
    </w:p>
    <w:p>
      <w:pPr>
        <w:pStyle w:val="Heading1"/>
        <w:pageBreakBefore/>
      </w:pPr>
      <w:r>
        <w:t xml:space="preserve">Annexe A. Fichier AGENTS.md proposé</w:t>
      </w:r>
    </w:p>
    <w:p>
      <w:pPr>
        <w:spacing w:after="120" w:before="0"/>
      </w:pPr>
      <w:r>
        <w:t xml:space="preserve">À placer à la racine du dépôt. Vérifier le format d’instructions pris en charge par la version de Windsurf utilisée ; à défaut, reprendre le contenu dans les règles du projet de Windsurf.</w:t>
      </w:r>
    </w:p>
    <w:p>
      <w:pPr>
        <w:shd w:fill="F2F2F2" w:color="auto" w:val="clear"/>
        <w:spacing w:after="0"/>
        <w:ind w:left="200"/>
      </w:pPr>
      <w:r>
        <w:rPr>
          <w:rFonts w:ascii="Consolas" w:cs="Consolas" w:eastAsia="Consolas" w:hAnsi="Consolas"/>
          <w:sz w:val="18"/>
          <w:szCs w:val="18"/>
        </w:rPr>
        <w:t xml:space="preserve"># Dz Multi-Services</w:t>
      </w:r>
    </w:p>
    <w:p>
      <w:pPr>
        <w:shd w:fill="F2F2F2" w:color="auto" w:val="clear"/>
        <w:spacing w:after="0"/>
        <w:ind w:left="200"/>
      </w:pPr>
      <w:r>
        <w:rPr>
          <w:rFonts w:ascii="Consolas" w:cs="Consolas" w:eastAsia="Consolas" w:hAnsi="Consolas"/>
          <w:sz w:val="18"/>
          <w:szCs w:val="18"/>
        </w:rPr>
        <w:t xml:space="preserve"> </w:t>
      </w:r>
    </w:p>
    <w:p>
      <w:pPr>
        <w:shd w:fill="F2F2F2" w:color="auto" w:val="clear"/>
        <w:spacing w:after="0"/>
        <w:ind w:left="200"/>
      </w:pPr>
      <w:r>
        <w:rPr>
          <w:rFonts w:ascii="Consolas" w:cs="Consolas" w:eastAsia="Consolas" w:hAnsi="Consolas"/>
          <w:sz w:val="18"/>
          <w:szCs w:val="18"/>
        </w:rPr>
        <w:t xml:space="preserve">Plateforme de services (devis et commandes) pour clients locaux et diaspora.</w:t>
      </w:r>
    </w:p>
    <w:p>
      <w:pPr>
        <w:shd w:fill="F2F2F2" w:color="auto" w:val="clear"/>
        <w:spacing w:after="0"/>
        <w:ind w:left="200"/>
      </w:pPr>
      <w:r>
        <w:rPr>
          <w:rFonts w:ascii="Consolas" w:cs="Consolas" w:eastAsia="Consolas" w:hAnsi="Consolas"/>
          <w:sz w:val="18"/>
          <w:szCs w:val="18"/>
        </w:rPr>
        <w:t xml:space="preserve">Références : docs/cahier-des-charges.md, docs/database.md, docs/roles-permissions.md</w:t>
      </w:r>
    </w:p>
    <w:p>
      <w:pPr>
        <w:shd w:fill="F2F2F2" w:color="auto" w:val="clear"/>
        <w:spacing w:after="0"/>
        <w:ind w:left="200"/>
      </w:pPr>
      <w:r>
        <w:rPr>
          <w:rFonts w:ascii="Consolas" w:cs="Consolas" w:eastAsia="Consolas" w:hAnsi="Consolas"/>
          <w:sz w:val="18"/>
          <w:szCs w:val="18"/>
        </w:rPr>
        <w:t xml:space="preserve"> </w:t>
      </w:r>
    </w:p>
    <w:p>
      <w:pPr>
        <w:shd w:fill="F2F2F2" w:color="auto" w:val="clear"/>
        <w:spacing w:after="0"/>
        <w:ind w:left="200"/>
      </w:pPr>
      <w:r>
        <w:rPr>
          <w:rFonts w:ascii="Consolas" w:cs="Consolas" w:eastAsia="Consolas" w:hAnsi="Consolas"/>
          <w:sz w:val="18"/>
          <w:szCs w:val="18"/>
        </w:rPr>
        <w:t xml:space="preserve">## Stack</w:t>
      </w:r>
    </w:p>
    <w:p>
      <w:pPr>
        <w:shd w:fill="F2F2F2" w:color="auto" w:val="clear"/>
        <w:spacing w:after="0"/>
        <w:ind w:left="200"/>
      </w:pPr>
      <w:r>
        <w:rPr>
          <w:rFonts w:ascii="Consolas" w:cs="Consolas" w:eastAsia="Consolas" w:hAnsi="Consolas"/>
          <w:sz w:val="18"/>
          <w:szCs w:val="18"/>
        </w:rPr>
        <w:t xml:space="preserve">Next.js (App Router), TypeScript, Tailwind CSS, shadcn/ui, Supabase</w:t>
      </w:r>
    </w:p>
    <w:p>
      <w:pPr>
        <w:shd w:fill="F2F2F2" w:color="auto" w:val="clear"/>
        <w:spacing w:after="0"/>
        <w:ind w:left="200"/>
      </w:pPr>
      <w:r>
        <w:rPr>
          <w:rFonts w:ascii="Consolas" w:cs="Consolas" w:eastAsia="Consolas" w:hAnsi="Consolas"/>
          <w:sz w:val="18"/>
          <w:szCs w:val="18"/>
        </w:rPr>
        <w:t xml:space="preserve">(PostgreSQL, Auth, Storage), React Hook Form, Zod, Netlify, GitHub.</w:t>
      </w:r>
    </w:p>
    <w:p>
      <w:pPr>
        <w:shd w:fill="F2F2F2" w:color="auto" w:val="clear"/>
        <w:spacing w:after="0"/>
        <w:ind w:left="200"/>
      </w:pPr>
      <w:r>
        <w:rPr>
          <w:rFonts w:ascii="Consolas" w:cs="Consolas" w:eastAsia="Consolas" w:hAnsi="Consolas"/>
          <w:sz w:val="18"/>
          <w:szCs w:val="18"/>
        </w:rPr>
        <w:t xml:space="preserve"> </w:t>
      </w:r>
    </w:p>
    <w:p>
      <w:pPr>
        <w:shd w:fill="F2F2F2" w:color="auto" w:val="clear"/>
        <w:spacing w:after="0"/>
        <w:ind w:left="200"/>
      </w:pPr>
      <w:r>
        <w:rPr>
          <w:rFonts w:ascii="Consolas" w:cs="Consolas" w:eastAsia="Consolas" w:hAnsi="Consolas"/>
          <w:sz w:val="18"/>
          <w:szCs w:val="18"/>
        </w:rPr>
        <w:t xml:space="preserve">## Sécurité</w:t>
      </w:r>
    </w:p>
    <w:p>
      <w:pPr>
        <w:shd w:fill="F2F2F2" w:color="auto" w:val="clear"/>
        <w:spacing w:after="0"/>
        <w:ind w:left="200"/>
      </w:pPr>
      <w:r>
        <w:rPr>
          <w:rFonts w:ascii="Consolas" w:cs="Consolas" w:eastAsia="Consolas" w:hAnsi="Consolas"/>
          <w:sz w:val="18"/>
          <w:szCs w:val="18"/>
        </w:rPr>
        <w:t xml:space="preserve">- Ne jamais exposer une clé secrète ni la clé service_role côté navigateur.</w:t>
      </w:r>
    </w:p>
    <w:p>
      <w:pPr>
        <w:shd w:fill="F2F2F2" w:color="auto" w:val="clear"/>
        <w:spacing w:after="0"/>
        <w:ind w:left="200"/>
      </w:pPr>
      <w:r>
        <w:rPr>
          <w:rFonts w:ascii="Consolas" w:cs="Consolas" w:eastAsia="Consolas" w:hAnsi="Consolas"/>
          <w:sz w:val="18"/>
          <w:szCs w:val="18"/>
        </w:rPr>
        <w:t xml:space="preserve">- Aucun secret dans le dépôt : .env.local ignoré, .env.example sans valeurs.</w:t>
      </w:r>
    </w:p>
    <w:p>
      <w:pPr>
        <w:shd w:fill="F2F2F2" w:color="auto" w:val="clear"/>
        <w:spacing w:after="0"/>
        <w:ind w:left="200"/>
      </w:pPr>
      <w:r>
        <w:rPr>
          <w:rFonts w:ascii="Consolas" w:cs="Consolas" w:eastAsia="Consolas" w:hAnsi="Consolas"/>
          <w:sz w:val="18"/>
          <w:szCs w:val="18"/>
        </w:rPr>
        <w:t xml:space="preserve">- Toute table du schéma public a RLS activé et ses politiques, dans la</w:t>
      </w:r>
    </w:p>
    <w:p>
      <w:pPr>
        <w:shd w:fill="F2F2F2" w:color="auto" w:val="clear"/>
        <w:spacing w:after="0"/>
        <w:ind w:left="200"/>
      </w:pPr>
      <w:r>
        <w:rPr>
          <w:rFonts w:ascii="Consolas" w:cs="Consolas" w:eastAsia="Consolas" w:hAnsi="Consolas"/>
          <w:sz w:val="18"/>
          <w:szCs w:val="18"/>
        </w:rPr>
        <w:t xml:space="preserve">  même migration. Ne jamais contourner RLS.</w:t>
      </w:r>
    </w:p>
    <w:p>
      <w:pPr>
        <w:shd w:fill="F2F2F2" w:color="auto" w:val="clear"/>
        <w:spacing w:after="0"/>
        <w:ind w:left="200"/>
      </w:pPr>
      <w:r>
        <w:rPr>
          <w:rFonts w:ascii="Consolas" w:cs="Consolas" w:eastAsia="Consolas" w:hAnsi="Consolas"/>
          <w:sz w:val="18"/>
          <w:szCs w:val="18"/>
        </w:rPr>
        <w:t xml:space="preserve">- Le rôle se lit dans profiles, jamais dans user_metadata.</w:t>
      </w:r>
    </w:p>
    <w:p>
      <w:pPr>
        <w:shd w:fill="F2F2F2" w:color="auto" w:val="clear"/>
        <w:spacing w:after="0"/>
        <w:ind w:left="200"/>
      </w:pPr>
      <w:r>
        <w:rPr>
          <w:rFonts w:ascii="Consolas" w:cs="Consolas" w:eastAsia="Consolas" w:hAnsi="Consolas"/>
          <w:sz w:val="18"/>
          <w:szCs w:val="18"/>
        </w:rPr>
        <w:t xml:space="preserve">- Montants, totaux et références : calculés côté base ou serveur,</w:t>
      </w:r>
    </w:p>
    <w:p>
      <w:pPr>
        <w:shd w:fill="F2F2F2" w:color="auto" w:val="clear"/>
        <w:spacing w:after="0"/>
        <w:ind w:left="200"/>
      </w:pPr>
      <w:r>
        <w:rPr>
          <w:rFonts w:ascii="Consolas" w:cs="Consolas" w:eastAsia="Consolas" w:hAnsi="Consolas"/>
          <w:sz w:val="18"/>
          <w:szCs w:val="18"/>
        </w:rPr>
        <w:t xml:space="preserve">  jamais acceptés tels quels depuis le navigateur.</w:t>
      </w:r>
    </w:p>
    <w:p>
      <w:pPr>
        <w:shd w:fill="F2F2F2" w:color="auto" w:val="clear"/>
        <w:spacing w:after="0"/>
        <w:ind w:left="200"/>
      </w:pPr>
      <w:r>
        <w:rPr>
          <w:rFonts w:ascii="Consolas" w:cs="Consolas" w:eastAsia="Consolas" w:hAnsi="Consolas"/>
          <w:sz w:val="18"/>
          <w:szCs w:val="18"/>
        </w:rPr>
        <w:t xml:space="preserve">- Valider chaque entrée avec Zod côté serveur ; contrôler type et taille</w:t>
      </w:r>
    </w:p>
    <w:p>
      <w:pPr>
        <w:shd w:fill="F2F2F2" w:color="auto" w:val="clear"/>
        <w:spacing w:after="0"/>
        <w:ind w:left="200"/>
      </w:pPr>
      <w:r>
        <w:rPr>
          <w:rFonts w:ascii="Consolas" w:cs="Consolas" w:eastAsia="Consolas" w:hAnsi="Consolas"/>
          <w:sz w:val="18"/>
          <w:szCs w:val="18"/>
        </w:rPr>
        <w:t xml:space="preserve">  des fichiers.</w:t>
      </w:r>
    </w:p>
    <w:p>
      <w:pPr>
        <w:shd w:fill="F2F2F2" w:color="auto" w:val="clear"/>
        <w:spacing w:after="0"/>
        <w:ind w:left="200"/>
      </w:pPr>
      <w:r>
        <w:rPr>
          <w:rFonts w:ascii="Consolas" w:cs="Consolas" w:eastAsia="Consolas" w:hAnsi="Consolas"/>
          <w:sz w:val="18"/>
          <w:szCs w:val="18"/>
        </w:rPr>
        <w:t xml:space="preserve">- Aucune donnée personnelle ou financière dans les logs.</w:t>
      </w:r>
    </w:p>
    <w:p>
      <w:pPr>
        <w:shd w:fill="F2F2F2" w:color="auto" w:val="clear"/>
        <w:spacing w:after="0"/>
        <w:ind w:left="200"/>
      </w:pPr>
      <w:r>
        <w:rPr>
          <w:rFonts w:ascii="Consolas" w:cs="Consolas" w:eastAsia="Consolas" w:hAnsi="Consolas"/>
          <w:sz w:val="18"/>
          <w:szCs w:val="18"/>
        </w:rPr>
        <w:t xml:space="preserve"> </w:t>
      </w:r>
    </w:p>
    <w:p>
      <w:pPr>
        <w:shd w:fill="F2F2F2" w:color="auto" w:val="clear"/>
        <w:spacing w:after="0"/>
        <w:ind w:left="200"/>
      </w:pPr>
      <w:r>
        <w:rPr>
          <w:rFonts w:ascii="Consolas" w:cs="Consolas" w:eastAsia="Consolas" w:hAnsi="Consolas"/>
          <w:sz w:val="18"/>
          <w:szCs w:val="18"/>
        </w:rPr>
        <w:t xml:space="preserve">## Règles métier</w:t>
      </w:r>
    </w:p>
    <w:p>
      <w:pPr>
        <w:shd w:fill="F2F2F2" w:color="auto" w:val="clear"/>
        <w:spacing w:after="0"/>
        <w:ind w:left="200"/>
      </w:pPr>
      <w:r>
        <w:rPr>
          <w:rFonts w:ascii="Consolas" w:cs="Consolas" w:eastAsia="Consolas" w:hAnsi="Consolas"/>
          <w:sz w:val="18"/>
          <w:szCs w:val="18"/>
        </w:rPr>
        <w:t xml:space="preserve">- Aucun tarif public ; aucun prix en dur dans le code.</w:t>
      </w:r>
    </w:p>
    <w:p>
      <w:pPr>
        <w:shd w:fill="F2F2F2" w:color="auto" w:val="clear"/>
        <w:spacing w:after="0"/>
        <w:ind w:left="200"/>
      </w:pPr>
      <w:r>
        <w:rPr>
          <w:rFonts w:ascii="Consolas" w:cs="Consolas" w:eastAsia="Consolas" w:hAnsi="Consolas"/>
          <w:sz w:val="18"/>
          <w:szCs w:val="18"/>
        </w:rPr>
        <w:t xml:space="preserve">- Services et contenus viennent de Supabase.</w:t>
      </w:r>
    </w:p>
    <w:p>
      <w:pPr>
        <w:shd w:fill="F2F2F2" w:color="auto" w:val="clear"/>
        <w:spacing w:after="0"/>
        <w:ind w:left="200"/>
      </w:pPr>
      <w:r>
        <w:rPr>
          <w:rFonts w:ascii="Consolas" w:cs="Consolas" w:eastAsia="Consolas" w:hAnsi="Consolas"/>
          <w:sz w:val="18"/>
          <w:szCs w:val="18"/>
        </w:rPr>
        <w:t xml:space="preserve">- Les devis sont créés par l'administration. Un service à la demande</w:t>
      </w:r>
    </w:p>
    <w:p>
      <w:pPr>
        <w:shd w:fill="F2F2F2" w:color="auto" w:val="clear"/>
        <w:spacing w:after="0"/>
        <w:ind w:left="200"/>
      </w:pPr>
      <w:r>
        <w:rPr>
          <w:rFonts w:ascii="Consolas" w:cs="Consolas" w:eastAsia="Consolas" w:hAnsi="Consolas"/>
          <w:sz w:val="18"/>
          <w:szCs w:val="18"/>
        </w:rPr>
        <w:t xml:space="preserve">  passe par un devis simplifié.</w:t>
      </w:r>
    </w:p>
    <w:p>
      <w:pPr>
        <w:shd w:fill="F2F2F2" w:color="auto" w:val="clear"/>
        <w:spacing w:after="0"/>
        <w:ind w:left="200"/>
      </w:pPr>
      <w:r>
        <w:rPr>
          <w:rFonts w:ascii="Consolas" w:cs="Consolas" w:eastAsia="Consolas" w:hAnsi="Consolas"/>
          <w:sz w:val="18"/>
          <w:szCs w:val="18"/>
        </w:rPr>
        <w:t xml:space="preserve">- Distinguer revenu de l'agence et sommes de passage.</w:t>
      </w:r>
    </w:p>
    <w:p>
      <w:pPr>
        <w:shd w:fill="F2F2F2" w:color="auto" w:val="clear"/>
        <w:spacing w:after="0"/>
        <w:ind w:left="200"/>
      </w:pPr>
      <w:r>
        <w:rPr>
          <w:rFonts w:ascii="Consolas" w:cs="Consolas" w:eastAsia="Consolas" w:hAnsi="Consolas"/>
          <w:sz w:val="18"/>
          <w:szCs w:val="18"/>
        </w:rPr>
        <w:t xml:space="preserve">- Une commande peut viser un proche : bénéficiaire distinct du demandeur.</w:t>
      </w:r>
    </w:p>
    <w:p>
      <w:pPr>
        <w:shd w:fill="F2F2F2" w:color="auto" w:val="clear"/>
        <w:spacing w:after="0"/>
        <w:ind w:left="200"/>
      </w:pPr>
      <w:r>
        <w:rPr>
          <w:rFonts w:ascii="Consolas" w:cs="Consolas" w:eastAsia="Consolas" w:hAnsi="Consolas"/>
          <w:sz w:val="18"/>
          <w:szCs w:val="18"/>
        </w:rPr>
        <w:t xml:space="preserve">- Paiements et devis envoyés ne se suppriment pas : on annule.</w:t>
      </w:r>
    </w:p>
    <w:p>
      <w:pPr>
        <w:shd w:fill="F2F2F2" w:color="auto" w:val="clear"/>
        <w:spacing w:after="0"/>
        <w:ind w:left="200"/>
      </w:pPr>
      <w:r>
        <w:rPr>
          <w:rFonts w:ascii="Consolas" w:cs="Consolas" w:eastAsia="Consolas" w:hAnsi="Consolas"/>
          <w:sz w:val="18"/>
          <w:szCs w:val="18"/>
        </w:rPr>
        <w:t xml:space="preserve"> </w:t>
      </w:r>
    </w:p>
    <w:p>
      <w:pPr>
        <w:shd w:fill="F2F2F2" w:color="auto" w:val="clear"/>
        <w:spacing w:after="0"/>
        <w:ind w:left="200"/>
      </w:pPr>
      <w:r>
        <w:rPr>
          <w:rFonts w:ascii="Consolas" w:cs="Consolas" w:eastAsia="Consolas" w:hAnsi="Consolas"/>
          <w:sz w:val="18"/>
          <w:szCs w:val="18"/>
        </w:rPr>
        <w:t xml:space="preserve">## Design</w:t>
      </w:r>
    </w:p>
    <w:p>
      <w:pPr>
        <w:shd w:fill="F2F2F2" w:color="auto" w:val="clear"/>
        <w:spacing w:after="0"/>
        <w:ind w:left="200"/>
      </w:pPr>
      <w:r>
        <w:rPr>
          <w:rFonts w:ascii="Consolas" w:cs="Consolas" w:eastAsia="Consolas" w:hAnsi="Consolas"/>
          <w:sz w:val="18"/>
          <w:szCs w:val="18"/>
        </w:rPr>
        <w:t xml:space="preserve">- Respecter docs/charte-graphique.md : palette, polices, logo.</w:t>
      </w:r>
    </w:p>
    <w:p>
      <w:pPr>
        <w:shd w:fill="F2F2F2" w:color="auto" w:val="clear"/>
        <w:spacing w:after="0"/>
        <w:ind w:left="200"/>
      </w:pPr>
      <w:r>
        <w:rPr>
          <w:rFonts w:ascii="Consolas" w:cs="Consolas" w:eastAsia="Consolas" w:hAnsi="Consolas"/>
          <w:sz w:val="18"/>
          <w:szCs w:val="18"/>
        </w:rPr>
        <w:t xml:space="preserve">- Utiliser les jetons du thème ; aucune couleur ni police en dur.</w:t>
      </w:r>
    </w:p>
    <w:p>
      <w:pPr>
        <w:shd w:fill="F2F2F2" w:color="auto" w:val="clear"/>
        <w:spacing w:after="0"/>
        <w:ind w:left="200"/>
      </w:pPr>
      <w:r>
        <w:rPr>
          <w:rFonts w:ascii="Consolas" w:cs="Consolas" w:eastAsia="Consolas" w:hAnsi="Consolas"/>
          <w:sz w:val="18"/>
          <w:szCs w:val="18"/>
        </w:rPr>
        <w:t xml:space="preserve">- Logo uniquement depuis les fichiers officiels ; ne jamais le déformer,</w:t>
      </w:r>
    </w:p>
    <w:p>
      <w:pPr>
        <w:shd w:fill="F2F2F2" w:color="auto" w:val="clear"/>
        <w:spacing w:after="0"/>
        <w:ind w:left="200"/>
      </w:pPr>
      <w:r>
        <w:rPr>
          <w:rFonts w:ascii="Consolas" w:cs="Consolas" w:eastAsia="Consolas" w:hAnsi="Consolas"/>
          <w:sz w:val="18"/>
          <w:szCs w:val="18"/>
        </w:rPr>
        <w:t xml:space="preserve">  le recolorer ni le retaper en texte.</w:t>
      </w:r>
    </w:p>
    <w:p>
      <w:pPr>
        <w:shd w:fill="F2F2F2" w:color="auto" w:val="clear"/>
        <w:spacing w:after="0"/>
        <w:ind w:left="200"/>
      </w:pPr>
      <w:r>
        <w:rPr>
          <w:rFonts w:ascii="Consolas" w:cs="Consolas" w:eastAsia="Consolas" w:hAnsi="Consolas"/>
          <w:sz w:val="18"/>
          <w:szCs w:val="18"/>
        </w:rPr>
        <w:t xml:space="preserve">- Texte bordeaux interdit sur fond noir (contraste insuffisant).</w:t>
      </w:r>
    </w:p>
    <w:p>
      <w:pPr>
        <w:shd w:fill="F2F2F2" w:color="auto" w:val="clear"/>
        <w:spacing w:after="0"/>
        <w:ind w:left="200"/>
      </w:pPr>
      <w:r>
        <w:rPr>
          <w:rFonts w:ascii="Consolas" w:cs="Consolas" w:eastAsia="Consolas" w:hAnsi="Consolas"/>
          <w:sz w:val="18"/>
          <w:szCs w:val="18"/>
        </w:rPr>
        <w:t xml:space="preserve">- Un statut n'est jamais signalé par la seule couleur.</w:t>
      </w:r>
    </w:p>
    <w:p>
      <w:pPr>
        <w:shd w:fill="F2F2F2" w:color="auto" w:val="clear"/>
        <w:spacing w:after="0"/>
        <w:ind w:left="200"/>
      </w:pPr>
      <w:r>
        <w:rPr>
          <w:rFonts w:ascii="Consolas" w:cs="Consolas" w:eastAsia="Consolas" w:hAnsi="Consolas"/>
          <w:sz w:val="18"/>
          <w:szCs w:val="18"/>
        </w:rPr>
        <w:t xml:space="preserve"> </w:t>
      </w:r>
    </w:p>
    <w:p>
      <w:pPr>
        <w:shd w:fill="F2F2F2" w:color="auto" w:val="clear"/>
        <w:spacing w:after="0"/>
        <w:ind w:left="200"/>
      </w:pPr>
      <w:r>
        <w:rPr>
          <w:rFonts w:ascii="Consolas" w:cs="Consolas" w:eastAsia="Consolas" w:hAnsi="Consolas"/>
          <w:sz w:val="18"/>
          <w:szCs w:val="18"/>
        </w:rPr>
        <w:t xml:space="preserve">## Méthode</w:t>
      </w:r>
    </w:p>
    <w:p>
      <w:pPr>
        <w:shd w:fill="F2F2F2" w:color="auto" w:val="clear"/>
        <w:spacing w:after="0"/>
        <w:ind w:left="200"/>
      </w:pPr>
      <w:r>
        <w:rPr>
          <w:rFonts w:ascii="Consolas" w:cs="Consolas" w:eastAsia="Consolas" w:hAnsi="Consolas"/>
          <w:sz w:val="18"/>
          <w:szCs w:val="18"/>
        </w:rPr>
        <w:t xml:space="preserve">- Un lot à la fois, une branche feature/* par lot.</w:t>
      </w:r>
    </w:p>
    <w:p>
      <w:pPr>
        <w:shd w:fill="F2F2F2" w:color="auto" w:val="clear"/>
        <w:spacing w:after="0"/>
        <w:ind w:left="200"/>
      </w:pPr>
      <w:r>
        <w:rPr>
          <w:rFonts w:ascii="Consolas" w:cs="Consolas" w:eastAsia="Consolas" w:hAnsi="Consolas"/>
          <w:sz w:val="18"/>
          <w:szCs w:val="18"/>
        </w:rPr>
        <w:t xml:space="preserve">- Toute modification de la base passe par une migration versionnée</w:t>
      </w:r>
    </w:p>
    <w:p>
      <w:pPr>
        <w:shd w:fill="F2F2F2" w:color="auto" w:val="clear"/>
        <w:spacing w:after="0"/>
        <w:ind w:left="200"/>
      </w:pPr>
      <w:r>
        <w:rPr>
          <w:rFonts w:ascii="Consolas" w:cs="Consolas" w:eastAsia="Consolas" w:hAnsi="Consolas"/>
          <w:sz w:val="18"/>
          <w:szCs w:val="18"/>
        </w:rPr>
        <w:t xml:space="preserve">  dans supabase/migrations.</w:t>
      </w:r>
    </w:p>
    <w:p>
      <w:pPr>
        <w:shd w:fill="F2F2F2" w:color="auto" w:val="clear"/>
        <w:spacing w:after="0"/>
        <w:ind w:left="200"/>
      </w:pPr>
      <w:r>
        <w:rPr>
          <w:rFonts w:ascii="Consolas" w:cs="Consolas" w:eastAsia="Consolas" w:hAnsi="Consolas"/>
          <w:sz w:val="18"/>
          <w:szCs w:val="18"/>
        </w:rPr>
        <w:t xml:space="preserve">- Analyser le code existant avant de modifier. Ne pas casser l'existant.</w:t>
      </w:r>
    </w:p>
    <w:p>
      <w:pPr>
        <w:shd w:fill="F2F2F2" w:color="auto" w:val="clear"/>
        <w:spacing w:after="0"/>
        <w:ind w:left="200"/>
      </w:pPr>
      <w:r>
        <w:rPr>
          <w:rFonts w:ascii="Consolas" w:cs="Consolas" w:eastAsia="Consolas" w:hAnsi="Consolas"/>
          <w:sz w:val="18"/>
          <w:szCs w:val="18"/>
        </w:rPr>
        <w:t xml:space="preserve">- Mobile d'abord. Interface en français.</w:t>
      </w:r>
    </w:p>
    <w:p>
      <w:pPr>
        <w:shd w:fill="F2F2F2" w:color="auto" w:val="clear"/>
        <w:spacing w:after="0"/>
        <w:ind w:left="200"/>
      </w:pPr>
      <w:r>
        <w:rPr>
          <w:rFonts w:ascii="Consolas" w:cs="Consolas" w:eastAsia="Consolas" w:hAnsi="Consolas"/>
          <w:sz w:val="18"/>
          <w:szCs w:val="18"/>
        </w:rPr>
        <w:t xml:space="preserve">- Documenter chaque fonctionnalité dans docs/ et ajouter les tests,</w:t>
      </w:r>
    </w:p>
    <w:p>
      <w:pPr>
        <w:shd w:fill="F2F2F2" w:color="auto" w:val="clear"/>
        <w:spacing w:after="0"/>
        <w:ind w:left="200"/>
      </w:pPr>
      <w:r>
        <w:rPr>
          <w:rFonts w:ascii="Consolas" w:cs="Consolas" w:eastAsia="Consolas" w:hAnsi="Consolas"/>
          <w:sz w:val="18"/>
          <w:szCs w:val="18"/>
        </w:rPr>
        <w:t xml:space="preserve">  dont les tests RLS.</w:t>
      </w:r>
    </w:p>
    <w:p>
      <w:pPr>
        <w:spacing w:after="100"/>
      </w:pPr>
    </w:p>
    <w:p>
      <w:pPr>
        <w:pStyle w:val="Heading1"/>
      </w:pPr>
      <w:r>
        <w:t xml:space="preserve">Annexe B. Modèle de consigne pour un lot</w:t>
      </w:r>
    </w:p>
    <w:p>
      <w:pPr>
        <w:shd w:fill="F2F2F2" w:color="auto" w:val="clear"/>
        <w:spacing w:after="0"/>
        <w:ind w:left="200"/>
      </w:pPr>
      <w:r>
        <w:rPr>
          <w:rFonts w:ascii="Consolas" w:cs="Consolas" w:eastAsia="Consolas" w:hAnsi="Consolas"/>
          <w:sz w:val="18"/>
          <w:szCs w:val="18"/>
        </w:rPr>
        <w:t xml:space="preserve">Contexte : lis AGENTS.md et docs/cahier-des-charges.md (section X).</w:t>
      </w:r>
    </w:p>
    <w:p>
      <w:pPr>
        <w:shd w:fill="F2F2F2" w:color="auto" w:val="clear"/>
        <w:spacing w:after="0"/>
        <w:ind w:left="200"/>
      </w:pPr>
      <w:r>
        <w:rPr>
          <w:rFonts w:ascii="Consolas" w:cs="Consolas" w:eastAsia="Consolas" w:hAnsi="Consolas"/>
          <w:sz w:val="18"/>
          <w:szCs w:val="18"/>
        </w:rPr>
        <w:t xml:space="preserve">Tâche : réaliser le lot N, [intitulé], et rien d'autre.</w:t>
      </w:r>
    </w:p>
    <w:p>
      <w:pPr>
        <w:shd w:fill="F2F2F2" w:color="auto" w:val="clear"/>
        <w:spacing w:after="0"/>
        <w:ind w:left="200"/>
      </w:pPr>
      <w:r>
        <w:rPr>
          <w:rFonts w:ascii="Consolas" w:cs="Consolas" w:eastAsia="Consolas" w:hAnsi="Consolas"/>
          <w:sz w:val="18"/>
          <w:szCs w:val="18"/>
        </w:rPr>
        <w:t xml:space="preserve">Contraintes : respecter les règles de sécurité d'AGENTS.md ; toute</w:t>
      </w:r>
    </w:p>
    <w:p>
      <w:pPr>
        <w:shd w:fill="F2F2F2" w:color="auto" w:val="clear"/>
        <w:spacing w:after="0"/>
        <w:ind w:left="200"/>
      </w:pPr>
      <w:r>
        <w:rPr>
          <w:rFonts w:ascii="Consolas" w:cs="Consolas" w:eastAsia="Consolas" w:hAnsi="Consolas"/>
          <w:sz w:val="18"/>
          <w:szCs w:val="18"/>
        </w:rPr>
        <w:t xml:space="preserve">modification de la base par migration ; ne pas modifier les lots déjà validés.</w:t>
      </w:r>
    </w:p>
    <w:p>
      <w:pPr>
        <w:shd w:fill="F2F2F2" w:color="auto" w:val="clear"/>
        <w:spacing w:after="0"/>
        <w:ind w:left="200"/>
      </w:pPr>
      <w:r>
        <w:rPr>
          <w:rFonts w:ascii="Consolas" w:cs="Consolas" w:eastAsia="Consolas" w:hAnsi="Consolas"/>
          <w:sz w:val="18"/>
          <w:szCs w:val="18"/>
        </w:rPr>
        <w:t xml:space="preserve">Livrable : code, migrations, tests, mise à jour de docs/.</w:t>
      </w:r>
    </w:p>
    <w:p>
      <w:pPr>
        <w:shd w:fill="F2F2F2" w:color="auto" w:val="clear"/>
        <w:spacing w:after="0"/>
        <w:ind w:left="200"/>
      </w:pPr>
      <w:r>
        <w:rPr>
          <w:rFonts w:ascii="Consolas" w:cs="Consolas" w:eastAsia="Consolas" w:hAnsi="Consolas"/>
          <w:sz w:val="18"/>
          <w:szCs w:val="18"/>
        </w:rPr>
        <w:t xml:space="preserve">Vérifications : lancer les tests et le build, lister les fichiers modifiés,</w:t>
      </w:r>
    </w:p>
    <w:p>
      <w:pPr>
        <w:shd w:fill="F2F2F2" w:color="auto" w:val="clear"/>
        <w:spacing w:after="0"/>
        <w:ind w:left="200"/>
      </w:pPr>
      <w:r>
        <w:rPr>
          <w:rFonts w:ascii="Consolas" w:cs="Consolas" w:eastAsia="Consolas" w:hAnsi="Consolas"/>
          <w:sz w:val="18"/>
          <w:szCs w:val="18"/>
        </w:rPr>
        <w:t xml:space="preserve">signaler toute décision qui s'écarte du cahier des charges.</w:t>
      </w:r>
    </w:p>
    <w:p>
      <w:pPr>
        <w:spacing w:after="100"/>
      </w:pPr>
    </w:p>
    <w:p>
      <w:pPr>
        <w:pStyle w:val="Heading1"/>
      </w:pPr>
      <w:r>
        <w:t xml:space="preserve">Annexe C. Jetons de design (extrait)</w:t>
      </w:r>
    </w:p>
    <w:p>
      <w:pPr>
        <w:spacing w:after="80" w:before="0"/>
      </w:pPr>
      <w:r>
        <w:t xml:space="preserve">Valeurs de la charte à reprendre dans le thème Tailwind et shadcn/ui, à convertir dans le format attendu par la version utilisée.</w:t>
      </w:r>
    </w:p>
    <w:p>
      <w:pPr>
        <w:shd w:fill="F2F2F2" w:color="auto" w:val="clear"/>
        <w:spacing w:after="0"/>
        <w:ind w:left="200"/>
      </w:pPr>
      <w:r>
        <w:rPr>
          <w:rFonts w:ascii="Consolas" w:cs="Consolas" w:eastAsia="Consolas" w:hAnsi="Consolas"/>
          <w:sz w:val="18"/>
          <w:szCs w:val="18"/>
        </w:rPr>
        <w:t xml:space="preserve">:root {</w:t>
      </w:r>
    </w:p>
    <w:p>
      <w:pPr>
        <w:shd w:fill="F2F2F2" w:color="auto" w:val="clear"/>
        <w:spacing w:after="0"/>
        <w:ind w:left="200"/>
      </w:pPr>
      <w:r>
        <w:rPr>
          <w:rFonts w:ascii="Consolas" w:cs="Consolas" w:eastAsia="Consolas" w:hAnsi="Consolas"/>
          <w:sz w:val="18"/>
          <w:szCs w:val="18"/>
        </w:rPr>
        <w:t xml:space="preserve">  --bordeaux: #8C0028;</w:t>
      </w:r>
    </w:p>
    <w:p>
      <w:pPr>
        <w:shd w:fill="F2F2F2" w:color="auto" w:val="clear"/>
        <w:spacing w:after="0"/>
        <w:ind w:left="200"/>
      </w:pPr>
      <w:r>
        <w:rPr>
          <w:rFonts w:ascii="Consolas" w:cs="Consolas" w:eastAsia="Consolas" w:hAnsi="Consolas"/>
          <w:sz w:val="18"/>
          <w:szCs w:val="18"/>
        </w:rPr>
        <w:t xml:space="preserve">  --noir:     #101010;</w:t>
      </w:r>
    </w:p>
    <w:p>
      <w:pPr>
        <w:shd w:fill="F2F2F2" w:color="auto" w:val="clear"/>
        <w:spacing w:after="0"/>
        <w:ind w:left="200"/>
      </w:pPr>
      <w:r>
        <w:rPr>
          <w:rFonts w:ascii="Consolas" w:cs="Consolas" w:eastAsia="Consolas" w:hAnsi="Consolas"/>
          <w:sz w:val="18"/>
          <w:szCs w:val="18"/>
        </w:rPr>
        <w:t xml:space="preserve">  --creme:    #F5F3EC;</w:t>
      </w:r>
    </w:p>
    <w:p>
      <w:pPr>
        <w:shd w:fill="F2F2F2" w:color="auto" w:val="clear"/>
        <w:spacing w:after="0"/>
        <w:ind w:left="200"/>
      </w:pPr>
      <w:r>
        <w:rPr>
          <w:rFonts w:ascii="Consolas" w:cs="Consolas" w:eastAsia="Consolas" w:hAnsi="Consolas"/>
          <w:sz w:val="18"/>
          <w:szCs w:val="18"/>
        </w:rPr>
        <w:t xml:space="preserve">  --gris:     #2B2B2B;</w:t>
      </w:r>
    </w:p>
    <w:p>
      <w:pPr>
        <w:shd w:fill="F2F2F2" w:color="auto" w:val="clear"/>
        <w:spacing w:after="0"/>
        <w:ind w:left="200"/>
      </w:pPr>
      <w:r>
        <w:rPr>
          <w:rFonts w:ascii="Consolas" w:cs="Consolas" w:eastAsia="Consolas" w:hAnsi="Consolas"/>
          <w:sz w:val="18"/>
          <w:szCs w:val="18"/>
        </w:rPr>
        <w:t xml:space="preserve">  --blanc:    #FFFFFF;   /* ajout */</w:t>
      </w:r>
    </w:p>
    <w:p>
      <w:pPr>
        <w:shd w:fill="F2F2F2" w:color="auto" w:val="clear"/>
        <w:spacing w:after="0"/>
        <w:ind w:left="200"/>
      </w:pPr>
      <w:r>
        <w:rPr>
          <w:rFonts w:ascii="Consolas" w:cs="Consolas" w:eastAsia="Consolas" w:hAnsi="Consolas"/>
          <w:sz w:val="18"/>
          <w:szCs w:val="18"/>
        </w:rPr>
        <w:t xml:space="preserve">  --succes:   #2F6B3F;   /* ajout */</w:t>
      </w:r>
    </w:p>
    <w:p>
      <w:pPr>
        <w:shd w:fill="F2F2F2" w:color="auto" w:val="clear"/>
        <w:spacing w:after="0"/>
        <w:ind w:left="200"/>
      </w:pPr>
      <w:r>
        <w:rPr>
          <w:rFonts w:ascii="Consolas" w:cs="Consolas" w:eastAsia="Consolas" w:hAnsi="Consolas"/>
          <w:sz w:val="18"/>
          <w:szCs w:val="18"/>
        </w:rPr>
        <w:t xml:space="preserve">  --alerte:   #8A5200;   /* ajout */</w:t>
      </w:r>
    </w:p>
    <w:p>
      <w:pPr>
        <w:shd w:fill="F2F2F2" w:color="auto" w:val="clear"/>
        <w:spacing w:after="0"/>
        <w:ind w:left="200"/>
      </w:pPr>
      <w:r>
        <w:rPr>
          <w:rFonts w:ascii="Consolas" w:cs="Consolas" w:eastAsia="Consolas" w:hAnsi="Consolas"/>
          <w:sz w:val="18"/>
          <w:szCs w:val="18"/>
        </w:rPr>
        <w:t xml:space="preserve"> </w:t>
      </w:r>
    </w:p>
    <w:p>
      <w:pPr>
        <w:shd w:fill="F2F2F2" w:color="auto" w:val="clear"/>
        <w:spacing w:after="0"/>
        <w:ind w:left="200"/>
      </w:pPr>
      <w:r>
        <w:rPr>
          <w:rFonts w:ascii="Consolas" w:cs="Consolas" w:eastAsia="Consolas" w:hAnsi="Consolas"/>
          <w:sz w:val="18"/>
          <w:szCs w:val="18"/>
        </w:rPr>
        <w:t xml:space="preserve">  --background: var(--creme);</w:t>
      </w:r>
    </w:p>
    <w:p>
      <w:pPr>
        <w:shd w:fill="F2F2F2" w:color="auto" w:val="clear"/>
        <w:spacing w:after="0"/>
        <w:ind w:left="200"/>
      </w:pPr>
      <w:r>
        <w:rPr>
          <w:rFonts w:ascii="Consolas" w:cs="Consolas" w:eastAsia="Consolas" w:hAnsi="Consolas"/>
          <w:sz w:val="18"/>
          <w:szCs w:val="18"/>
        </w:rPr>
        <w:t xml:space="preserve">  --foreground: var(--noir);</w:t>
      </w:r>
    </w:p>
    <w:p>
      <w:pPr>
        <w:shd w:fill="F2F2F2" w:color="auto" w:val="clear"/>
        <w:spacing w:after="0"/>
        <w:ind w:left="200"/>
      </w:pPr>
      <w:r>
        <w:rPr>
          <w:rFonts w:ascii="Consolas" w:cs="Consolas" w:eastAsia="Consolas" w:hAnsi="Consolas"/>
          <w:sz w:val="18"/>
          <w:szCs w:val="18"/>
        </w:rPr>
        <w:t xml:space="preserve">  --primary: var(--bordeaux);</w:t>
      </w:r>
    </w:p>
    <w:p>
      <w:pPr>
        <w:shd w:fill="F2F2F2" w:color="auto" w:val="clear"/>
        <w:spacing w:after="0"/>
        <w:ind w:left="200"/>
      </w:pPr>
      <w:r>
        <w:rPr>
          <w:rFonts w:ascii="Consolas" w:cs="Consolas" w:eastAsia="Consolas" w:hAnsi="Consolas"/>
          <w:sz w:val="18"/>
          <w:szCs w:val="18"/>
        </w:rPr>
        <w:t xml:space="preserve">  --primary-foreground: var(--creme);</w:t>
      </w:r>
    </w:p>
    <w:p>
      <w:pPr>
        <w:shd w:fill="F2F2F2" w:color="auto" w:val="clear"/>
        <w:spacing w:after="0"/>
        <w:ind w:left="200"/>
      </w:pPr>
      <w:r>
        <w:rPr>
          <w:rFonts w:ascii="Consolas" w:cs="Consolas" w:eastAsia="Consolas" w:hAnsi="Consolas"/>
          <w:sz w:val="18"/>
          <w:szCs w:val="18"/>
        </w:rPr>
        <w:t xml:space="preserve">  --muted-foreground: var(--gris);</w:t>
      </w:r>
    </w:p>
    <w:p>
      <w:pPr>
        <w:shd w:fill="F2F2F2" w:color="auto" w:val="clear"/>
        <w:spacing w:after="0"/>
        <w:ind w:left="200"/>
      </w:pPr>
      <w:r>
        <w:rPr>
          <w:rFonts w:ascii="Consolas" w:cs="Consolas" w:eastAsia="Consolas" w:hAnsi="Consolas"/>
          <w:sz w:val="18"/>
          <w:szCs w:val="18"/>
        </w:rPr>
        <w:t xml:space="preserve">  --card: var(--blanc);</w:t>
      </w:r>
    </w:p>
    <w:p>
      <w:pPr>
        <w:shd w:fill="F2F2F2" w:color="auto" w:val="clear"/>
        <w:spacing w:after="0"/>
        <w:ind w:left="200"/>
      </w:pPr>
      <w:r>
        <w:rPr>
          <w:rFonts w:ascii="Consolas" w:cs="Consolas" w:eastAsia="Consolas" w:hAnsi="Consolas"/>
          <w:sz w:val="18"/>
          <w:szCs w:val="18"/>
        </w:rPr>
        <w:t xml:space="preserve">  --radius: 1rem;</w:t>
      </w:r>
    </w:p>
    <w:p>
      <w:pPr>
        <w:shd w:fill="F2F2F2" w:color="auto" w:val="clear"/>
        <w:spacing w:after="0"/>
        <w:ind w:left="200"/>
      </w:pPr>
      <w:r>
        <w:rPr>
          <w:rFonts w:ascii="Consolas" w:cs="Consolas" w:eastAsia="Consolas" w:hAnsi="Consolas"/>
          <w:sz w:val="18"/>
          <w:szCs w:val="18"/>
        </w:rPr>
        <w:t xml:space="preserve"> </w:t>
      </w:r>
    </w:p>
    <w:p>
      <w:pPr>
        <w:shd w:fill="F2F2F2" w:color="auto" w:val="clear"/>
        <w:spacing w:after="0"/>
        <w:ind w:left="200"/>
      </w:pPr>
      <w:r>
        <w:rPr>
          <w:rFonts w:ascii="Consolas" w:cs="Consolas" w:eastAsia="Consolas" w:hAnsi="Consolas"/>
          <w:sz w:val="18"/>
          <w:szCs w:val="18"/>
        </w:rPr>
        <w:t xml:space="preserve">  --font-titre: Montserrat, sans-serif;</w:t>
      </w:r>
    </w:p>
    <w:p>
      <w:pPr>
        <w:shd w:fill="F2F2F2" w:color="auto" w:val="clear"/>
        <w:spacing w:after="0"/>
        <w:ind w:left="200"/>
      </w:pPr>
      <w:r>
        <w:rPr>
          <w:rFonts w:ascii="Consolas" w:cs="Consolas" w:eastAsia="Consolas" w:hAnsi="Consolas"/>
          <w:sz w:val="18"/>
          <w:szCs w:val="18"/>
        </w:rPr>
        <w:t xml:space="preserve">  --font-texte: Poppins, sans-serif;</w:t>
      </w:r>
    </w:p>
    <w:p>
      <w:pPr>
        <w:shd w:fill="F2F2F2" w:color="auto" w:val="clear"/>
        <w:spacing w:after="0"/>
        <w:ind w:left="200"/>
      </w:pPr>
      <w:r>
        <w:rPr>
          <w:rFonts w:ascii="Consolas" w:cs="Consolas" w:eastAsia="Consolas" w:hAnsi="Consolas"/>
          <w:sz w:val="18"/>
          <w:szCs w:val="18"/>
        </w:rPr>
        <w:t xml:space="preserve">}</w:t>
      </w:r>
    </w:p>
    <w:sectPr>
      <w:footerReference w:type="default" r:id="rId7"/>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Dz Multi-Services, cahier des charges v2.2, 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abstractNum w:abstractNumId="9"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64"/>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Calibri" w:cs="Calibri" w:eastAsia="Calibri" w:hAnsi="Calibri"/>
      <w:b/>
      <w:bCs/>
      <w:color w:val="000000"/>
      <w:sz w:val="28"/>
      <w:szCs w:val="28"/>
    </w:rPr>
  </w:style>
  <w:style w:type="paragraph" w:styleId="Heading2">
    <w:name w:val="Heading 2"/>
    <w:basedOn w:val="Normal"/>
    <w:next w:val="Normal"/>
    <w:qFormat/>
    <w:pPr>
      <w:keepNext/>
      <w:spacing w:after="120" w:before="300"/>
      <w:outlineLvl w:val="1"/>
    </w:pPr>
    <w:rPr>
      <w:rFonts w:ascii="Calibri" w:cs="Calibri" w:eastAsia="Calibri" w:hAnsi="Calibri"/>
      <w:b/>
      <w:bCs/>
      <w:color w:val="000000"/>
      <w:sz w:val="24"/>
      <w:szCs w:val="24"/>
    </w:rPr>
  </w:style>
  <w:style w:type="paragraph" w:styleId="Heading3">
    <w:name w:val="Heading 3"/>
    <w:basedOn w:val="Normal"/>
    <w:next w:val="Normal"/>
    <w:qFormat/>
    <w:pPr>
      <w:keepNext/>
      <w:spacing w:after="80" w:before="200"/>
      <w:outlineLvl w:val="2"/>
    </w:pPr>
    <w:rPr>
      <w:rFonts w:ascii="Calibri" w:cs="Calibri" w:eastAsia="Calibri" w:hAnsi="Calibri"/>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des charges Dz Multi-Services v2.2</dc:title>
  <cp:lastModifiedBy>Un-named</cp:lastModifiedBy>
  <cp:revision>1</cp:revision>
  <dcterms:created xsi:type="dcterms:W3CDTF">2026-10-07T18:42:20.029Z</dcterms:created>
  <dcterms:modified xsi:type="dcterms:W3CDTF">2026-10-07T18:42:20.037Z</dcterms:modified>
</cp:coreProperties>
</file>

<file path=docProps/custom.xml><?xml version="1.0" encoding="utf-8"?>
<Properties xmlns="http://schemas.openxmlformats.org/officeDocument/2006/custom-properties" xmlns:vt="http://schemas.openxmlformats.org/officeDocument/2006/docPropsVTypes"/>
</file>