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ptos Display" w:hAnsi="Aptos Display"/>
          <w:b/>
          <w:color w:val="008C95"/>
          <w:sz w:val="22"/>
        </w:rPr>
        <w:t>DECISION ADVANTAGE</w:t>
      </w:r>
    </w:p>
    <w:p>
      <w:pPr>
        <w:spacing w:after="100"/>
      </w:pPr>
      <w:r>
        <w:rPr>
          <w:rFonts w:ascii="Aptos Display" w:hAnsi="Aptos Display"/>
          <w:b/>
          <w:color w:val="142534"/>
          <w:sz w:val="54"/>
        </w:rPr>
        <w:t>Partner sponsorship proposal</w:t>
      </w:r>
    </w:p>
    <w:p>
      <w:pPr>
        <w:spacing w:after="240" w:before="0" w:line="259" w:lineRule="auto"/>
      </w:pPr>
      <w:r>
        <w:rPr>
          <w:rFonts w:ascii="Aptos" w:hAnsi="Aptos"/>
          <w:b w:val="0"/>
          <w:i w:val="0"/>
          <w:color w:val="5A6872"/>
          <w:sz w:val="24"/>
        </w:rPr>
        <w:t>Test whether a specialist clinic-capacity decision needs a lightweight, auditable decision contract after capacity insight is available.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4968"/>
            <w:shd w:fill="EAF4F5"/>
            <w:tcBorders>
              <w:top w:val="single" w:sz="8" w:space="0" w:color="B8D9DC"/>
              <w:left w:val="single" w:sz="8" w:space="0" w:color="B8D9DC"/>
              <w:bottom w:val="single" w:sz="8" w:space="0" w:color="B8D9DC"/>
              <w:right w:val="single" w:sz="8" w:space="0" w:color="B8D9DC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8C95"/>
                <w:sz w:val="16"/>
              </w:rPr>
              <w:t>THE DECISION REQUEST</w:t>
            </w:r>
          </w:p>
          <w:p>
            <w:pPr>
              <w:spacing w:after="0" w:line="254" w:lineRule="auto"/>
            </w:pPr>
            <w:r>
              <w:rPr>
                <w:rFonts w:ascii="Aptos" w:hAnsi="Aptos"/>
                <w:color w:val="142534"/>
                <w:sz w:val="20"/>
              </w:rPr>
              <w:t>Sponsor a 90-minute internal workshop. Authorise a 12-week assessment only if the workshop shows a real, client-relevant gap that existing process and tools do not already close.</w:t>
            </w:r>
          </w:p>
        </w:tc>
        <w:tc>
          <w:tcPr>
            <w:tcW w:type="dxa" w:w="4968"/>
            <w:shd w:fill="EAF4F5"/>
            <w:tcBorders>
              <w:top w:val="single" w:sz="8" w:space="0" w:color="B8D9DC"/>
              <w:left w:val="single" w:sz="8" w:space="0" w:color="B8D9DC"/>
              <w:bottom w:val="single" w:sz="8" w:space="0" w:color="B8D9DC"/>
              <w:right w:val="single" w:sz="8" w:space="0" w:color="B8D9DC"/>
            </w:tcBorders>
            <w:tcMar>
              <w:top w:w="140" w:type="dxa"/>
              <w:start w:w="150" w:type="dxa"/>
              <w:bottom w:w="140" w:type="dxa"/>
              <w:end w:w="150" w:type="dxa"/>
            </w:tcMar>
          </w:tcPr>
          <w:p>
            <w:pPr>
              <w:spacing w:after="60"/>
            </w:pPr>
            <w:r/>
            <w:r>
              <w:rPr>
                <w:rFonts w:ascii="Aptos" w:hAnsi="Aptos"/>
                <w:b/>
                <w:color w:val="008C95"/>
                <w:sz w:val="16"/>
              </w:rPr>
              <w:t>WHAT IS BEING TESTED</w:t>
            </w:r>
          </w:p>
          <w:p>
            <w:pPr>
              <w:spacing w:after="0" w:line="254" w:lineRule="auto"/>
            </w:pPr>
            <w:r>
              <w:rPr>
                <w:rFonts w:ascii="Aptos" w:hAnsi="Aptos"/>
                <w:color w:val="142534"/>
                <w:sz w:val="20"/>
              </w:rPr>
              <w:t>A narrow operational hypothesis: can a defined capacity alert be turned into a named, time-bound, non-clinical decision with a recorded rationale, feasibility constraint and verified outcome?</w:t>
            </w:r>
          </w:p>
        </w:tc>
      </w:tr>
    </w:tbl>
    <w:p>
      <w:pPr>
        <w:spacing w:before="200" w:after="80"/>
      </w:pPr>
      <w:r>
        <w:rPr>
          <w:rFonts w:ascii="Aptos Display" w:hAnsi="Aptos Display"/>
          <w:b/>
          <w:color w:val="142534"/>
          <w:sz w:val="34"/>
        </w:rPr>
        <w:t>The proposition, in plain language</w:t>
      </w:r>
    </w:p>
    <w:p>
      <w:pPr>
        <w:spacing w:after="100" w:before="0" w:line="259" w:lineRule="auto"/>
      </w:pPr>
      <w:r>
        <w:rPr>
          <w:rFonts w:ascii="Aptos" w:hAnsi="Aptos"/>
          <w:b w:val="0"/>
          <w:i w:val="0"/>
          <w:color w:val="142534"/>
          <w:sz w:val="20"/>
        </w:rPr>
        <w:t>Capacity insight can identify a potential problem. The test is whether the subsequent operational decision is consistently owned, made on time, explainable and followed through. Decision Advantage does not claim that a digital twin, dashboard or existing workflow lacks these controls. It tests whether they are adequate for one selected decision in one client context.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4968"/>
            <w:shd w:fill="008C95"/>
            <w:tcBorders>
              <w:top w:val="single" w:sz="4" w:space="0" w:color="008C95"/>
              <w:left w:val="single" w:sz="4" w:space="0" w:color="008C95"/>
              <w:bottom w:val="single" w:sz="4" w:space="0" w:color="008C95"/>
              <w:right w:val="single" w:sz="4" w:space="0" w:color="008C9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This is</w:t>
            </w:r>
          </w:p>
        </w:tc>
        <w:tc>
          <w:tcPr>
            <w:tcW w:type="dxa" w:w="4968"/>
            <w:shd w:fill="008C95"/>
            <w:tcBorders>
              <w:top w:val="single" w:sz="4" w:space="0" w:color="008C95"/>
              <w:left w:val="single" w:sz="4" w:space="0" w:color="008C95"/>
              <w:bottom w:val="single" w:sz="4" w:space="0" w:color="008C95"/>
              <w:right w:val="single" w:sz="4" w:space="0" w:color="008C9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This is not</w:t>
            </w:r>
          </w:p>
        </w:tc>
      </w:tr>
      <w:tr>
        <w:tc>
          <w:tcPr>
            <w:tcW w:type="dxa" w:w="4968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2534"/>
                <w:sz w:val="18"/>
              </w:rPr>
              <w:t>A reusable advisory method to map and test one operational decision contract.</w:t>
            </w:r>
          </w:p>
        </w:tc>
        <w:tc>
          <w:tcPr>
            <w:tcW w:type="dxa" w:w="4968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8"/>
              </w:rPr>
              <w:t>A hospital platform, clinical decision support, a replacement for a digital twin, or a claim that current tools are inadequate.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Aptos Display" w:hAnsi="Aptos Display"/>
          <w:b/>
          <w:color w:val="142534"/>
          <w:sz w:val="34"/>
        </w:rPr>
        <w:t>Candidate first use case: specialist clinic capacity</w:t>
      </w:r>
    </w:p>
    <w:p>
      <w:pPr>
        <w:spacing w:after="100" w:before="0" w:line="259" w:lineRule="auto"/>
      </w:pPr>
      <w:r>
        <w:rPr>
          <w:rFonts w:ascii="Aptos" w:hAnsi="Aptos"/>
          <w:b w:val="0"/>
          <w:i w:val="0"/>
          <w:color w:val="142534"/>
          <w:sz w:val="19"/>
        </w:rPr>
        <w:t>Synthetic workshop scenario: a specialist cardiac clinic expects demand for a new therapy to exceed planned appointment capacity over six weeks. A planning model indicates utilisation above a chosen threshold and a possible delay to therapy start. The workshop asks how the capacity response is governed; it does not address patient selection, treatment or monitoring.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2952"/>
            <w:shd w:fill="142534"/>
            <w:tcBorders>
              <w:top w:val="single" w:sz="4" w:space="0" w:color="142534"/>
              <w:left w:val="single" w:sz="4" w:space="0" w:color="142534"/>
              <w:bottom w:val="single" w:sz="4" w:space="0" w:color="142534"/>
              <w:right w:val="single" w:sz="4" w:space="0" w:color="14253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Decision-contract field</w:t>
            </w:r>
          </w:p>
        </w:tc>
        <w:tc>
          <w:tcPr>
            <w:tcW w:type="dxa" w:w="6984"/>
            <w:shd w:fill="142534"/>
            <w:tcBorders>
              <w:top w:val="single" w:sz="4" w:space="0" w:color="142534"/>
              <w:left w:val="single" w:sz="4" w:space="0" w:color="142534"/>
              <w:bottom w:val="single" w:sz="4" w:space="0" w:color="142534"/>
              <w:right w:val="single" w:sz="4" w:space="0" w:color="14253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Illustrative workshop content</w:t>
            </w:r>
          </w:p>
        </w:tc>
      </w:tr>
      <w:tr>
        <w:tc>
          <w:tcPr>
            <w:tcW w:type="dxa" w:w="2952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2534"/>
                <w:sz w:val="17"/>
              </w:rPr>
              <w:t>Trigger</w:t>
            </w:r>
          </w:p>
        </w:tc>
        <w:tc>
          <w:tcPr>
            <w:tcW w:type="dxa" w:w="6984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7"/>
              </w:rPr>
              <w:t>Forecast utilisation crosses an agreed threshold, supported by the existing planning view.</w:t>
            </w:r>
          </w:p>
        </w:tc>
      </w:tr>
      <w:tr>
        <w:tc>
          <w:tcPr>
            <w:tcW w:type="dxa" w:w="2952"/>
            <w:shd w:fill="FFFFFF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2534"/>
                <w:sz w:val="17"/>
              </w:rPr>
              <w:t>Accountable owner</w:t>
            </w:r>
          </w:p>
        </w:tc>
        <w:tc>
          <w:tcPr>
            <w:tcW w:type="dxa" w:w="6984"/>
            <w:shd w:fill="FFFFFF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7"/>
              </w:rPr>
              <w:t>Named operational capacity owner, with a deputy.</w:t>
            </w:r>
          </w:p>
        </w:tc>
      </w:tr>
      <w:tr>
        <w:tc>
          <w:tcPr>
            <w:tcW w:type="dxa" w:w="2952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2534"/>
                <w:sz w:val="17"/>
              </w:rPr>
              <w:t>Time-bound response</w:t>
            </w:r>
          </w:p>
        </w:tc>
        <w:tc>
          <w:tcPr>
            <w:tcW w:type="dxa" w:w="6984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7"/>
              </w:rPr>
              <w:t>Acknowledge and decide within an agreed operational window.</w:t>
            </w:r>
          </w:p>
        </w:tc>
      </w:tr>
      <w:tr>
        <w:tc>
          <w:tcPr>
            <w:tcW w:type="dxa" w:w="2952"/>
            <w:shd w:fill="FFFFFF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2534"/>
                <w:sz w:val="17"/>
              </w:rPr>
              <w:t>Permitted actions</w:t>
            </w:r>
          </w:p>
        </w:tc>
        <w:tc>
          <w:tcPr>
            <w:tcW w:type="dxa" w:w="6984"/>
            <w:shd w:fill="FFFFFF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7"/>
              </w:rPr>
              <w:t>Confirm extra clinic session; seek cross-cover; escalate an unavailable-resource constraint; or record no feasible action.</w:t>
            </w:r>
          </w:p>
        </w:tc>
      </w:tr>
      <w:tr>
        <w:tc>
          <w:tcPr>
            <w:tcW w:type="dxa" w:w="2952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2534"/>
                <w:sz w:val="17"/>
              </w:rPr>
              <w:t>Rationale and outcome</w:t>
            </w:r>
          </w:p>
        </w:tc>
        <w:tc>
          <w:tcPr>
            <w:tcW w:type="dxa" w:w="6984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7"/>
              </w:rPr>
              <w:t>Record why the action was selected, whether it was feasible, and whether the expected operational result occurred.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Aptos Display" w:hAnsi="Aptos Display"/>
          <w:b/>
          <w:color w:val="142534"/>
          <w:sz w:val="34"/>
        </w:rPr>
        <w:t>What would make the idea unnecessary</w:t>
      </w:r>
    </w:p>
    <w:p>
      <w:pPr>
        <w:pStyle w:val="ListBullet"/>
        <w:spacing w:after="40"/>
        <w:ind w:left="317" w:hanging="187"/>
      </w:pPr>
      <w:r>
        <w:rPr>
          <w:rFonts w:ascii="Aptos" w:hAnsi="Aptos"/>
          <w:color w:val="142534"/>
          <w:sz w:val="19"/>
        </w:rPr>
        <w:t>The current process and tools already provide a reliable record of the owner, deadline, decision, rationale, feasibility constraint and outcome for the selected decision.</w:t>
      </w:r>
    </w:p>
    <w:p>
      <w:pPr>
        <w:pStyle w:val="ListBullet"/>
        <w:spacing w:after="40"/>
        <w:ind w:left="317" w:hanging="187"/>
      </w:pPr>
      <w:r>
        <w:rPr>
          <w:rFonts w:ascii="Aptos" w:hAnsi="Aptos"/>
          <w:color w:val="142534"/>
          <w:sz w:val="19"/>
        </w:rPr>
        <w:t>The delay is primarily a structural lack of staff, rooms or funding rather than a decision-governance problem.</w:t>
      </w:r>
    </w:p>
    <w:p>
      <w:pPr>
        <w:pStyle w:val="ListBullet"/>
        <w:spacing w:after="40"/>
        <w:ind w:left="317" w:hanging="187"/>
      </w:pPr>
      <w:r>
        <w:rPr>
          <w:rFonts w:ascii="Aptos" w:hAnsi="Aptos"/>
          <w:color w:val="142534"/>
          <w:sz w:val="19"/>
        </w:rPr>
        <w:t>Adding a contract creates material workflow burden or does not have a plausible client owner and buyer.</w:t>
      </w:r>
    </w:p>
    <w:p>
      <w:pPr>
        <w:spacing w:before="200" w:after="80"/>
      </w:pPr>
      <w:r>
        <w:rPr>
          <w:rFonts w:ascii="Aptos Display" w:hAnsi="Aptos Display"/>
          <w:b/>
          <w:color w:val="142534"/>
          <w:sz w:val="34"/>
        </w:rPr>
        <w:t>Step 1 — the sponsored 90-minute internal workshop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c>
          <w:tcPr>
            <w:tcW w:type="dxa" w:w="1181"/>
            <w:shd w:fill="142534"/>
            <w:tcBorders>
              <w:top w:val="single" w:sz="4" w:space="0" w:color="142534"/>
              <w:left w:val="single" w:sz="4" w:space="0" w:color="142534"/>
              <w:bottom w:val="single" w:sz="4" w:space="0" w:color="142534"/>
              <w:right w:val="single" w:sz="4" w:space="0" w:color="14253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4896"/>
            <w:shd w:fill="142534"/>
            <w:tcBorders>
              <w:top w:val="single" w:sz="4" w:space="0" w:color="142534"/>
              <w:left w:val="single" w:sz="4" w:space="0" w:color="142534"/>
              <w:bottom w:val="single" w:sz="4" w:space="0" w:color="142534"/>
              <w:right w:val="single" w:sz="4" w:space="0" w:color="14253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Activity</w:t>
            </w:r>
          </w:p>
        </w:tc>
        <w:tc>
          <w:tcPr>
            <w:tcW w:type="dxa" w:w="3859"/>
            <w:shd w:fill="142534"/>
            <w:tcBorders>
              <w:top w:val="single" w:sz="4" w:space="0" w:color="142534"/>
              <w:left w:val="single" w:sz="4" w:space="0" w:color="142534"/>
              <w:bottom w:val="single" w:sz="4" w:space="0" w:color="142534"/>
              <w:right w:val="single" w:sz="4" w:space="0" w:color="14253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Decision output</w:t>
            </w:r>
          </w:p>
        </w:tc>
      </w:tr>
      <w:tr>
        <w:tc>
          <w:tcPr>
            <w:tcW w:type="dxa" w:w="1181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2534"/>
                <w:sz w:val="16"/>
              </w:rPr>
              <w:t>0–10 min</w:t>
            </w:r>
          </w:p>
        </w:tc>
        <w:tc>
          <w:tcPr>
            <w:tcW w:type="dxa" w:w="4896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6"/>
              </w:rPr>
              <w:t>Set scope, non-clinical boundaries and explicit stop conditions.</w:t>
            </w:r>
          </w:p>
        </w:tc>
        <w:tc>
          <w:tcPr>
            <w:tcW w:type="dxa" w:w="3859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6"/>
              </w:rPr>
              <w:t>Shared definition of the test.</w:t>
            </w:r>
          </w:p>
        </w:tc>
      </w:tr>
      <w:tr>
        <w:tc>
          <w:tcPr>
            <w:tcW w:type="dxa" w:w="1181"/>
            <w:shd w:fill="FFFFFF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2534"/>
                <w:sz w:val="16"/>
              </w:rPr>
              <w:t>10–25 min</w:t>
            </w:r>
          </w:p>
        </w:tc>
        <w:tc>
          <w:tcPr>
            <w:tcW w:type="dxa" w:w="4896"/>
            <w:shd w:fill="FFFFFF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6"/>
              </w:rPr>
              <w:t>Walk through the synthetic specialist clinic scenario.</w:t>
            </w:r>
          </w:p>
        </w:tc>
        <w:tc>
          <w:tcPr>
            <w:tcW w:type="dxa" w:w="3859"/>
            <w:shd w:fill="FFFFFF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6"/>
              </w:rPr>
              <w:t>Candidate decision and trigger.</w:t>
            </w:r>
          </w:p>
        </w:tc>
      </w:tr>
      <w:tr>
        <w:tc>
          <w:tcPr>
            <w:tcW w:type="dxa" w:w="1181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2534"/>
                <w:sz w:val="16"/>
              </w:rPr>
              <w:t>25–40 min</w:t>
            </w:r>
          </w:p>
        </w:tc>
        <w:tc>
          <w:tcPr>
            <w:tcW w:type="dxa" w:w="4896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6"/>
              </w:rPr>
              <w:t>Map how the decision is presumed to work today.</w:t>
            </w:r>
          </w:p>
        </w:tc>
        <w:tc>
          <w:tcPr>
            <w:tcW w:type="dxa" w:w="3859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6"/>
              </w:rPr>
              <w:t>Existing tools, roles and records.</w:t>
            </w:r>
          </w:p>
        </w:tc>
      </w:tr>
      <w:tr>
        <w:tc>
          <w:tcPr>
            <w:tcW w:type="dxa" w:w="1181"/>
            <w:shd w:fill="FFFFFF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2534"/>
                <w:sz w:val="16"/>
              </w:rPr>
              <w:t>40–60 min</w:t>
            </w:r>
          </w:p>
        </w:tc>
        <w:tc>
          <w:tcPr>
            <w:tcW w:type="dxa" w:w="4896"/>
            <w:shd w:fill="FFFFFF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6"/>
              </w:rPr>
              <w:t>Complete the decision-contract template.</w:t>
            </w:r>
          </w:p>
        </w:tc>
        <w:tc>
          <w:tcPr>
            <w:tcW w:type="dxa" w:w="3859"/>
            <w:shd w:fill="FFFFFF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6"/>
              </w:rPr>
              <w:t>Draft owner, deadline, actions, escalation and outcome.</w:t>
            </w:r>
          </w:p>
        </w:tc>
      </w:tr>
      <w:tr>
        <w:tc>
          <w:tcPr>
            <w:tcW w:type="dxa" w:w="1181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2534"/>
                <w:sz w:val="16"/>
              </w:rPr>
              <w:t>60–75 min</w:t>
            </w:r>
          </w:p>
        </w:tc>
        <w:tc>
          <w:tcPr>
            <w:tcW w:type="dxa" w:w="4896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6"/>
              </w:rPr>
              <w:t>Red-team duplication, capacity constraints and workflow burden.</w:t>
            </w:r>
          </w:p>
        </w:tc>
        <w:tc>
          <w:tcPr>
            <w:tcW w:type="dxa" w:w="3859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6"/>
              </w:rPr>
              <w:t>Disproof evidence and risks.</w:t>
            </w:r>
          </w:p>
        </w:tc>
      </w:tr>
      <w:tr>
        <w:tc>
          <w:tcPr>
            <w:tcW w:type="dxa" w:w="1181"/>
            <w:shd w:fill="FFFFFF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2534"/>
                <w:sz w:val="16"/>
              </w:rPr>
              <w:t>75–90 min</w:t>
            </w:r>
          </w:p>
        </w:tc>
        <w:tc>
          <w:tcPr>
            <w:tcW w:type="dxa" w:w="4896"/>
            <w:shd w:fill="FFFFFF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6"/>
              </w:rPr>
              <w:t>Score client relevance and repeatability.</w:t>
            </w:r>
          </w:p>
        </w:tc>
        <w:tc>
          <w:tcPr>
            <w:tcW w:type="dxa" w:w="3859"/>
            <w:shd w:fill="FFFFFF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6"/>
              </w:rPr>
              <w:t>Stop / assess / design recommendation.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Aptos Display" w:hAnsi="Aptos Display"/>
          <w:b/>
          <w:color w:val="142534"/>
          <w:sz w:val="34"/>
        </w:rPr>
        <w:t>Step 2 — only if Step 1 passes: 12-week assessment</w:t>
      </w:r>
    </w:p>
    <w:p>
      <w:pPr>
        <w:spacing w:after="100" w:before="0" w:line="259" w:lineRule="auto"/>
      </w:pPr>
      <w:r>
        <w:rPr>
          <w:rFonts w:ascii="Aptos" w:hAnsi="Aptos"/>
          <w:b w:val="0"/>
          <w:i w:val="0"/>
          <w:color w:val="142534"/>
          <w:sz w:val="20"/>
        </w:rPr>
        <w:t>Purpose: establish whether a real client workflow has a decision-governance gap and whether a reusable advisory asset can address it. This is a scoped assessment, not a software build or deployment.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65"/>
        <w:gridCol w:w="3465"/>
        <w:gridCol w:w="3465"/>
      </w:tblGrid>
      <w:tr>
        <w:tc>
          <w:tcPr>
            <w:tcW w:type="dxa" w:w="1584"/>
            <w:shd w:fill="142534"/>
            <w:tcBorders>
              <w:top w:val="single" w:sz="4" w:space="0" w:color="142534"/>
              <w:left w:val="single" w:sz="4" w:space="0" w:color="142534"/>
              <w:bottom w:val="single" w:sz="4" w:space="0" w:color="142534"/>
              <w:right w:val="single" w:sz="4" w:space="0" w:color="14253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Phase</w:t>
            </w:r>
          </w:p>
        </w:tc>
        <w:tc>
          <w:tcPr>
            <w:tcW w:type="dxa" w:w="1224"/>
            <w:shd w:fill="142534"/>
            <w:tcBorders>
              <w:top w:val="single" w:sz="4" w:space="0" w:color="142534"/>
              <w:left w:val="single" w:sz="4" w:space="0" w:color="142534"/>
              <w:bottom w:val="single" w:sz="4" w:space="0" w:color="142534"/>
              <w:right w:val="single" w:sz="4" w:space="0" w:color="14253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Weeks</w:t>
            </w:r>
          </w:p>
        </w:tc>
        <w:tc>
          <w:tcPr>
            <w:tcW w:type="dxa" w:w="7128"/>
            <w:shd w:fill="142534"/>
            <w:tcBorders>
              <w:top w:val="single" w:sz="4" w:space="0" w:color="142534"/>
              <w:left w:val="single" w:sz="4" w:space="0" w:color="142534"/>
              <w:bottom w:val="single" w:sz="4" w:space="0" w:color="142534"/>
              <w:right w:val="single" w:sz="4" w:space="0" w:color="142534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Output</w:t>
            </w:r>
          </w:p>
        </w:tc>
      </w:tr>
      <w:tr>
        <w:tc>
          <w:tcPr>
            <w:tcW w:type="dxa" w:w="1584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2534"/>
                <w:sz w:val="17"/>
              </w:rPr>
              <w:t>Diagnose</w:t>
            </w:r>
          </w:p>
        </w:tc>
        <w:tc>
          <w:tcPr>
            <w:tcW w:type="dxa" w:w="1224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7"/>
              </w:rPr>
              <w:t>1–3</w:t>
            </w:r>
          </w:p>
        </w:tc>
        <w:tc>
          <w:tcPr>
            <w:tcW w:type="dxa" w:w="7128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7"/>
              </w:rPr>
              <w:t>Workflow map, existing-tool review and a falsifiable gap statement.</w:t>
            </w:r>
          </w:p>
        </w:tc>
      </w:tr>
      <w:tr>
        <w:tc>
          <w:tcPr>
            <w:tcW w:type="dxa" w:w="1584"/>
            <w:shd w:fill="FFFFFF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2534"/>
                <w:sz w:val="17"/>
              </w:rPr>
              <w:t>Design</w:t>
            </w:r>
          </w:p>
        </w:tc>
        <w:tc>
          <w:tcPr>
            <w:tcW w:type="dxa" w:w="1224"/>
            <w:shd w:fill="FFFFFF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7"/>
              </w:rPr>
              <w:t>4–7</w:t>
            </w:r>
          </w:p>
        </w:tc>
        <w:tc>
          <w:tcPr>
            <w:tcW w:type="dxa" w:w="7128"/>
            <w:shd w:fill="FFFFFF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7"/>
              </w:rPr>
              <w:t>Co-designed decision contract, assurance controls and measurement plan.</w:t>
            </w:r>
          </w:p>
        </w:tc>
      </w:tr>
      <w:tr>
        <w:tc>
          <w:tcPr>
            <w:tcW w:type="dxa" w:w="1584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2534"/>
                <w:sz w:val="17"/>
              </w:rPr>
              <w:t>Shadow mode</w:t>
            </w:r>
          </w:p>
        </w:tc>
        <w:tc>
          <w:tcPr>
            <w:tcW w:type="dxa" w:w="1224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7"/>
              </w:rPr>
              <w:t>8–10</w:t>
            </w:r>
          </w:p>
        </w:tc>
        <w:tc>
          <w:tcPr>
            <w:tcW w:type="dxa" w:w="7128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7"/>
              </w:rPr>
              <w:t>Non-clinical observation using an agreed test route; no autonomous action.</w:t>
            </w:r>
          </w:p>
        </w:tc>
      </w:tr>
      <w:tr>
        <w:tc>
          <w:tcPr>
            <w:tcW w:type="dxa" w:w="1584"/>
            <w:shd w:fill="FFFFFF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2534"/>
                <w:sz w:val="17"/>
              </w:rPr>
              <w:t>Decision</w:t>
            </w:r>
          </w:p>
        </w:tc>
        <w:tc>
          <w:tcPr>
            <w:tcW w:type="dxa" w:w="1224"/>
            <w:shd w:fill="FFFFFF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7"/>
              </w:rPr>
              <w:t>11–12</w:t>
            </w:r>
          </w:p>
        </w:tc>
        <w:tc>
          <w:tcPr>
            <w:tcW w:type="dxa" w:w="7128"/>
            <w:shd w:fill="FFFFFF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7"/>
              </w:rPr>
              <w:t>Evidence pack, repeatability assessment and stop / go recommendation.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Aptos Display" w:hAnsi="Aptos Display"/>
          <w:b/>
          <w:color w:val="142534"/>
          <w:sz w:val="34"/>
        </w:rPr>
        <w:t>Sponsor commitment and return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4968"/>
            <w:shd w:fill="008C95"/>
            <w:tcBorders>
              <w:top w:val="single" w:sz="4" w:space="0" w:color="008C95"/>
              <w:left w:val="single" w:sz="4" w:space="0" w:color="008C95"/>
              <w:bottom w:val="single" w:sz="4" w:space="0" w:color="008C95"/>
              <w:right w:val="single" w:sz="4" w:space="0" w:color="008C9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The sponsor provides</w:t>
            </w:r>
          </w:p>
        </w:tc>
        <w:tc>
          <w:tcPr>
            <w:tcW w:type="dxa" w:w="4968"/>
            <w:shd w:fill="008C95"/>
            <w:tcBorders>
              <w:top w:val="single" w:sz="4" w:space="0" w:color="008C95"/>
              <w:left w:val="single" w:sz="4" w:space="0" w:color="008C95"/>
              <w:bottom w:val="single" w:sz="4" w:space="0" w:color="008C95"/>
              <w:right w:val="single" w:sz="4" w:space="0" w:color="008C95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The sponsor receives</w:t>
            </w:r>
          </w:p>
        </w:tc>
      </w:tr>
      <w:tr>
        <w:tc>
          <w:tcPr>
            <w:tcW w:type="dxa" w:w="4968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2534"/>
                <w:sz w:val="18"/>
              </w:rPr>
              <w:t>Step 1: endorsement; 90 minutes from relevant colleagues; approximately two hours of preparation; permission to use a synthetic or published scenario.</w:t>
              <w:br/>
              <w:br/>
              <w:t>Step 2 only if approved: access to a suitable engagement or team, a named EY lead and light-touch oversight.</w:t>
            </w:r>
          </w:p>
        </w:tc>
        <w:tc>
          <w:tcPr>
            <w:tcW w:type="dxa" w:w="4968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8"/>
              </w:rPr>
              <w:t>A clear answer on whether there is a client-relevant, differentiated advisory test; a draft reusable method and template; a decision on whether to stop, assess further or design a repeatable offer.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Aptos Display" w:hAnsi="Aptos Display"/>
          <w:b/>
          <w:color w:val="142534"/>
          <w:sz w:val="34"/>
        </w:rPr>
        <w:t>Decision criteria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98"/>
        <w:gridCol w:w="5198"/>
      </w:tblGrid>
      <w:tr>
        <w:tc>
          <w:tcPr>
            <w:tcW w:type="dxa" w:w="4968"/>
            <w:shd w:fill="9C6A00"/>
            <w:tcBorders>
              <w:top w:val="single" w:sz="4" w:space="0" w:color="9C6A00"/>
              <w:left w:val="single" w:sz="4" w:space="0" w:color="9C6A00"/>
              <w:bottom w:val="single" w:sz="4" w:space="0" w:color="9C6A00"/>
              <w:right w:val="single" w:sz="4" w:space="0" w:color="9C6A0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Proceed to assessment only if</w:t>
            </w:r>
          </w:p>
        </w:tc>
        <w:tc>
          <w:tcPr>
            <w:tcW w:type="dxa" w:w="4968"/>
            <w:shd w:fill="9C6A00"/>
            <w:tcBorders>
              <w:top w:val="single" w:sz="4" w:space="0" w:color="9C6A00"/>
              <w:left w:val="single" w:sz="4" w:space="0" w:color="9C6A00"/>
              <w:bottom w:val="single" w:sz="4" w:space="0" w:color="9C6A00"/>
              <w:right w:val="single" w:sz="4" w:space="0" w:color="9C6A00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Stop if</w:t>
            </w:r>
          </w:p>
        </w:tc>
      </w:tr>
      <w:tr>
        <w:tc>
          <w:tcPr>
            <w:tcW w:type="dxa" w:w="4968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142534"/>
                <w:sz w:val="18"/>
              </w:rPr>
              <w:t>A plausible client decision exists; the gap is not already closed by current process/tools; a non-clinical test route is feasible; and the method looks reusable beyond one engagement.</w:t>
            </w:r>
          </w:p>
        </w:tc>
        <w:tc>
          <w:tcPr>
            <w:tcW w:type="dxa" w:w="4968"/>
            <w:shd w:fill="EAF4F5"/>
            <w:tcBorders>
              <w:top w:val="single" w:sz="6" w:space="0" w:color="D5DEE2"/>
              <w:left w:val="single" w:sz="6" w:space="0" w:color="D5DEE2"/>
              <w:bottom w:val="single" w:sz="6" w:space="0" w:color="D5DEE2"/>
              <w:right w:val="single" w:sz="6" w:space="0" w:color="D5DEE2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color w:val="142534"/>
                <w:sz w:val="18"/>
              </w:rPr>
              <w:t>The proposed contract duplicates adequate controls; unavailable capacity is the real cause; participants judge the extra record as burdensome; or no sponsor/client buyer can be identified.</w:t>
            </w:r>
          </w:p>
        </w:tc>
      </w:tr>
    </w:tbl>
    <w:p>
      <w:pPr>
        <w:spacing w:after="0"/>
      </w:pPr>
    </w:p>
    <w:p>
      <w:pPr>
        <w:spacing w:before="200" w:after="80"/>
      </w:pPr>
      <w:r>
        <w:rPr>
          <w:rFonts w:ascii="Aptos Display" w:hAnsi="Aptos Display"/>
          <w:b/>
          <w:color w:val="142534"/>
          <w:sz w:val="34"/>
        </w:rPr>
        <w:t>Questions to verify before any external use</w:t>
      </w:r>
    </w:p>
    <w:p>
      <w:pPr>
        <w:pStyle w:val="ListBullet"/>
        <w:spacing w:after="40"/>
        <w:ind w:left="317" w:hanging="187"/>
      </w:pPr>
      <w:r>
        <w:rPr>
          <w:rFonts w:ascii="Aptos" w:hAnsi="Aptos"/>
          <w:color w:val="142534"/>
          <w:sz w:val="19"/>
        </w:rPr>
        <w:t>Verify: EY Ireland practice structure, sponsorship process, client access route and resource commitments.</w:t>
      </w:r>
    </w:p>
    <w:p>
      <w:pPr>
        <w:pStyle w:val="ListBullet"/>
        <w:spacing w:after="40"/>
        <w:ind w:left="317" w:hanging="187"/>
      </w:pPr>
      <w:r>
        <w:rPr>
          <w:rFonts w:ascii="Aptos" w:hAnsi="Aptos"/>
          <w:color w:val="142534"/>
          <w:sz w:val="19"/>
        </w:rPr>
        <w:t>Verify: ownership, confidentiality and permitted external use of the independently developed prototype and any IPCI-related material.</w:t>
      </w:r>
    </w:p>
    <w:p>
      <w:pPr>
        <w:pStyle w:val="ListBullet"/>
        <w:spacing w:after="40"/>
        <w:ind w:left="317" w:hanging="187"/>
      </w:pPr>
      <w:r>
        <w:rPr>
          <w:rFonts w:ascii="Aptos" w:hAnsi="Aptos"/>
          <w:color w:val="142534"/>
          <w:sz w:val="19"/>
        </w:rPr>
        <w:t>Verify: client governance, information-governance and procurement requirements for any later assessment or shadow-mode work.</w:t>
      </w:r>
    </w:p>
    <w:p>
      <w:pPr>
        <w:pStyle w:val="ListBullet"/>
        <w:spacing w:after="40"/>
        <w:ind w:left="317" w:hanging="187"/>
      </w:pPr>
      <w:r>
        <w:rPr>
          <w:rFonts w:ascii="Aptos" w:hAnsi="Aptos"/>
          <w:color w:val="142534"/>
          <w:sz w:val="19"/>
        </w:rPr>
        <w:t>Verify: whether the selected client already has a tool or operating model that meets the decision-contract criteria.</w:t>
      </w:r>
    </w:p>
    <w:p>
      <w:pPr>
        <w:spacing w:after="0" w:before="140" w:line="259" w:lineRule="auto"/>
      </w:pPr>
      <w:r>
        <w:rPr>
          <w:rFonts w:ascii="Aptos" w:hAnsi="Aptos"/>
          <w:b w:val="0"/>
          <w:i/>
          <w:color w:val="5A6872"/>
          <w:sz w:val="16"/>
        </w:rPr>
        <w:t>Appendix note — IPCI: the concept may be referenced internally as background only. Ownership and permitted use must be verified before any external use.</w:t>
      </w:r>
    </w:p>
    <w:sectPr w:rsidR="00FC693F" w:rsidRPr="0006063C" w:rsidSect="00034616">
      <w:footerReference w:type="default" r:id="rId9"/>
      <w:pgSz w:w="12240" w:h="15840"/>
      <w:pgMar w:top="792" w:right="922" w:bottom="763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872"/>
        <w:sz w:val="15"/>
      </w:rPr>
      <w:t>Decision Advantage | Internal sponsorship proposal | Draft for discussion | 19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