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ESPOCRM QA AUTOMATION PROJECT</w:t>
      </w:r>
    </w:p>
    <w:p>
      <w:pPr>
        <w:jc w:val="center"/>
      </w:pPr>
      <w:r>
        <w:rPr>
          <w:b/>
          <w:sz w:val="36"/>
        </w:rPr>
        <w:t>MANUAL TESTING – FINAL SUBMISSION SUMMARY</w:t>
      </w:r>
    </w:p>
    <w:p>
      <w:pPr>
        <w:jc w:val="center"/>
      </w:pPr>
      <w:r>
        <w:rPr>
          <w:sz w:val="20"/>
        </w:rPr>
        <w:t>Version 1.1 | Revised Baseline | 19 September 2026</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Document</w:t>
            </w:r>
          </w:p>
        </w:tc>
        <w:tc>
          <w:tcPr>
            <w:tcW w:type="dxa" w:w="5112"/>
            <w:vAlign w:val="center"/>
          </w:tcPr>
          <w:p>
            <w:r/>
            <w:r>
              <w:rPr>
                <w:b w:val="0"/>
                <w:sz w:val="18"/>
              </w:rPr>
              <w:t>Manual Testing – Final Submission Summary</w:t>
            </w:r>
          </w:p>
        </w:tc>
      </w:tr>
      <w:tr>
        <w:tc>
          <w:tcPr>
            <w:tcW w:type="dxa" w:w="5112"/>
            <w:vAlign w:val="center"/>
            <w:shd w:fill="D9EAF7"/>
          </w:tcPr>
          <w:p>
            <w:r/>
            <w:r>
              <w:rPr>
                <w:b/>
                <w:sz w:val="18"/>
              </w:rPr>
              <w:t>Application</w:t>
            </w:r>
          </w:p>
        </w:tc>
        <w:tc>
          <w:tcPr>
            <w:tcW w:type="dxa" w:w="5112"/>
            <w:vAlign w:val="center"/>
          </w:tcPr>
          <w:p>
            <w:r/>
            <w:r>
              <w:rPr>
                <w:b w:val="0"/>
                <w:sz w:val="18"/>
              </w:rPr>
              <w:t>EspoCRM</w:t>
            </w:r>
          </w:p>
        </w:tc>
      </w:tr>
      <w:tr>
        <w:tc>
          <w:tcPr>
            <w:tcW w:type="dxa" w:w="5112"/>
            <w:vAlign w:val="center"/>
            <w:shd w:fill="D9EAF7"/>
          </w:tcPr>
          <w:p>
            <w:r/>
            <w:r>
              <w:rPr>
                <w:b/>
                <w:sz w:val="18"/>
              </w:rPr>
              <w:t>Environment</w:t>
            </w:r>
          </w:p>
        </w:tc>
        <w:tc>
          <w:tcPr>
            <w:tcW w:type="dxa" w:w="5112"/>
            <w:vAlign w:val="center"/>
          </w:tcPr>
          <w:p>
            <w:r/>
            <w:r>
              <w:rPr>
                <w:b w:val="0"/>
                <w:sz w:val="18"/>
              </w:rPr>
              <w:t>Local EspoCRM</w:t>
            </w:r>
          </w:p>
        </w:tc>
      </w:tr>
      <w:tr>
        <w:tc>
          <w:tcPr>
            <w:tcW w:type="dxa" w:w="5112"/>
            <w:vAlign w:val="center"/>
            <w:shd w:fill="D9EAF7"/>
          </w:tcPr>
          <w:p>
            <w:r/>
            <w:r>
              <w:rPr>
                <w:b/>
                <w:sz w:val="18"/>
              </w:rPr>
              <w:t>Current Scope</w:t>
            </w:r>
          </w:p>
        </w:tc>
        <w:tc>
          <w:tcPr>
            <w:tcW w:type="dxa" w:w="5112"/>
            <w:vAlign w:val="center"/>
          </w:tcPr>
          <w:p>
            <w:r/>
            <w:r>
              <w:rPr>
                <w:b w:val="0"/>
                <w:sz w:val="18"/>
              </w:rPr>
              <w:t>Login, Accounts and Contacts</w:t>
            </w:r>
          </w:p>
        </w:tc>
      </w:tr>
    </w:tbl>
    <w:p>
      <w:pPr>
        <w:pStyle w:val="Heading1"/>
      </w:pPr>
      <w:r>
        <w:t>1. Project Overview</w:t>
      </w:r>
    </w:p>
    <w:p>
      <w:r>
        <w:t>This document summarizes the Phase 2 manual functional testing baseline for the current EspoCRM QA Automation Project. The active scope is limited to Login / Authentication, Accounts and Contacts and is aligned with the revised SRS, Test Plan, Test Scenarios and Master RTM.</w:t>
      </w:r>
    </w:p>
    <w:p>
      <w:pPr>
        <w:pStyle w:val="Heading1"/>
      </w:pPr>
      <w:r>
        <w:t>2. Scope Change</w:t>
      </w:r>
    </w:p>
    <w:p>
      <w:r>
        <w:t>Leads and Opportunities were part of the earlier project baseline but have been de-scoped from the current project due to project time constraints. They are retained only as historical project artifacts. No further manual execution or automation is planned for those modules under the current baseline.</w:t>
      </w:r>
    </w:p>
    <w:p>
      <w:pPr>
        <w:pStyle w:val="Heading1"/>
      </w:pPr>
      <w:r>
        <w:t>3. Module Execution Summary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1F4E78"/>
          </w:tcPr>
          <w:p>
            <w:r>
              <w:rPr>
                <w:sz w:val="18"/>
              </w:rPr>
            </w:r>
            <w:r>
              <w:rPr>
                <w:b/>
                <w:sz w:val="18"/>
              </w:rPr>
              <w:t>Module</w:t>
            </w:r>
          </w:p>
        </w:tc>
        <w:tc>
          <w:tcPr>
            <w:tcW w:type="dxa" w:w="1461"/>
            <w:vAlign w:val="center"/>
            <w:shd w:fill="1F4E78"/>
          </w:tcPr>
          <w:p>
            <w:r>
              <w:rPr>
                <w:sz w:val="18"/>
              </w:rPr>
            </w:r>
            <w:r>
              <w:rPr>
                <w:b/>
                <w:sz w:val="18"/>
              </w:rPr>
              <w:t>Requirements</w:t>
            </w:r>
          </w:p>
        </w:tc>
        <w:tc>
          <w:tcPr>
            <w:tcW w:type="dxa" w:w="1461"/>
            <w:vAlign w:val="center"/>
            <w:shd w:fill="1F4E78"/>
          </w:tcPr>
          <w:p>
            <w:r>
              <w:rPr>
                <w:sz w:val="18"/>
              </w:rPr>
            </w:r>
            <w:r>
              <w:rPr>
                <w:b/>
                <w:sz w:val="18"/>
              </w:rPr>
              <w:t>Test Cases</w:t>
            </w:r>
          </w:p>
        </w:tc>
        <w:tc>
          <w:tcPr>
            <w:tcW w:type="dxa" w:w="1461"/>
            <w:vAlign w:val="center"/>
            <w:shd w:fill="1F4E78"/>
          </w:tcPr>
          <w:p>
            <w:r>
              <w:rPr>
                <w:sz w:val="18"/>
              </w:rPr>
            </w:r>
            <w:r>
              <w:rPr>
                <w:b/>
                <w:sz w:val="18"/>
              </w:rPr>
              <w:t>Passed</w:t>
            </w:r>
          </w:p>
        </w:tc>
        <w:tc>
          <w:tcPr>
            <w:tcW w:type="dxa" w:w="1461"/>
            <w:vAlign w:val="center"/>
            <w:shd w:fill="1F4E78"/>
          </w:tcPr>
          <w:p>
            <w:r>
              <w:rPr>
                <w:sz w:val="18"/>
              </w:rPr>
            </w:r>
            <w:r>
              <w:rPr>
                <w:b/>
                <w:sz w:val="18"/>
              </w:rPr>
              <w:t>Failed</w:t>
            </w:r>
          </w:p>
        </w:tc>
        <w:tc>
          <w:tcPr>
            <w:tcW w:type="dxa" w:w="1461"/>
            <w:vAlign w:val="center"/>
            <w:shd w:fill="1F4E78"/>
          </w:tcPr>
          <w:p>
            <w:r>
              <w:rPr>
                <w:sz w:val="18"/>
              </w:rPr>
            </w:r>
            <w:r>
              <w:rPr>
                <w:b/>
                <w:sz w:val="18"/>
              </w:rPr>
              <w:t>Pass Rate</w:t>
            </w:r>
          </w:p>
        </w:tc>
        <w:tc>
          <w:tcPr>
            <w:tcW w:type="dxa" w:w="1461"/>
            <w:vAlign w:val="center"/>
            <w:shd w:fill="1F4E78"/>
          </w:tcPr>
          <w:p>
            <w:r>
              <w:rPr>
                <w:sz w:val="18"/>
              </w:rPr>
            </w:r>
            <w:r>
              <w:rPr>
                <w:b/>
                <w:sz w:val="18"/>
              </w:rPr>
              <w:t>Confirmed Defects</w:t>
            </w:r>
          </w:p>
        </w:tc>
      </w:tr>
      <w:tr>
        <w:tc>
          <w:tcPr>
            <w:tcW w:type="dxa" w:w="1461"/>
            <w:vAlign w:val="center"/>
          </w:tcPr>
          <w:p>
            <w:r/>
            <w:r>
              <w:rPr>
                <w:b/>
                <w:sz w:val="18"/>
              </w:rPr>
              <w:t>Login / Authentication</w:t>
            </w:r>
          </w:p>
        </w:tc>
        <w:tc>
          <w:tcPr>
            <w:tcW w:type="dxa" w:w="1461"/>
            <w:vAlign w:val="center"/>
          </w:tcPr>
          <w:p>
            <w:r/>
            <w:r>
              <w:rPr>
                <w:b w:val="0"/>
                <w:sz w:val="18"/>
              </w:rPr>
              <w:t>5 represented</w:t>
            </w:r>
          </w:p>
        </w:tc>
        <w:tc>
          <w:tcPr>
            <w:tcW w:type="dxa" w:w="1461"/>
            <w:vAlign w:val="center"/>
          </w:tcPr>
          <w:p>
            <w:r/>
            <w:r>
              <w:rPr>
                <w:b w:val="0"/>
                <w:sz w:val="18"/>
              </w:rPr>
              <w:t>10</w:t>
            </w:r>
          </w:p>
        </w:tc>
        <w:tc>
          <w:tcPr>
            <w:tcW w:type="dxa" w:w="1461"/>
            <w:vAlign w:val="center"/>
          </w:tcPr>
          <w:p>
            <w:r/>
            <w:r>
              <w:rPr>
                <w:b w:val="0"/>
                <w:sz w:val="18"/>
              </w:rPr>
              <w:t>10</w:t>
            </w:r>
          </w:p>
        </w:tc>
        <w:tc>
          <w:tcPr>
            <w:tcW w:type="dxa" w:w="1461"/>
            <w:vAlign w:val="center"/>
          </w:tcPr>
          <w:p>
            <w:r/>
            <w:r>
              <w:rPr>
                <w:b w:val="0"/>
                <w:sz w:val="18"/>
              </w:rPr>
              <w:t>0</w:t>
            </w:r>
          </w:p>
        </w:tc>
        <w:tc>
          <w:tcPr>
            <w:tcW w:type="dxa" w:w="1461"/>
            <w:vAlign w:val="center"/>
          </w:tcPr>
          <w:p>
            <w:r/>
            <w:r>
              <w:rPr>
                <w:b w:val="0"/>
                <w:sz w:val="18"/>
              </w:rPr>
              <w:t>100%</w:t>
            </w:r>
          </w:p>
        </w:tc>
        <w:tc>
          <w:tcPr>
            <w:tcW w:type="dxa" w:w="1461"/>
            <w:vAlign w:val="center"/>
          </w:tcPr>
          <w:p>
            <w:r/>
            <w:r>
              <w:rPr>
                <w:b w:val="0"/>
                <w:sz w:val="18"/>
              </w:rPr>
              <w:t>0</w:t>
            </w:r>
          </w:p>
        </w:tc>
      </w:tr>
      <w:tr>
        <w:tc>
          <w:tcPr>
            <w:tcW w:type="dxa" w:w="1461"/>
            <w:vAlign w:val="center"/>
          </w:tcPr>
          <w:p>
            <w:r/>
            <w:r>
              <w:rPr>
                <w:b/>
                <w:sz w:val="18"/>
              </w:rPr>
              <w:t>Accounts</w:t>
            </w:r>
          </w:p>
        </w:tc>
        <w:tc>
          <w:tcPr>
            <w:tcW w:type="dxa" w:w="1461"/>
            <w:vAlign w:val="center"/>
          </w:tcPr>
          <w:p>
            <w:r/>
            <w:r>
              <w:rPr>
                <w:b w:val="0"/>
                <w:sz w:val="18"/>
              </w:rPr>
              <w:t>17</w:t>
            </w:r>
          </w:p>
        </w:tc>
        <w:tc>
          <w:tcPr>
            <w:tcW w:type="dxa" w:w="1461"/>
            <w:vAlign w:val="center"/>
          </w:tcPr>
          <w:p>
            <w:r/>
            <w:r>
              <w:rPr>
                <w:b w:val="0"/>
                <w:sz w:val="18"/>
              </w:rPr>
              <w:t>36</w:t>
            </w:r>
          </w:p>
        </w:tc>
        <w:tc>
          <w:tcPr>
            <w:tcW w:type="dxa" w:w="1461"/>
            <w:vAlign w:val="center"/>
          </w:tcPr>
          <w:p>
            <w:r/>
            <w:r>
              <w:rPr>
                <w:b w:val="0"/>
                <w:sz w:val="18"/>
              </w:rPr>
              <w:t>36</w:t>
            </w:r>
          </w:p>
        </w:tc>
        <w:tc>
          <w:tcPr>
            <w:tcW w:type="dxa" w:w="1461"/>
            <w:vAlign w:val="center"/>
          </w:tcPr>
          <w:p>
            <w:r/>
            <w:r>
              <w:rPr>
                <w:b w:val="0"/>
                <w:sz w:val="18"/>
              </w:rPr>
              <w:t>0</w:t>
            </w:r>
          </w:p>
        </w:tc>
        <w:tc>
          <w:tcPr>
            <w:tcW w:type="dxa" w:w="1461"/>
            <w:vAlign w:val="center"/>
          </w:tcPr>
          <w:p>
            <w:r/>
            <w:r>
              <w:rPr>
                <w:b w:val="0"/>
                <w:sz w:val="18"/>
              </w:rPr>
              <w:t>100%</w:t>
            </w:r>
          </w:p>
        </w:tc>
        <w:tc>
          <w:tcPr>
            <w:tcW w:type="dxa" w:w="1461"/>
            <w:vAlign w:val="center"/>
          </w:tcPr>
          <w:p>
            <w:r/>
            <w:r>
              <w:rPr>
                <w:b w:val="0"/>
                <w:sz w:val="18"/>
              </w:rPr>
              <w:t>1 open</w:t>
            </w:r>
          </w:p>
        </w:tc>
      </w:tr>
      <w:tr>
        <w:tc>
          <w:tcPr>
            <w:tcW w:type="dxa" w:w="1461"/>
            <w:vAlign w:val="center"/>
          </w:tcPr>
          <w:p>
            <w:r/>
            <w:r>
              <w:rPr>
                <w:b/>
                <w:sz w:val="18"/>
              </w:rPr>
              <w:t>Contacts</w:t>
            </w:r>
          </w:p>
        </w:tc>
        <w:tc>
          <w:tcPr>
            <w:tcW w:type="dxa" w:w="1461"/>
            <w:vAlign w:val="center"/>
          </w:tcPr>
          <w:p>
            <w:r/>
            <w:r>
              <w:rPr>
                <w:b w:val="0"/>
                <w:sz w:val="18"/>
              </w:rPr>
              <w:t>32</w:t>
            </w:r>
          </w:p>
        </w:tc>
        <w:tc>
          <w:tcPr>
            <w:tcW w:type="dxa" w:w="1461"/>
            <w:vAlign w:val="center"/>
          </w:tcPr>
          <w:p>
            <w:r/>
            <w:r>
              <w:rPr>
                <w:b w:val="0"/>
                <w:sz w:val="18"/>
              </w:rPr>
              <w:t>44</w:t>
            </w:r>
          </w:p>
        </w:tc>
        <w:tc>
          <w:tcPr>
            <w:tcW w:type="dxa" w:w="1461"/>
            <w:vAlign w:val="center"/>
          </w:tcPr>
          <w:p>
            <w:r/>
            <w:r>
              <w:rPr>
                <w:b w:val="0"/>
                <w:sz w:val="18"/>
              </w:rPr>
              <w:t>43</w:t>
            </w:r>
          </w:p>
        </w:tc>
        <w:tc>
          <w:tcPr>
            <w:tcW w:type="dxa" w:w="1461"/>
            <w:vAlign w:val="center"/>
          </w:tcPr>
          <w:p>
            <w:r/>
            <w:r>
              <w:rPr>
                <w:b w:val="0"/>
                <w:sz w:val="18"/>
              </w:rPr>
              <w:t>1</w:t>
            </w:r>
          </w:p>
        </w:tc>
        <w:tc>
          <w:tcPr>
            <w:tcW w:type="dxa" w:w="1461"/>
            <w:vAlign w:val="center"/>
          </w:tcPr>
          <w:p>
            <w:r/>
            <w:r>
              <w:rPr>
                <w:b w:val="0"/>
                <w:sz w:val="18"/>
              </w:rPr>
              <w:t>97.73%</w:t>
            </w:r>
          </w:p>
        </w:tc>
        <w:tc>
          <w:tcPr>
            <w:tcW w:type="dxa" w:w="1461"/>
            <w:vAlign w:val="center"/>
          </w:tcPr>
          <w:p>
            <w:r/>
            <w:r>
              <w:rPr>
                <w:b w:val="0"/>
                <w:sz w:val="18"/>
              </w:rPr>
              <w:t>1 open</w:t>
            </w:r>
          </w:p>
        </w:tc>
      </w:tr>
      <w:tr>
        <w:tc>
          <w:tcPr>
            <w:tcW w:type="dxa" w:w="1461"/>
            <w:vAlign w:val="center"/>
            <w:shd w:fill="EAF2F8"/>
          </w:tcPr>
          <w:p>
            <w:r/>
            <w:r>
              <w:rPr>
                <w:b/>
                <w:sz w:val="18"/>
              </w:rPr>
              <w:t>TOTAL</w:t>
            </w:r>
          </w:p>
        </w:tc>
        <w:tc>
          <w:tcPr>
            <w:tcW w:type="dxa" w:w="1461"/>
            <w:vAlign w:val="center"/>
            <w:shd w:fill="EAF2F8"/>
          </w:tcPr>
          <w:p>
            <w:r/>
            <w:r>
              <w:rPr>
                <w:b/>
                <w:sz w:val="18"/>
              </w:rPr>
              <w:t>54 unique</w:t>
            </w:r>
          </w:p>
        </w:tc>
        <w:tc>
          <w:tcPr>
            <w:tcW w:type="dxa" w:w="1461"/>
            <w:vAlign w:val="center"/>
            <w:shd w:fill="EAF2F8"/>
          </w:tcPr>
          <w:p>
            <w:r/>
            <w:r>
              <w:rPr>
                <w:b/>
                <w:sz w:val="18"/>
              </w:rPr>
              <w:t>90</w:t>
            </w:r>
          </w:p>
        </w:tc>
        <w:tc>
          <w:tcPr>
            <w:tcW w:type="dxa" w:w="1461"/>
            <w:vAlign w:val="center"/>
            <w:shd w:fill="EAF2F8"/>
          </w:tcPr>
          <w:p>
            <w:r/>
            <w:r>
              <w:rPr>
                <w:b/>
                <w:sz w:val="18"/>
              </w:rPr>
              <w:t>89</w:t>
            </w:r>
          </w:p>
        </w:tc>
        <w:tc>
          <w:tcPr>
            <w:tcW w:type="dxa" w:w="1461"/>
            <w:vAlign w:val="center"/>
            <w:shd w:fill="EAF2F8"/>
          </w:tcPr>
          <w:p>
            <w:r/>
            <w:r>
              <w:rPr>
                <w:b/>
                <w:sz w:val="18"/>
              </w:rPr>
              <w:t>1</w:t>
            </w:r>
          </w:p>
        </w:tc>
        <w:tc>
          <w:tcPr>
            <w:tcW w:type="dxa" w:w="1461"/>
            <w:vAlign w:val="center"/>
            <w:shd w:fill="EAF2F8"/>
          </w:tcPr>
          <w:p>
            <w:r/>
            <w:r>
              <w:rPr>
                <w:b/>
                <w:sz w:val="18"/>
              </w:rPr>
              <w:t>98.89%</w:t>
            </w:r>
          </w:p>
        </w:tc>
        <w:tc>
          <w:tcPr>
            <w:tcW w:type="dxa" w:w="1461"/>
            <w:vAlign w:val="center"/>
            <w:shd w:fill="EAF2F8"/>
          </w:tcPr>
          <w:p>
            <w:r/>
            <w:r>
              <w:rPr>
                <w:b/>
                <w:sz w:val="18"/>
              </w:rPr>
              <w:t>2 open</w:t>
            </w:r>
          </w:p>
        </w:tc>
      </w:tr>
    </w:tbl>
    <w:p>
      <w:r>
        <w:rPr>
          <w:b/>
        </w:rPr>
        <w:t xml:space="preserve">Traceability note: </w:t>
      </w:r>
      <w:r>
        <w:t>The current Master RTM contains 90 detailed test-case records representing 54 unique functional requirements across the three active modules. The Login baseline represents 5 requirement IDs across 10 test cases.</w:t>
      </w:r>
    </w:p>
    <w:p>
      <w:pPr>
        <w:pStyle w:val="Heading1"/>
      </w:pPr>
      <w:r>
        <w:t>4. Login / Authentication Results</w:t>
      </w:r>
    </w:p>
    <w:p>
      <w:r>
        <w:t>The current Login Detailed Test Cases contain 10 executed test cases. All 10 are recorded as Pass, giving a 100% pass rate and 0 confirmed functional defects within the reviewed execution evidence. Coverage includes login page accessibility, valid credentials, invalid credentials, blank credentials, password masking and logout.</w:t>
      </w:r>
    </w:p>
    <w:p>
      <w:pPr>
        <w:pStyle w:val="Heading1"/>
      </w:pPr>
      <w:r>
        <w:t>5. Accounts Results</w:t>
      </w:r>
    </w:p>
    <w:p>
      <w:r>
        <w:t>Accounts contains 36 detailed test cases mapped to 17 functional requirements. All 36 test cases are recorded as Pass in the current manual baseline. One confirmed/open Accounts defect remains documented: BUG-ACC-001, where the Audit Log displays “Locked” after an Account is unlocked.</w:t>
      </w:r>
    </w:p>
    <w:p>
      <w:pPr>
        <w:pStyle w:val="Heading1"/>
      </w:pPr>
      <w:r>
        <w:t>6. Contacts Results</w:t>
      </w:r>
    </w:p>
    <w:p>
      <w:r>
        <w:t>Contacts contains 44 detailed test cases mapped to 32 functional requirements. Execution resulted in 43 passes and 1 failure, producing a 97.73% pass rate. The failed Starred Email behavior is documented as BUG-CON-001: the Starred Email selection is not visibly retained after saving and reopening a Contact.</w:t>
      </w:r>
    </w:p>
    <w:p>
      <w:pPr>
        <w:pStyle w:val="Heading1"/>
      </w:pPr>
      <w:r>
        <w:t>7. Defect Summary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78"/>
          </w:tcPr>
          <w:p>
            <w:r/>
            <w:r>
              <w:rPr>
                <w:b/>
                <w:sz w:val="18"/>
              </w:rPr>
              <w:t>Bug ID</w:t>
            </w:r>
          </w:p>
        </w:tc>
        <w:tc>
          <w:tcPr>
            <w:tcW w:type="dxa" w:w="2556"/>
            <w:vAlign w:val="center"/>
            <w:shd w:fill="1F4E78"/>
          </w:tcPr>
          <w:p>
            <w:r/>
            <w:r>
              <w:rPr>
                <w:b/>
                <w:sz w:val="18"/>
              </w:rPr>
              <w:t>Module</w:t>
            </w:r>
          </w:p>
        </w:tc>
        <w:tc>
          <w:tcPr>
            <w:tcW w:type="dxa" w:w="2556"/>
            <w:vAlign w:val="center"/>
            <w:shd w:fill="1F4E78"/>
          </w:tcPr>
          <w:p>
            <w:r/>
            <w:r>
              <w:rPr>
                <w:b/>
                <w:sz w:val="18"/>
              </w:rPr>
              <w:t>Status</w:t>
            </w:r>
          </w:p>
        </w:tc>
        <w:tc>
          <w:tcPr>
            <w:tcW w:type="dxa" w:w="2556"/>
            <w:vAlign w:val="center"/>
            <w:shd w:fill="1F4E78"/>
          </w:tcPr>
          <w:p>
            <w:r/>
            <w:r>
              <w:rPr>
                <w:b/>
                <w:sz w:val="18"/>
              </w:rPr>
              <w:t>Summary</w:t>
            </w:r>
          </w:p>
        </w:tc>
      </w:tr>
      <w:tr>
        <w:tc>
          <w:tcPr>
            <w:tcW w:type="dxa" w:w="2556"/>
            <w:vAlign w:val="center"/>
          </w:tcPr>
          <w:p>
            <w:r/>
            <w:r>
              <w:rPr>
                <w:b w:val="0"/>
                <w:sz w:val="18"/>
              </w:rPr>
              <w:t>BUG-ACC-001</w:t>
            </w:r>
          </w:p>
        </w:tc>
        <w:tc>
          <w:tcPr>
            <w:tcW w:type="dxa" w:w="2556"/>
            <w:vAlign w:val="center"/>
          </w:tcPr>
          <w:p>
            <w:r/>
            <w:r>
              <w:rPr>
                <w:b w:val="0"/>
                <w:sz w:val="18"/>
              </w:rPr>
              <w:t>Accounts</w:t>
            </w:r>
          </w:p>
        </w:tc>
        <w:tc>
          <w:tcPr>
            <w:tcW w:type="dxa" w:w="2556"/>
            <w:vAlign w:val="center"/>
          </w:tcPr>
          <w:p>
            <w:r/>
            <w:r>
              <w:rPr>
                <w:b w:val="0"/>
                <w:sz w:val="18"/>
              </w:rPr>
              <w:t>Open</w:t>
            </w:r>
          </w:p>
        </w:tc>
        <w:tc>
          <w:tcPr>
            <w:tcW w:type="dxa" w:w="2556"/>
            <w:vAlign w:val="center"/>
          </w:tcPr>
          <w:p>
            <w:r/>
            <w:r>
              <w:rPr>
                <w:b w:val="0"/>
                <w:sz w:val="18"/>
              </w:rPr>
              <w:t>Audit Log displays “Locked” after Account is unlocked.</w:t>
            </w:r>
          </w:p>
        </w:tc>
      </w:tr>
      <w:tr>
        <w:tc>
          <w:tcPr>
            <w:tcW w:type="dxa" w:w="2556"/>
            <w:vAlign w:val="center"/>
          </w:tcPr>
          <w:p>
            <w:r/>
            <w:r>
              <w:rPr>
                <w:b w:val="0"/>
                <w:sz w:val="18"/>
              </w:rPr>
              <w:t>BUG-CON-001</w:t>
            </w:r>
          </w:p>
        </w:tc>
        <w:tc>
          <w:tcPr>
            <w:tcW w:type="dxa" w:w="2556"/>
            <w:vAlign w:val="center"/>
          </w:tcPr>
          <w:p>
            <w:r/>
            <w:r>
              <w:rPr>
                <w:b w:val="0"/>
                <w:sz w:val="18"/>
              </w:rPr>
              <w:t>Contacts</w:t>
            </w:r>
          </w:p>
        </w:tc>
        <w:tc>
          <w:tcPr>
            <w:tcW w:type="dxa" w:w="2556"/>
            <w:vAlign w:val="center"/>
          </w:tcPr>
          <w:p>
            <w:r/>
            <w:r>
              <w:rPr>
                <w:b w:val="0"/>
                <w:sz w:val="18"/>
              </w:rPr>
              <w:t>Open</w:t>
            </w:r>
          </w:p>
        </w:tc>
        <w:tc>
          <w:tcPr>
            <w:tcW w:type="dxa" w:w="2556"/>
            <w:vAlign w:val="center"/>
          </w:tcPr>
          <w:p>
            <w:r/>
            <w:r>
              <w:rPr>
                <w:b w:val="0"/>
                <w:sz w:val="18"/>
              </w:rPr>
              <w:t>Starred Email selection is not visibly retained after saving and reopening a Contact.</w:t>
            </w:r>
          </w:p>
        </w:tc>
      </w:tr>
    </w:tbl>
    <w:p>
      <w:pPr>
        <w:pStyle w:val="Heading1"/>
      </w:pPr>
      <w:r>
        <w:t>8. Test Data / Environment Observations</w:t>
      </w:r>
    </w:p>
    <w:p>
      <w:pPr>
        <w:pStyle w:val="ListBullet"/>
      </w:pPr>
      <w:r>
        <w:t>Testing was performed in the configured local EspoCRM environment using controlled non-production data.</w:t>
      </w:r>
    </w:p>
    <w:p>
      <w:pPr>
        <w:pStyle w:val="ListBullet"/>
      </w:pPr>
      <w:r>
        <w:t>Available fields, relationships and workflow behavior depend on the configured EspoCRM environment and user permissions.</w:t>
      </w:r>
    </w:p>
    <w:p>
      <w:pPr>
        <w:pStyle w:val="ListBullet"/>
      </w:pPr>
      <w:r>
        <w:t>No additional functional defects are recorded for Login within the reviewed execution evidence.</w:t>
      </w:r>
    </w:p>
    <w:p>
      <w:pPr>
        <w:pStyle w:val="ListBullet"/>
      </w:pPr>
      <w:r>
        <w:t>The current summary excludes the historical Leads and Opportunities observations because those modules are no longer part of the active project baseline.</w:t>
      </w:r>
    </w:p>
    <w:p>
      <w:pPr>
        <w:pStyle w:val="Heading1"/>
      </w:pPr>
      <w:r>
        <w:t>9. Traceability Status</w:t>
      </w:r>
    </w:p>
    <w:p>
      <w:r>
        <w:t>The current documentation set maintains requirement-to-scenario-to-test-case traceability for the active scope. The Master RTM is the consolidated traceability artifact linking FR, TS and TC identifiers with execution results and defect references. The current baseline is 54 functional requirements, 90 detailed test cases, 89 Pass and 1 Fail.</w:t>
      </w:r>
    </w:p>
    <w:p>
      <w:pPr>
        <w:pStyle w:val="Heading1"/>
      </w:pPr>
      <w:r>
        <w:t>10. Overall Manual Testing Conclusion</w:t>
      </w:r>
    </w:p>
    <w:p>
      <w:r>
        <w:t>Manual functional testing is completed for the active Login, Accounts and Contacts scope. Login and Accounts have no failed test cases in the current baseline. Contacts has one failed test case associated with BUG-CON-001. Two confirmed/open defects remain traceable through the QA defect and traceability artifacts: BUG-ACC-001 and BUG-CON-001.</w:t>
      </w:r>
    </w:p>
    <w:p>
      <w:pPr>
        <w:pStyle w:val="Heading1"/>
      </w:pPr>
      <w:r>
        <w:t>11. Submission Status</w:t>
      </w:r>
    </w:p>
    <w:p>
      <w:r>
        <w:rPr>
          <w:b/>
        </w:rPr>
        <w:t>MANUAL TESTING: READY FOR SUBMISSION</w:t>
      </w:r>
      <w:r>
        <w:br/>
        <w:t>The revised SRS, Test Plan, Test Scenarios, combined Detailed Test Cases, corrected Master RTM and defect documentation form the current manual-testing documentation baseline. This summary should be stored under the project Test Reports folder after the final Git review.</w:t>
      </w:r>
    </w:p>
    <w:p>
      <w:pPr>
        <w:pStyle w:val="Heading1"/>
      </w:pPr>
      <w:r>
        <w:t>12. GitHub Repository</w:t>
      </w:r>
    </w:p>
    <w:p>
      <w:r>
        <w:t>https://github.com/mohamedabubakarsiddiq/QA-Final-Project-EspoCRM</w:t>
      </w:r>
    </w:p>
    <w:p>
      <w:pPr>
        <w:jc w:val="center"/>
      </w:pPr>
      <w:r>
        <w:rPr>
          <w:i/>
          <w:sz w:val="18"/>
        </w:rPr>
        <w:t>END OF MANUAL TESTING FINAL SUBMISSION SUMMARY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EspoCRM QA Automation Project | Manual Testing Final Summary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