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Velaris</w:t>
      </w:r>
    </w:p>
    <w:p>
      <w:pPr>
        <w:spacing w:after="120"/>
        <w:jc w:val="center"/>
      </w:pPr>
      <w:r>
        <w:rPr>
          <w:color w:val="2c5282"/>
          <w:sz w:val="36"/>
          <w:szCs w:val="36"/>
        </w:rPr>
        <w:t xml:space="preserve">AI Visibility Platform</w:t>
      </w:r>
    </w:p>
    <w:p>
      <w:pPr>
        <w:spacing w:after="400"/>
        <w:jc w:val="center"/>
      </w:pPr>
      <w:r>
        <w:rPr>
          <w:sz w:val="28"/>
          <w:szCs w:val="28"/>
        </w:rPr>
        <w:t xml:space="preserve">MVP Document</w:t>
      </w:r>
    </w:p>
    <w:p>
      <w:pPr>
        <w:spacing w:after="80"/>
        <w:jc w:val="center"/>
      </w:pPr>
      <w:r>
        <w:rPr>
          <w:color w:val="666666"/>
          <w:sz w:val="22"/>
          <w:szCs w:val="22"/>
        </w:rPr>
        <w:t xml:space="preserve">Version 1.0 | January 5, 2025</w:t>
      </w:r>
    </w:p>
    <w:p>
      <w:pPr>
        <w:jc w:val="center"/>
      </w:pPr>
      <w:r>
        <w:rPr>
          <w:color w:val="666666"/>
          <w:sz w:val="22"/>
          <w:szCs w:val="22"/>
        </w:rPr>
        <w:t xml:space="preserve">Status: MVP Complete, Production Readiness In Progress</w:t>
      </w:r>
    </w:p>
    <w:p>
      <w:r>
        <w:br w:type="page"/>
      </w:r>
    </w:p>
    <w:p>
      <w:pPr>
        <w:pStyle w:val="Heading1"/>
      </w:pPr>
      <w:r>
        <w:t xml:space="preserve">1. Executive Summary</w:t>
      </w:r>
    </w:p>
    <w:p>
      <w:pPr>
        <w:pStyle w:val="Heading2"/>
      </w:pPr>
      <w:r>
        <w:t xml:space="preserve">What is Velaris?</w:t>
      </w:r>
    </w:p>
    <w:p>
      <w:pPr>
        <w:spacing w:after="200"/>
      </w:pPr>
      <w:r>
        <w:t xml:space="preserve">Velaris is an AI Visibility Analysis Platform that helps brands understand how they appear in AI-powered search and recommendation systems. As 70% of searches now end without a click (zero-click searches) and AI assistants increasingly influence purchase decisions, traditional SEO is no longer sufficient.</w:t>
      </w:r>
    </w:p>
    <w:p>
      <w:pPr>
        <w:pStyle w:val="Heading2"/>
      </w:pPr>
      <w:r>
        <w:t xml:space="preserve">The Problem We Solve</w:t>
      </w:r>
    </w:p>
    <w:p>
      <w:pPr>
        <w:spacing w:after="120"/>
      </w:pPr>
      <w:r>
        <w:t xml:space="preserve">When customers ask ChatGPT, Perplexity, or Gemini questions like:</w:t>
      </w:r>
    </w:p>
    <w:p>
      <w:pPr>
        <w:pStyle w:val="ListParagraph"/>
        <w:numPr>
          <w:ilvl w:val="0"/>
          <w:numId w:val="2"/>
        </w:numPr>
      </w:pPr>
      <w:r>
        <w:t xml:space="preserve">"What's the best CRM for small businesses?"</w:t>
      </w:r>
    </w:p>
    <w:p>
      <w:pPr>
        <w:pStyle w:val="ListParagraph"/>
        <w:numPr>
          <w:ilvl w:val="0"/>
          <w:numId w:val="2"/>
        </w:numPr>
      </w:pPr>
      <w:r>
        <w:t xml:space="preserve">"Which skincare brand is best for sensitive skin?"</w:t>
      </w:r>
    </w:p>
    <w:p>
      <w:pPr>
        <w:pStyle w:val="ListParagraph"/>
        <w:numPr>
          <w:ilvl w:val="0"/>
          <w:numId w:val="2"/>
        </w:numPr>
        <w:spacing w:after="200"/>
      </w:pPr>
      <w:r>
        <w:t xml:space="preserve">"What project management tool should I use?"</w:t>
      </w:r>
    </w:p>
    <w:p>
      <w:pPr>
        <w:spacing w:after="200"/>
      </w:pPr>
      <w:r>
        <w:rPr>
          <w:b/>
          <w:bCs/>
        </w:rPr>
        <w:t xml:space="preserve">Your brand should come up. But does it?</w:t>
      </w:r>
      <w:r>
        <w:t xml:space="preserve"> Most companies have no visibility into how AI platforms represent them, recommend competitors, or even spread misinformation about their products.</w:t>
      </w:r>
    </w:p>
    <w:p>
      <w:pPr>
        <w:pStyle w:val="Heading2"/>
      </w:pPr>
      <w:r>
        <w:t xml:space="preserve">The Solution</w:t>
      </w:r>
    </w:p>
    <w:p>
      <w:pPr>
        <w:spacing w:after="200"/>
      </w:pPr>
      <w:r>
        <w:t xml:space="preserve">Velaris queries real AI platforms with questions your customers ask, analyzes whether you're mentioned, where you rank vs. competitors, what AI says about your brand (sentiment, accuracy), and at which buying stage you're visible. Then provides actionable recommendations to improve your AI visibility.</w:t>
      </w:r>
    </w:p>
    <w:p>
      <w:r>
        <w:br w:type="page"/>
      </w:r>
    </w:p>
    <w:p>
      <w:pPr>
        <w:pStyle w:val="Heading1"/>
      </w:pPr>
      <w:r>
        <w:t xml:space="preserve">2. Current MVP State</w:t>
      </w:r>
    </w:p>
    <w:p>
      <w:pPr>
        <w:pStyle w:val="Heading2"/>
      </w:pPr>
      <w:r>
        <w:t xml:space="preserve">What's Built (Production Ready)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rPr>
          <w:tblHeader/>
        </w:trPr>
        <w:tc>
          <w:tcPr>
            <w:tcW w:type="dxa" w:w="3500"/>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W w:type="dxa" w:w="1500"/>
            <w:tcBorders>
              <w:top w:val="single" w:color="CCCCCC" w:sz="1"/>
              <w:left w:val="single" w:color="CCCCCC" w:sz="1"/>
              <w:bottom w:val="single" w:color="CCCCCC" w:sz="1"/>
              <w:right w:val="single" w:color="CCCCCC" w:sz="1"/>
            </w:tcBorders>
            <w:shd w:fill="1a365d" w:val="clear"/>
          </w:tcPr>
          <w:p>
            <w:r>
              <w:rPr>
                <w:b/>
                <w:bCs/>
                <w:color w:val="FFFFFF"/>
              </w:rPr>
              <w:t xml:space="preserve">Status</w:t>
            </w:r>
          </w:p>
        </w:tc>
        <w:tc>
          <w:tcPr>
            <w:tcW w:type="dxa" w:w="4000"/>
            <w:tcBorders>
              <w:top w:val="single" w:color="CCCCCC" w:sz="1"/>
              <w:left w:val="single" w:color="CCCCCC" w:sz="1"/>
              <w:bottom w:val="single" w:color="CCCCCC" w:sz="1"/>
              <w:right w:val="single" w:color="CCCCCC" w:sz="1"/>
            </w:tcBorders>
            <w:shd w:fill="1a365d" w:val="cle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tcPr>
          <w:p>
            <w:r>
              <w:t xml:space="preserve">AI Visibility Analysis</w:t>
            </w:r>
          </w:p>
        </w:tc>
        <w:tc>
          <w:tcPr>
            <w:tcW w:type="dxa" w:w="1500"/>
            <w:tcBorders>
              <w:top w:val="single" w:color="CCCCCC" w:sz="1"/>
              <w:left w:val="single" w:color="CCCCCC" w:sz="1"/>
              <w:bottom w:val="single" w:color="CCCCCC" w:sz="1"/>
              <w:right w:val="single" w:color="CCCCCC" w:sz="1"/>
            </w:tcBorders>
          </w:tcPr>
          <w:p>
            <w:r>
              <w:rPr>
                <w:color w:val="22543d"/>
              </w:rPr>
              <w:t xml:space="preserve">✅ Complete</w:t>
            </w:r>
          </w:p>
        </w:tc>
        <w:tc>
          <w:tcPr>
            <w:tcW w:type="dxa" w:w="4000"/>
            <w:tcBorders>
              <w:top w:val="single" w:color="CCCCCC" w:sz="1"/>
              <w:left w:val="single" w:color="CCCCCC" w:sz="1"/>
              <w:bottom w:val="single" w:color="CCCCCC" w:sz="1"/>
              <w:right w:val="single" w:color="CCCCCC" w:sz="1"/>
            </w:tcBorders>
          </w:tcPr>
          <w:p>
            <w:r>
              <w:t xml:space="preserve">Real API integration with 3 platforms</w:t>
            </w:r>
          </w:p>
        </w:tc>
      </w:tr>
      <w:tr>
        <w:tc>
          <w:tcPr>
            <w:tcW w:type="dxa" w:w="3500"/>
            <w:tcBorders>
              <w:top w:val="single" w:color="CCCCCC" w:sz="1"/>
              <w:left w:val="single" w:color="CCCCCC" w:sz="1"/>
              <w:bottom w:val="single" w:color="CCCCCC" w:sz="1"/>
              <w:right w:val="single" w:color="CCCCCC" w:sz="1"/>
            </w:tcBorders>
          </w:tcPr>
          <w:p>
            <w:r>
              <w:t xml:space="preserve">Brand Positioning Check</w:t>
            </w:r>
          </w:p>
        </w:tc>
        <w:tc>
          <w:tcPr>
            <w:tcW w:type="dxa" w:w="1500"/>
            <w:tcBorders>
              <w:top w:val="single" w:color="CCCCCC" w:sz="1"/>
              <w:left w:val="single" w:color="CCCCCC" w:sz="1"/>
              <w:bottom w:val="single" w:color="CCCCCC" w:sz="1"/>
              <w:right w:val="single" w:color="CCCCCC" w:sz="1"/>
            </w:tcBorders>
          </w:tcPr>
          <w:p>
            <w:r>
              <w:rPr>
                <w:color w:val="22543d"/>
              </w:rPr>
              <w:t xml:space="preserve">✅ Complete</w:t>
            </w:r>
          </w:p>
        </w:tc>
        <w:tc>
          <w:tcPr>
            <w:tcW w:type="dxa" w:w="4000"/>
            <w:tcBorders>
              <w:top w:val="single" w:color="CCCCCC" w:sz="1"/>
              <w:left w:val="single" w:color="CCCCCC" w:sz="1"/>
              <w:bottom w:val="single" w:color="CCCCCC" w:sz="1"/>
              <w:right w:val="single" w:color="CCCCCC" w:sz="1"/>
            </w:tcBorders>
          </w:tcPr>
          <w:p>
            <w:r>
              <w:t xml:space="preserve">AI perception vs intended positioning</w:t>
            </w:r>
          </w:p>
        </w:tc>
      </w:tr>
      <w:tr>
        <w:tc>
          <w:tcPr>
            <w:tcW w:type="dxa" w:w="3500"/>
            <w:tcBorders>
              <w:top w:val="single" w:color="CCCCCC" w:sz="1"/>
              <w:left w:val="single" w:color="CCCCCC" w:sz="1"/>
              <w:bottom w:val="single" w:color="CCCCCC" w:sz="1"/>
              <w:right w:val="single" w:color="CCCCCC" w:sz="1"/>
            </w:tcBorders>
          </w:tcPr>
          <w:p>
            <w:r>
              <w:t xml:space="preserve">Dashboard &amp; Results</w:t>
            </w:r>
          </w:p>
        </w:tc>
        <w:tc>
          <w:tcPr>
            <w:tcW w:type="dxa" w:w="1500"/>
            <w:tcBorders>
              <w:top w:val="single" w:color="CCCCCC" w:sz="1"/>
              <w:left w:val="single" w:color="CCCCCC" w:sz="1"/>
              <w:bottom w:val="single" w:color="CCCCCC" w:sz="1"/>
              <w:right w:val="single" w:color="CCCCCC" w:sz="1"/>
            </w:tcBorders>
          </w:tcPr>
          <w:p>
            <w:r>
              <w:rPr>
                <w:color w:val="22543d"/>
              </w:rPr>
              <w:t xml:space="preserve">✅ Complete</w:t>
            </w:r>
          </w:p>
        </w:tc>
        <w:tc>
          <w:tcPr>
            <w:tcW w:type="dxa" w:w="4000"/>
            <w:tcBorders>
              <w:top w:val="single" w:color="CCCCCC" w:sz="1"/>
              <w:left w:val="single" w:color="CCCCCC" w:sz="1"/>
              <w:bottom w:val="single" w:color="CCCCCC" w:sz="1"/>
              <w:right w:val="single" w:color="CCCCCC" w:sz="1"/>
            </w:tcBorders>
          </w:tcPr>
          <w:p>
            <w:r>
              <w:t xml:space="preserve">Full visibility analysis with leaderboard</w:t>
            </w:r>
          </w:p>
        </w:tc>
      </w:tr>
      <w:tr>
        <w:tc>
          <w:tcPr>
            <w:tcW w:type="dxa" w:w="3500"/>
            <w:tcBorders>
              <w:top w:val="single" w:color="CCCCCC" w:sz="1"/>
              <w:left w:val="single" w:color="CCCCCC" w:sz="1"/>
              <w:bottom w:val="single" w:color="CCCCCC" w:sz="1"/>
              <w:right w:val="single" w:color="CCCCCC" w:sz="1"/>
            </w:tcBorders>
          </w:tcPr>
          <w:p>
            <w:r>
              <w:t xml:space="preserve">Automation &amp; Alerts</w:t>
            </w:r>
          </w:p>
        </w:tc>
        <w:tc>
          <w:tcPr>
            <w:tcW w:type="dxa" w:w="1500"/>
            <w:tcBorders>
              <w:top w:val="single" w:color="CCCCCC" w:sz="1"/>
              <w:left w:val="single" w:color="CCCCCC" w:sz="1"/>
              <w:bottom w:val="single" w:color="CCCCCC" w:sz="1"/>
              <w:right w:val="single" w:color="CCCCCC" w:sz="1"/>
            </w:tcBorders>
          </w:tcPr>
          <w:p>
            <w:r>
              <w:rPr>
                <w:color w:val="22543d"/>
              </w:rPr>
              <w:t xml:space="preserve">✅ Complete</w:t>
            </w:r>
          </w:p>
        </w:tc>
        <w:tc>
          <w:tcPr>
            <w:tcW w:type="dxa" w:w="4000"/>
            <w:tcBorders>
              <w:top w:val="single" w:color="CCCCCC" w:sz="1"/>
              <w:left w:val="single" w:color="CCCCCC" w:sz="1"/>
              <w:bottom w:val="single" w:color="CCCCCC" w:sz="1"/>
              <w:right w:val="single" w:color="CCCCCC" w:sz="1"/>
            </w:tcBorders>
          </w:tcPr>
          <w:p>
            <w:r>
              <w:t xml:space="preserve">9 alert types, email notifications</w:t>
            </w:r>
          </w:p>
        </w:tc>
      </w:tr>
      <w:tr>
        <w:tc>
          <w:tcPr>
            <w:tcW w:type="dxa" w:w="3500"/>
            <w:tcBorders>
              <w:top w:val="single" w:color="CCCCCC" w:sz="1"/>
              <w:left w:val="single" w:color="CCCCCC" w:sz="1"/>
              <w:bottom w:val="single" w:color="CCCCCC" w:sz="1"/>
              <w:right w:val="single" w:color="CCCCCC" w:sz="1"/>
            </w:tcBorders>
          </w:tcPr>
          <w:p>
            <w:r>
              <w:t xml:space="preserve">Export System</w:t>
            </w:r>
          </w:p>
        </w:tc>
        <w:tc>
          <w:tcPr>
            <w:tcW w:type="dxa" w:w="1500"/>
            <w:tcBorders>
              <w:top w:val="single" w:color="CCCCCC" w:sz="1"/>
              <w:left w:val="single" w:color="CCCCCC" w:sz="1"/>
              <w:bottom w:val="single" w:color="CCCCCC" w:sz="1"/>
              <w:right w:val="single" w:color="CCCCCC" w:sz="1"/>
            </w:tcBorders>
          </w:tcPr>
          <w:p>
            <w:r>
              <w:rPr>
                <w:color w:val="22543d"/>
              </w:rPr>
              <w:t xml:space="preserve">✅ Complete</w:t>
            </w:r>
          </w:p>
        </w:tc>
        <w:tc>
          <w:tcPr>
            <w:tcW w:type="dxa" w:w="4000"/>
            <w:tcBorders>
              <w:top w:val="single" w:color="CCCCCC" w:sz="1"/>
              <w:left w:val="single" w:color="CCCCCC" w:sz="1"/>
              <w:bottom w:val="single" w:color="CCCCCC" w:sz="1"/>
              <w:right w:val="single" w:color="CCCCCC" w:sz="1"/>
            </w:tcBorders>
          </w:tcPr>
          <w:p>
            <w:r>
              <w:t xml:space="preserve">PDF, CSV, Excel, JSON</w:t>
            </w:r>
          </w:p>
        </w:tc>
      </w:tr>
      <w:tr>
        <w:tc>
          <w:tcPr>
            <w:tcW w:type="dxa" w:w="3500"/>
            <w:tcBorders>
              <w:top w:val="single" w:color="CCCCCC" w:sz="1"/>
              <w:left w:val="single" w:color="CCCCCC" w:sz="1"/>
              <w:bottom w:val="single" w:color="CCCCCC" w:sz="1"/>
              <w:right w:val="single" w:color="CCCCCC" w:sz="1"/>
            </w:tcBorders>
          </w:tcPr>
          <w:p>
            <w:r>
              <w:t xml:space="preserve">User Authentication</w:t>
            </w:r>
          </w:p>
        </w:tc>
        <w:tc>
          <w:tcPr>
            <w:tcW w:type="dxa" w:w="1500"/>
            <w:tcBorders>
              <w:top w:val="single" w:color="CCCCCC" w:sz="1"/>
              <w:left w:val="single" w:color="CCCCCC" w:sz="1"/>
              <w:bottom w:val="single" w:color="CCCCCC" w:sz="1"/>
              <w:right w:val="single" w:color="CCCCCC" w:sz="1"/>
            </w:tcBorders>
          </w:tcPr>
          <w:p>
            <w:r>
              <w:rPr>
                <w:color w:val="c05621"/>
              </w:rPr>
              <w:t xml:space="preserve">⚠️ Partial</w:t>
            </w:r>
          </w:p>
        </w:tc>
        <w:tc>
          <w:tcPr>
            <w:tcW w:type="dxa" w:w="4000"/>
            <w:tcBorders>
              <w:top w:val="single" w:color="CCCCCC" w:sz="1"/>
              <w:left w:val="single" w:color="CCCCCC" w:sz="1"/>
              <w:bottom w:val="single" w:color="CCCCCC" w:sz="1"/>
              <w:right w:val="single" w:color="CCCCCC" w:sz="1"/>
            </w:tcBorders>
          </w:tcPr>
          <w:p>
            <w:r>
              <w:t xml:space="preserve">Basic login/register, needs Stripe</w:t>
            </w:r>
          </w:p>
        </w:tc>
      </w:tr>
      <w:tr>
        <w:tc>
          <w:tcPr>
            <w:tcW w:type="dxa" w:w="3500"/>
            <w:tcBorders>
              <w:top w:val="single" w:color="CCCCCC" w:sz="1"/>
              <w:left w:val="single" w:color="CCCCCC" w:sz="1"/>
              <w:bottom w:val="single" w:color="CCCCCC" w:sz="1"/>
              <w:right w:val="single" w:color="CCCCCC" w:sz="1"/>
            </w:tcBorders>
          </w:tcPr>
          <w:p>
            <w:r>
              <w:t xml:space="preserve">Payment/Subscriptions</w:t>
            </w:r>
          </w:p>
        </w:tc>
        <w:tc>
          <w:tcPr>
            <w:tcW w:type="dxa" w:w="1500"/>
            <w:tcBorders>
              <w:top w:val="single" w:color="CCCCCC" w:sz="1"/>
              <w:left w:val="single" w:color="CCCCCC" w:sz="1"/>
              <w:bottom w:val="single" w:color="CCCCCC" w:sz="1"/>
              <w:right w:val="single" w:color="CCCCCC" w:sz="1"/>
            </w:tcBorders>
          </w:tcPr>
          <w:p>
            <w:r>
              <w:rPr>
                <w:color w:val="c53030"/>
              </w:rPr>
              <w:t xml:space="preserve">❌ Not Built</w:t>
            </w:r>
          </w:p>
        </w:tc>
        <w:tc>
          <w:tcPr>
            <w:tcW w:type="dxa" w:w="4000"/>
            <w:tcBorders>
              <w:top w:val="single" w:color="CCCCCC" w:sz="1"/>
              <w:left w:val="single" w:color="CCCCCC" w:sz="1"/>
              <w:bottom w:val="single" w:color="CCCCCC" w:sz="1"/>
              <w:right w:val="single" w:color="CCCCCC" w:sz="1"/>
            </w:tcBorders>
          </w:tcPr>
          <w:p>
            <w:r>
              <w:t xml:space="preserve">Stripe integration required</w:t>
            </w:r>
          </w:p>
        </w:tc>
      </w:tr>
    </w:tbl>
    <w:p>
      <w:pPr>
        <w:pStyle w:val="Heading2"/>
        <w:spacing w:before="300"/>
      </w:pPr>
      <w:r>
        <w:t xml:space="preserve">What's NOT Built (Required for Launch)</w:t>
      </w:r>
    </w:p>
    <w:p>
      <w:pPr>
        <w:pStyle w:val="ListParagraph"/>
        <w:numPr>
          <w:ilvl w:val="0"/>
          <w:numId w:val="3"/>
        </w:numPr>
      </w:pPr>
      <w:r>
        <w:rPr>
          <w:b/>
          <w:bCs/>
        </w:rPr>
        <w:t xml:space="preserve">Stripe Payment Integration</w:t>
      </w:r>
      <w:r>
        <w:t xml:space="preserve"> - No way to collect payments</w:t>
      </w:r>
    </w:p>
    <w:p>
      <w:pPr>
        <w:pStyle w:val="ListParagraph"/>
        <w:numPr>
          <w:ilvl w:val="0"/>
          <w:numId w:val="3"/>
        </w:numPr>
      </w:pPr>
      <w:r>
        <w:rPr>
          <w:b/>
          <w:bCs/>
        </w:rPr>
        <w:t xml:space="preserve">Backend Tier Enforcement</w:t>
      </w:r>
      <w:r>
        <w:t xml:space="preserve"> - Limits are frontend-only</w:t>
      </w:r>
    </w:p>
    <w:p>
      <w:pPr>
        <w:pStyle w:val="ListParagraph"/>
        <w:numPr>
          <w:ilvl w:val="0"/>
          <w:numId w:val="3"/>
        </w:numPr>
      </w:pPr>
      <w:r>
        <w:rPr>
          <w:b/>
          <w:bCs/>
        </w:rPr>
        <w:t xml:space="preserve">Usage Tracking</w:t>
      </w:r>
      <w:r>
        <w:t xml:space="preserve"> - Can't count analyses per month</w:t>
      </w:r>
    </w:p>
    <w:p>
      <w:pPr>
        <w:pStyle w:val="ListParagraph"/>
        <w:numPr>
          <w:ilvl w:val="0"/>
          <w:numId w:val="3"/>
        </w:numPr>
      </w:pPr>
      <w:r>
        <w:rPr>
          <w:b/>
          <w:bCs/>
        </w:rPr>
        <w:t xml:space="preserve">Email Verification</w:t>
      </w:r>
      <w:r>
        <w:t xml:space="preserve"> - Registration doesn't verify emails</w:t>
      </w:r>
    </w:p>
    <w:p>
      <w:pPr>
        <w:pStyle w:val="ListParagraph"/>
        <w:numPr>
          <w:ilvl w:val="0"/>
          <w:numId w:val="3"/>
        </w:numPr>
      </w:pPr>
      <w:r>
        <w:rPr>
          <w:b/>
          <w:bCs/>
        </w:rPr>
        <w:t xml:space="preserve">Password Reset</w:t>
      </w:r>
      <w:r>
        <w:t xml:space="preserve"> - No forgot password flow</w:t>
      </w:r>
    </w:p>
    <w:p>
      <w:r>
        <w:br w:type="page"/>
      </w:r>
    </w:p>
    <w:p>
      <w:pPr>
        <w:pStyle w:val="Heading1"/>
      </w:pPr>
      <w:r>
        <w:t xml:space="preserve">3. Pricing Strategy</w:t>
      </w:r>
    </w:p>
    <w:p>
      <w:pPr>
        <w:pStyle w:val="Heading2"/>
      </w:pPr>
      <w:r>
        <w:t xml:space="preserve">Market Research Summary</w:t>
      </w:r>
    </w:p>
    <w:p>
      <w:pPr>
        <w:spacing w:after="200"/>
      </w:pPr>
      <w:r>
        <w:t xml:space="preserve">Competitor pricing ranges from $25-499/month with a market average of approximately $337/month for mid-tier plans. Major competitors include Otterly.ai, Peec.ai, Profound, Rankability, and AthenaHQ.</w:t>
      </w:r>
    </w:p>
    <w:p>
      <w:pPr>
        <w:pStyle w:val="Heading2"/>
      </w:pPr>
      <w:r>
        <w:t xml:space="preserve">Velaris Pricing (Below Market)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00"/>
      </w:tblGrid>
      <w:tr>
        <w:trPr>
          <w:tblHeader/>
        </w:trPr>
        <w:tc>
          <w:tcPr>
            <w:tcW w:type="dxa" w:w="2500"/>
            <w:tcBorders>
              <w:top w:val="single" w:color="CCCCCC" w:sz="1"/>
              <w:left w:val="single" w:color="CCCCCC" w:sz="1"/>
              <w:bottom w:val="single" w:color="CCCCCC" w:sz="1"/>
              <w:right w:val="single" w:color="CCCCCC" w:sz="1"/>
            </w:tcBorders>
            <w:shd w:fill="1a365d" w:val="clear"/>
          </w:tcPr>
          <w:p>
            <w:r>
              <w:rPr>
                <w:b/>
                <w:bCs/>
                <w:color w:val="FFFFFF"/>
              </w:rPr>
              <w:t xml:space="preserve">Tier</w:t>
            </w:r>
          </w:p>
        </w:tc>
        <w:tc>
          <w:tcPr>
            <w:tcW w:type="dxa" w:w="2000"/>
            <w:tcBorders>
              <w:top w:val="single" w:color="CCCCCC" w:sz="1"/>
              <w:left w:val="single" w:color="CCCCCC" w:sz="1"/>
              <w:bottom w:val="single" w:color="CCCCCC" w:sz="1"/>
              <w:right w:val="single" w:color="CCCCCC" w:sz="1"/>
            </w:tcBorders>
            <w:shd w:fill="1a365d" w:val="clear"/>
          </w:tcPr>
          <w:p>
            <w:r>
              <w:rPr>
                <w:b/>
                <w:bCs/>
                <w:color w:val="FFFFFF"/>
              </w:rPr>
              <w:t xml:space="preserve">Monthly</w:t>
            </w:r>
          </w:p>
        </w:tc>
        <w:tc>
          <w:tcPr>
            <w:tcW w:type="dxa" w:w="2000"/>
            <w:tcBorders>
              <w:top w:val="single" w:color="CCCCCC" w:sz="1"/>
              <w:left w:val="single" w:color="CCCCCC" w:sz="1"/>
              <w:bottom w:val="single" w:color="CCCCCC" w:sz="1"/>
              <w:right w:val="single" w:color="CCCCCC" w:sz="1"/>
            </w:tcBorders>
            <w:shd w:fill="1a365d" w:val="clear"/>
          </w:tcPr>
          <w:p>
            <w:r>
              <w:rPr>
                <w:b/>
                <w:bCs/>
                <w:color w:val="FFFFFF"/>
              </w:rPr>
              <w:t xml:space="preserve">Annual</w:t>
            </w:r>
          </w:p>
        </w:tc>
        <w:tc>
          <w:tcPr>
            <w:tcW w:type="dxa" w:w="3000"/>
            <w:tcBorders>
              <w:top w:val="single" w:color="CCCCCC" w:sz="1"/>
              <w:left w:val="single" w:color="CCCCCC" w:sz="1"/>
              <w:bottom w:val="single" w:color="CCCCCC" w:sz="1"/>
              <w:right w:val="single" w:color="CCCCCC" w:sz="1"/>
            </w:tcBorders>
            <w:shd w:fill="1a365d" w:val="clear"/>
          </w:tcPr>
          <w:p>
            <w:r>
              <w:rPr>
                <w:b/>
                <w:bCs/>
                <w:color w:val="FFFFFF"/>
              </w:rPr>
              <w:t xml:space="preserve">Target</w:t>
            </w:r>
          </w:p>
        </w:tc>
      </w:tr>
      <w:tr>
        <w:tc>
          <w:tcPr>
            <w:tcW w:type="dxa" w:w="2500"/>
            <w:tcBorders>
              <w:top w:val="single" w:color="CCCCCC" w:sz="1"/>
              <w:left w:val="single" w:color="CCCCCC" w:sz="1"/>
              <w:bottom w:val="single" w:color="CCCCCC" w:sz="1"/>
              <w:right w:val="single" w:color="CCCCCC" w:sz="1"/>
            </w:tcBorders>
          </w:tcPr>
          <w:p>
            <w:r>
              <w:rPr>
                <w:b/>
                <w:bCs/>
              </w:rPr>
              <w:t xml:space="preserve">Starter</w:t>
            </w:r>
          </w:p>
        </w:tc>
        <w:tc>
          <w:tcPr>
            <w:tcW w:type="dxa" w:w="2000"/>
            <w:tcBorders>
              <w:top w:val="single" w:color="CCCCCC" w:sz="1"/>
              <w:left w:val="single" w:color="CCCCCC" w:sz="1"/>
              <w:bottom w:val="single" w:color="CCCCCC" w:sz="1"/>
              <w:right w:val="single" w:color="CCCCCC" w:sz="1"/>
            </w:tcBorders>
          </w:tcPr>
          <w:p>
            <w:r>
              <w:t xml:space="preserve">$0/mo</w:t>
            </w:r>
          </w:p>
        </w:tc>
        <w:tc>
          <w:tcPr>
            <w:tcW w:type="dxa" w:w="2000"/>
            <w:tcBorders>
              <w:top w:val="single" w:color="CCCCCC" w:sz="1"/>
              <w:left w:val="single" w:color="CCCCCC" w:sz="1"/>
              <w:bottom w:val="single" w:color="CCCCCC" w:sz="1"/>
              <w:right w:val="single" w:color="CCCCCC" w:sz="1"/>
            </w:tcBorders>
          </w:tcPr>
          <w:p>
            <w:r>
              <w:t xml:space="preserve">Free</w:t>
            </w:r>
          </w:p>
        </w:tc>
        <w:tc>
          <w:tcPr>
            <w:tcW w:type="dxa" w:w="3000"/>
            <w:tcBorders>
              <w:top w:val="single" w:color="CCCCCC" w:sz="1"/>
              <w:left w:val="single" w:color="CCCCCC" w:sz="1"/>
              <w:bottom w:val="single" w:color="CCCCCC" w:sz="1"/>
              <w:right w:val="single" w:color="CCCCCC" w:sz="1"/>
            </w:tcBorders>
          </w:tcPr>
          <w:p>
            <w:r>
              <w:t xml:space="preserve">Try before buy</w:t>
            </w:r>
          </w:p>
        </w:tc>
      </w:tr>
      <w:tr>
        <w:tc>
          <w:tcPr>
            <w:tcW w:type="dxa" w:w="2500"/>
            <w:tcBorders>
              <w:top w:val="single" w:color="CCCCCC" w:sz="1"/>
              <w:left w:val="single" w:color="CCCCCC" w:sz="1"/>
              <w:bottom w:val="single" w:color="CCCCCC" w:sz="1"/>
              <w:right w:val="single" w:color="CCCCCC" w:sz="1"/>
            </w:tcBorders>
            <w:shd w:fill="ebf8ff" w:val="clear"/>
          </w:tcPr>
          <w:p>
            <w:r>
              <w:rPr>
                <w:b/>
                <w:bCs/>
                <w:color w:val="2c5282"/>
              </w:rPr>
              <w:t xml:space="preserve">Growth ⭐</w:t>
            </w:r>
          </w:p>
        </w:tc>
        <w:tc>
          <w:tcPr>
            <w:tcW w:type="dxa" w:w="2000"/>
            <w:tcBorders>
              <w:top w:val="single" w:color="CCCCCC" w:sz="1"/>
              <w:left w:val="single" w:color="CCCCCC" w:sz="1"/>
              <w:bottom w:val="single" w:color="CCCCCC" w:sz="1"/>
              <w:right w:val="single" w:color="CCCCCC" w:sz="1"/>
            </w:tcBorders>
            <w:shd w:fill="ebf8ff" w:val="clear"/>
          </w:tcPr>
          <w:p>
            <w:r>
              <w:rPr>
                <w:b/>
                <w:bCs/>
              </w:rPr>
              <w:t xml:space="preserve">$149/mo</w:t>
            </w:r>
          </w:p>
        </w:tc>
        <w:tc>
          <w:tcPr>
            <w:tcW w:type="dxa" w:w="2000"/>
            <w:tcBorders>
              <w:top w:val="single" w:color="CCCCCC" w:sz="1"/>
              <w:left w:val="single" w:color="CCCCCC" w:sz="1"/>
              <w:bottom w:val="single" w:color="CCCCCC" w:sz="1"/>
              <w:right w:val="single" w:color="CCCCCC" w:sz="1"/>
            </w:tcBorders>
            <w:shd w:fill="ebf8ff" w:val="clear"/>
          </w:tcPr>
          <w:p>
            <w:r>
              <w:t xml:space="preserve">$119/mo (20% off)</w:t>
            </w:r>
          </w:p>
        </w:tc>
        <w:tc>
          <w:tcPr>
            <w:tcW w:type="dxa" w:w="3000"/>
            <w:tcBorders>
              <w:top w:val="single" w:color="CCCCCC" w:sz="1"/>
              <w:left w:val="single" w:color="CCCCCC" w:sz="1"/>
              <w:bottom w:val="single" w:color="CCCCCC" w:sz="1"/>
              <w:right w:val="single" w:color="CCCCCC" w:sz="1"/>
            </w:tcBorders>
            <w:shd w:fill="ebf8ff" w:val="clear"/>
          </w:tcPr>
          <w:p>
            <w:r>
              <w:t xml:space="preserve">Growing brands, marketers</w:t>
            </w:r>
          </w:p>
        </w:tc>
      </w:tr>
      <w:tr>
        <w:tc>
          <w:tcPr>
            <w:tcW w:type="dxa" w:w="2500"/>
            <w:tcBorders>
              <w:top w:val="single" w:color="CCCCCC" w:sz="1"/>
              <w:left w:val="single" w:color="CCCCCC" w:sz="1"/>
              <w:bottom w:val="single" w:color="CCCCCC" w:sz="1"/>
              <w:right w:val="single" w:color="CCCCCC" w:sz="1"/>
            </w:tcBorders>
          </w:tcPr>
          <w:p>
            <w:r>
              <w:rPr>
                <w:b/>
                <w:bCs/>
              </w:rPr>
              <w:t xml:space="preserve">Agency</w:t>
            </w:r>
          </w:p>
        </w:tc>
        <w:tc>
          <w:tcPr>
            <w:tcW w:type="dxa" w:w="2000"/>
            <w:tcBorders>
              <w:top w:val="single" w:color="CCCCCC" w:sz="1"/>
              <w:left w:val="single" w:color="CCCCCC" w:sz="1"/>
              <w:bottom w:val="single" w:color="CCCCCC" w:sz="1"/>
              <w:right w:val="single" w:color="CCCCCC" w:sz="1"/>
            </w:tcBorders>
          </w:tcPr>
          <w:p>
            <w:r>
              <w:t xml:space="preserve">$349/mo</w:t>
            </w:r>
          </w:p>
        </w:tc>
        <w:tc>
          <w:tcPr>
            <w:tcW w:type="dxa" w:w="2000"/>
            <w:tcBorders>
              <w:top w:val="single" w:color="CCCCCC" w:sz="1"/>
              <w:left w:val="single" w:color="CCCCCC" w:sz="1"/>
              <w:bottom w:val="single" w:color="CCCCCC" w:sz="1"/>
              <w:right w:val="single" w:color="CCCCCC" w:sz="1"/>
            </w:tcBorders>
          </w:tcPr>
          <w:p>
            <w:r>
              <w:t xml:space="preserve">$279/mo (20% off)</w:t>
            </w:r>
          </w:p>
        </w:tc>
        <w:tc>
          <w:tcPr>
            <w:tcW w:type="dxa" w:w="3000"/>
            <w:tcBorders>
              <w:top w:val="single" w:color="CCCCCC" w:sz="1"/>
              <w:left w:val="single" w:color="CCCCCC" w:sz="1"/>
              <w:bottom w:val="single" w:color="CCCCCC" w:sz="1"/>
              <w:right w:val="single" w:color="CCCCCC" w:sz="1"/>
            </w:tcBorders>
          </w:tcPr>
          <w:p>
            <w:r>
              <w:t xml:space="preserve">Agencies, enterprises</w:t>
            </w:r>
          </w:p>
        </w:tc>
      </w:tr>
    </w:tbl>
    <w:p>
      <w:pPr>
        <w:pStyle w:val="Heading2"/>
        <w:spacing w:before="300"/>
      </w:pPr>
      <w:r>
        <w:t xml:space="preserve">Why This Pricing Works</w:t>
      </w:r>
    </w:p>
    <w:p>
      <w:pPr>
        <w:pStyle w:val="ListParagraph"/>
        <w:numPr>
          <w:ilvl w:val="0"/>
          <w:numId w:val="2"/>
        </w:numPr>
      </w:pPr>
      <w:r>
        <w:rPr>
          <w:b/>
          <w:bCs/>
        </w:rPr>
        <w:t xml:space="preserve">Below Market Average</w:t>
      </w:r>
      <w:r>
        <w:t xml:space="preserve"> - $149 vs $337 industry average (56% cheaper)</w:t>
      </w:r>
    </w:p>
    <w:p>
      <w:pPr>
        <w:pStyle w:val="ListParagraph"/>
        <w:numPr>
          <w:ilvl w:val="0"/>
          <w:numId w:val="2"/>
        </w:numPr>
      </w:pPr>
      <w:r>
        <w:rPr>
          <w:b/>
          <w:bCs/>
        </w:rPr>
        <w:t xml:space="preserve">Free Tier Creates Leads</w:t>
      </w:r>
      <w:r>
        <w:t xml:space="preserve"> - Users see the problem, pay for solutions</w:t>
      </w:r>
    </w:p>
    <w:p>
      <w:pPr>
        <w:pStyle w:val="ListParagraph"/>
        <w:numPr>
          <w:ilvl w:val="0"/>
          <w:numId w:val="2"/>
        </w:numPr>
      </w:pPr>
      <w:r>
        <w:rPr>
          <w:b/>
          <w:bCs/>
        </w:rPr>
        <w:t xml:space="preserve">Growth is Target</w:t>
      </w:r>
      <w:r>
        <w:t xml:space="preserve"> - Visual prominence, "Most Popular" badge</w:t>
      </w:r>
    </w:p>
    <w:p>
      <w:pPr>
        <w:pStyle w:val="ListParagraph"/>
        <w:numPr>
          <w:ilvl w:val="0"/>
          <w:numId w:val="2"/>
        </w:numPr>
      </w:pPr>
      <w:r>
        <w:rPr>
          <w:b/>
          <w:bCs/>
        </w:rPr>
        <w:t xml:space="preserve">Agency for High-Value</w:t>
      </w:r>
      <w:r>
        <w:t xml:space="preserve"> - White-label, API, unlimited brands</w:t>
      </w:r>
    </w:p>
    <w:p>
      <w:r>
        <w:br w:type="page"/>
      </w:r>
    </w:p>
    <w:p>
      <w:pPr>
        <w:pStyle w:val="Heading1"/>
      </w:pPr>
      <w:r>
        <w:t xml:space="preserve">4. Value Proposition &amp; Differentiation</w:t>
      </w:r>
    </w:p>
    <w:p>
      <w:pPr>
        <w:pStyle w:val="Heading2"/>
      </w:pPr>
      <w:r>
        <w:t xml:space="preserve">Unique Selling Proposition</w:t>
      </w:r>
    </w:p>
    <w:p>
      <w:pPr>
        <w:shd w:fill="f0f9ff" w:val="clear"/>
        <w:spacing w:after="200"/>
        <w:jc w:val="center"/>
      </w:pPr>
      <w:r>
        <w:rPr>
          <w:i/>
          <w:iCs/>
          <w:color w:val="1a365d"/>
          <w:sz w:val="28"/>
          <w:szCs w:val="28"/>
        </w:rPr>
        <w:t xml:space="preserve">"Know what AI says about your brand before your customers ask."</w:t>
      </w:r>
    </w:p>
    <w:p>
      <w:pPr>
        <w:pStyle w:val="Heading2"/>
      </w:pPr>
      <w:r>
        <w:t xml:space="preserve">Key Differentiators</w:t>
      </w:r>
    </w:p>
    <w:p>
      <w:pPr>
        <w:pStyle w:val="ListParagraph"/>
        <w:numPr>
          <w:ilvl w:val="0"/>
          <w:numId w:val="2"/>
        </w:numPr>
      </w:pPr>
      <w:r>
        <w:rPr>
          <w:b/>
          <w:bCs/>
        </w:rPr>
        <w:t xml:space="preserve">Full Journey Analysis</w:t>
      </w:r>
      <w:r>
        <w:t xml:space="preserve"> - Awareness → Consideration → Decision (competitors only track mentions)</w:t>
      </w:r>
    </w:p>
    <w:p>
      <w:pPr>
        <w:pStyle w:val="ListParagraph"/>
        <w:numPr>
          <w:ilvl w:val="0"/>
          <w:numId w:val="2"/>
        </w:numPr>
      </w:pPr>
      <w:r>
        <w:rPr>
          <w:b/>
          <w:bCs/>
        </w:rPr>
        <w:t xml:space="preserve">Follow-up Questions</w:t>
      </w:r>
      <w:r>
        <w:t xml:space="preserve"> - AI explains why it recommends competitors</w:t>
      </w:r>
    </w:p>
    <w:p>
      <w:pPr>
        <w:pStyle w:val="ListParagraph"/>
        <w:numPr>
          <w:ilvl w:val="0"/>
          <w:numId w:val="2"/>
        </w:numPr>
      </w:pPr>
      <w:r>
        <w:rPr>
          <w:b/>
          <w:bCs/>
        </w:rPr>
        <w:t xml:space="preserve">Competitive Leaderboard</w:t>
      </w:r>
      <w:r>
        <w:t xml:space="preserve"> - See exactly who beats you across platforms</w:t>
      </w:r>
    </w:p>
    <w:p>
      <w:pPr>
        <w:pStyle w:val="ListParagraph"/>
        <w:numPr>
          <w:ilvl w:val="0"/>
          <w:numId w:val="2"/>
        </w:numPr>
      </w:pPr>
      <w:r>
        <w:rPr>
          <w:b/>
          <w:bCs/>
        </w:rPr>
        <w:t xml:space="preserve">Brand Positioning Analysis</w:t>
      </w:r>
      <w:r>
        <w:t xml:space="preserve"> - Compare AI perception vs. intended positioning</w:t>
      </w:r>
    </w:p>
    <w:p>
      <w:pPr>
        <w:pStyle w:val="ListParagraph"/>
        <w:numPr>
          <w:ilvl w:val="0"/>
          <w:numId w:val="2"/>
        </w:numPr>
      </w:pPr>
      <w:r>
        <w:rPr>
          <w:b/>
          <w:bCs/>
        </w:rPr>
        <w:t xml:space="preserve">Hallucination Detection</w:t>
      </w:r>
      <w:r>
        <w:t xml:space="preserve"> - Catch misinformation before it hurts reputation</w:t>
      </w:r>
    </w:p>
    <w:p>
      <w:r>
        <w:br w:type="page"/>
      </w:r>
    </w:p>
    <w:p>
      <w:pPr>
        <w:pStyle w:val="Heading1"/>
      </w:pPr>
      <w:r>
        <w:t xml:space="preserve">5. Financial Projections</w:t>
      </w:r>
    </w:p>
    <w:p>
      <w:pPr>
        <w:pStyle w:val="Heading2"/>
      </w:pPr>
      <w:r>
        <w:t xml:space="preserve">Monthly Operational Costs</w:t>
      </w:r>
    </w:p>
    <w:p>
      <w:pPr>
        <w:spacing w:after="120"/>
      </w:pPr>
      <w:r>
        <w:t xml:space="preserve">Fixed costs at launch are minimal:</w:t>
      </w:r>
    </w:p>
    <w:p>
      <w:pPr>
        <w:pStyle w:val="ListParagraph"/>
        <w:numPr>
          <w:ilvl w:val="0"/>
          <w:numId w:val="2"/>
        </w:numPr>
      </w:pPr>
      <w:r>
        <w:t xml:space="preserve">Vercel Pro: $20/month</w:t>
      </w:r>
    </w:p>
    <w:p>
      <w:pPr>
        <w:pStyle w:val="ListParagraph"/>
        <w:numPr>
          <w:ilvl w:val="0"/>
          <w:numId w:val="2"/>
        </w:numPr>
      </w:pPr>
      <w:r>
        <w:t xml:space="preserve">Email (SendGrid): $0-20/month</w:t>
      </w:r>
    </w:p>
    <w:p>
      <w:pPr>
        <w:pStyle w:val="ListParagraph"/>
        <w:numPr>
          <w:ilvl w:val="0"/>
          <w:numId w:val="2"/>
        </w:numPr>
      </w:pPr>
      <w:r>
        <w:t xml:space="preserve">Monitoring: Free tier</w:t>
      </w:r>
    </w:p>
    <w:p>
      <w:pPr>
        <w:pStyle w:val="ListParagraph"/>
        <w:numPr>
          <w:ilvl w:val="0"/>
          <w:numId w:val="2"/>
        </w:numPr>
        <w:spacing w:after="200"/>
      </w:pPr>
      <w:r>
        <w:rPr>
          <w:b/>
          <w:bCs/>
        </w:rPr>
        <w:t xml:space="preserve">Total Fixed: ~$25/month</w:t>
      </w:r>
    </w:p>
    <w:p>
      <w:pPr>
        <w:pStyle w:val="Heading2"/>
      </w:pPr>
      <w:r>
        <w:t xml:space="preserve">Revenue Projections</w:t>
      </w:r>
    </w:p>
    <w:p>
      <w:pPr>
        <w:spacing w:after="120"/>
      </w:pPr>
      <w:r>
        <w:rPr>
          <w:b/>
          <w:bCs/>
        </w:rPr>
        <w:t xml:space="preserve">Month 1-3 (10 customers):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2000"/>
        <w:gridCol w:w="200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Tier</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Customers</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Revenue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AI Costs</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Net</w:t>
            </w:r>
          </w:p>
        </w:tc>
      </w:tr>
      <w:tr>
        <w:tc>
          <w:tcPr>
            <w:tcBorders>
              <w:top w:val="single" w:color="CCCCCC" w:sz="1"/>
              <w:left w:val="single" w:color="CCCCCC" w:sz="1"/>
              <w:bottom w:val="single" w:color="CCCCCC" w:sz="1"/>
              <w:right w:val="single" w:color="CCCCCC" w:sz="1"/>
            </w:tcBorders>
          </w:tcPr>
          <w:p>
            <w:r>
              <w:t xml:space="preserve">Growth</w:t>
            </w:r>
          </w:p>
        </w:tc>
        <w:tc>
          <w:tcPr>
            <w:tcBorders>
              <w:top w:val="single" w:color="CCCCCC" w:sz="1"/>
              <w:left w:val="single" w:color="CCCCCC" w:sz="1"/>
              <w:bottom w:val="single" w:color="CCCCCC" w:sz="1"/>
              <w:right w:val="single" w:color="CCCCCC" w:sz="1"/>
            </w:tcBorders>
          </w:tcPr>
          <w:p>
            <w:r>
              <w:t xml:space="preserve">8</w:t>
            </w:r>
          </w:p>
        </w:tc>
        <w:tc>
          <w:tcPr>
            <w:tcBorders>
              <w:top w:val="single" w:color="CCCCCC" w:sz="1"/>
              <w:left w:val="single" w:color="CCCCCC" w:sz="1"/>
              <w:bottom w:val="single" w:color="CCCCCC" w:sz="1"/>
              <w:right w:val="single" w:color="CCCCCC" w:sz="1"/>
            </w:tcBorders>
          </w:tcPr>
          <w:p>
            <w:r>
              <w:t xml:space="preserve">$1,192</w:t>
            </w:r>
          </w:p>
        </w:tc>
        <w:tc>
          <w:tcPr>
            <w:tcBorders>
              <w:top w:val="single" w:color="CCCCCC" w:sz="1"/>
              <w:left w:val="single" w:color="CCCCCC" w:sz="1"/>
              <w:bottom w:val="single" w:color="CCCCCC" w:sz="1"/>
              <w:right w:val="single" w:color="CCCCCC" w:sz="1"/>
            </w:tcBorders>
          </w:tcPr>
          <w:p>
            <w:r>
              <w:t xml:space="preserve">$40</w:t>
            </w:r>
          </w:p>
        </w:tc>
        <w:tc>
          <w:tcPr>
            <w:tcBorders>
              <w:top w:val="single" w:color="CCCCCC" w:sz="1"/>
              <w:left w:val="single" w:color="CCCCCC" w:sz="1"/>
              <w:bottom w:val="single" w:color="CCCCCC" w:sz="1"/>
              <w:right w:val="single" w:color="CCCCCC" w:sz="1"/>
            </w:tcBorders>
          </w:tcPr>
          <w:p>
            <w:r>
              <w:t xml:space="preserve">$1,152</w:t>
            </w:r>
          </w:p>
        </w:tc>
      </w:tr>
      <w:tr>
        <w:tc>
          <w:tcPr>
            <w:tcBorders>
              <w:top w:val="single" w:color="CCCCCC" w:sz="1"/>
              <w:left w:val="single" w:color="CCCCCC" w:sz="1"/>
              <w:bottom w:val="single" w:color="CCCCCC" w:sz="1"/>
              <w:right w:val="single" w:color="CCCCCC" w:sz="1"/>
            </w:tcBorders>
          </w:tcPr>
          <w:p>
            <w:r>
              <w:t xml:space="preserve">Agency</w:t>
            </w:r>
          </w:p>
        </w:tc>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$698</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t xml:space="preserve">$648</w:t>
            </w:r>
          </w:p>
        </w:tc>
      </w:tr>
      <w:tr>
        <w:tc>
          <w:tcPr>
            <w:tcBorders>
              <w:top w:val="single" w:color="CCCCCC" w:sz="1"/>
              <w:left w:val="single" w:color="CCCCCC" w:sz="1"/>
              <w:bottom w:val="single" w:color="CCCCCC" w:sz="1"/>
              <w:right w:val="single" w:color="CCCCCC" w:sz="1"/>
            </w:tcBorders>
            <w:shd w:fill="f0fff4" w:val="clear"/>
          </w:tcPr>
          <w:p>
            <w:r>
              <w:rPr>
                <w:b/>
                <w:bCs/>
              </w:rPr>
              <w:t xml:space="preserve">Total</w:t>
            </w:r>
          </w:p>
        </w:tc>
        <w:tc>
          <w:tcPr>
            <w:tcBorders>
              <w:top w:val="single" w:color="CCCCCC" w:sz="1"/>
              <w:left w:val="single" w:color="CCCCCC" w:sz="1"/>
              <w:bottom w:val="single" w:color="CCCCCC" w:sz="1"/>
              <w:right w:val="single" w:color="CCCCCC" w:sz="1"/>
            </w:tcBorders>
            <w:shd w:fill="f0fff4" w:val="clear"/>
          </w:tcPr>
          <w:p>
            <w:r>
              <w:rPr>
                <w:b/>
                <w:bCs/>
              </w:rPr>
              <w:t xml:space="preserve">10</w:t>
            </w:r>
          </w:p>
        </w:tc>
        <w:tc>
          <w:tcPr>
            <w:tcBorders>
              <w:top w:val="single" w:color="CCCCCC" w:sz="1"/>
              <w:left w:val="single" w:color="CCCCCC" w:sz="1"/>
              <w:bottom w:val="single" w:color="CCCCCC" w:sz="1"/>
              <w:right w:val="single" w:color="CCCCCC" w:sz="1"/>
            </w:tcBorders>
            <w:shd w:fill="f0fff4" w:val="clear"/>
          </w:tcPr>
          <w:p>
            <w:r>
              <w:rPr>
                <w:b/>
                <w:bCs/>
              </w:rPr>
              <w:t xml:space="preserve">$1,890</w:t>
            </w:r>
          </w:p>
        </w:tc>
        <w:tc>
          <w:tcPr>
            <w:tcBorders>
              <w:top w:val="single" w:color="CCCCCC" w:sz="1"/>
              <w:left w:val="single" w:color="CCCCCC" w:sz="1"/>
              <w:bottom w:val="single" w:color="CCCCCC" w:sz="1"/>
              <w:right w:val="single" w:color="CCCCCC" w:sz="1"/>
            </w:tcBorders>
            <w:shd w:fill="f0fff4" w:val="clear"/>
          </w:tcPr>
          <w:p>
            <w:r>
              <w:rPr>
                <w:b/>
                <w:bCs/>
              </w:rPr>
              <w:t xml:space="preserve">$90</w:t>
            </w:r>
          </w:p>
        </w:tc>
        <w:tc>
          <w:tcPr>
            <w:tcBorders>
              <w:top w:val="single" w:color="CCCCCC" w:sz="1"/>
              <w:left w:val="single" w:color="CCCCCC" w:sz="1"/>
              <w:bottom w:val="single" w:color="CCCCCC" w:sz="1"/>
              <w:right w:val="single" w:color="CCCCCC" w:sz="1"/>
            </w:tcBorders>
            <w:shd w:fill="f0fff4" w:val="clear"/>
          </w:tcPr>
          <w:p>
            <w:r>
              <w:rPr>
                <w:b/>
                <w:bCs/>
              </w:rPr>
              <w:t xml:space="preserve">$1,800</w:t>
            </w:r>
          </w:p>
        </w:tc>
      </w:tr>
    </w:tbl>
    <w:p>
      <w:pPr>
        <w:spacing w:before="200" w:after="120"/>
      </w:pPr>
      <w:r>
        <w:rPr>
          <w:b/>
          <w:bCs/>
        </w:rPr>
        <w:t xml:space="preserve">Month 6 (50 customers):</w:t>
      </w:r>
    </w:p>
    <w:p>
      <w:pPr>
        <w:pStyle w:val="ListParagraph"/>
        <w:numPr>
          <w:ilvl w:val="0"/>
          <w:numId w:val="2"/>
        </w:numPr>
      </w:pPr>
      <w:r>
        <w:t xml:space="preserve">Revenue: $9,450/month</w:t>
      </w:r>
    </w:p>
    <w:p>
      <w:pPr>
        <w:pStyle w:val="ListParagraph"/>
        <w:numPr>
          <w:ilvl w:val="0"/>
          <w:numId w:val="2"/>
        </w:numPr>
      </w:pPr>
      <w:r>
        <w:t xml:space="preserve">AI Costs: $450/month</w:t>
      </w:r>
    </w:p>
    <w:p>
      <w:pPr>
        <w:pStyle w:val="ListParagraph"/>
        <w:numPr>
          <w:ilvl w:val="0"/>
          <w:numId w:val="2"/>
        </w:numPr>
      </w:pPr>
      <w:r>
        <w:rPr>
          <w:b/>
          <w:bCs/>
        </w:rPr>
        <w:t xml:space="preserve">Net Revenue: $9,000/month (94% margin)</w:t>
      </w:r>
    </w:p>
    <w:p>
      <w:r>
        <w:br w:type="page"/>
      </w:r>
    </w:p>
    <w:p>
      <w:pPr>
        <w:pStyle w:val="Heading1"/>
      </w:pPr>
      <w:r>
        <w:t xml:space="preserve">6. January 15th Launch Requirements</w:t>
      </w:r>
    </w:p>
    <w:p>
      <w:pPr>
        <w:pStyle w:val="Heading2"/>
      </w:pPr>
      <w:r>
        <w:t xml:space="preserve">Critical Path (10 Days)</w:t>
      </w:r>
    </w:p>
    <w:p>
      <w:pPr>
        <w:pStyle w:val="Heading3"/>
      </w:pPr>
      <w:r>
        <w:t xml:space="preserve">Days 1-2: Stripe Integration</w:t>
      </w:r>
    </w:p>
    <w:p>
      <w:pPr>
        <w:pStyle w:val="ListParagraph"/>
        <w:numPr>
          <w:ilvl w:val="0"/>
          <w:numId w:val="2"/>
        </w:numPr>
      </w:pPr>
      <w:r>
        <w:t xml:space="preserve">Create Stripe account</w:t>
      </w:r>
    </w:p>
    <w:p>
      <w:pPr>
        <w:pStyle w:val="ListParagraph"/>
        <w:numPr>
          <w:ilvl w:val="0"/>
          <w:numId w:val="2"/>
        </w:numPr>
      </w:pPr>
      <w:r>
        <w:t xml:space="preserve">Configure products (Growth $149, Agency $349)</w:t>
      </w:r>
    </w:p>
    <w:p>
      <w:pPr>
        <w:pStyle w:val="ListParagraph"/>
        <w:numPr>
          <w:ilvl w:val="0"/>
          <w:numId w:val="2"/>
        </w:numPr>
      </w:pPr>
      <w:r>
        <w:t xml:space="preserve">Create checkout session API</w:t>
      </w:r>
    </w:p>
    <w:p>
      <w:pPr>
        <w:pStyle w:val="ListParagraph"/>
        <w:numPr>
          <w:ilvl w:val="0"/>
          <w:numId w:val="2"/>
        </w:numPr>
      </w:pPr>
      <w:r>
        <w:t xml:space="preserve">Create webhook handler for subscription events</w:t>
      </w:r>
    </w:p>
    <w:p>
      <w:pPr>
        <w:pStyle w:val="Heading3"/>
      </w:pPr>
      <w:r>
        <w:t xml:space="preserve">Day 3: Backend Tier Enforcement</w:t>
      </w:r>
    </w:p>
    <w:p>
      <w:pPr>
        <w:pStyle w:val="ListParagraph"/>
        <w:numPr>
          <w:ilvl w:val="0"/>
          <w:numId w:val="2"/>
        </w:numPr>
      </w:pPr>
      <w:r>
        <w:t xml:space="preserve">Add tier check middleware</w:t>
      </w:r>
    </w:p>
    <w:p>
      <w:pPr>
        <w:pStyle w:val="ListParagraph"/>
        <w:numPr>
          <w:ilvl w:val="0"/>
          <w:numId w:val="2"/>
        </w:numPr>
      </w:pPr>
      <w:r>
        <w:t xml:space="preserve">Enforce analysis limits</w:t>
      </w:r>
    </w:p>
    <w:p>
      <w:pPr>
        <w:pStyle w:val="ListParagraph"/>
        <w:numPr>
          <w:ilvl w:val="0"/>
          <w:numId w:val="2"/>
        </w:numPr>
      </w:pPr>
      <w:r>
        <w:t xml:space="preserve">Add usage counter to User model</w:t>
      </w:r>
    </w:p>
    <w:p>
      <w:pPr>
        <w:pStyle w:val="Heading3"/>
      </w:pPr>
      <w:r>
        <w:t xml:space="preserve">Day 4: Email Service</w:t>
      </w:r>
    </w:p>
    <w:p>
      <w:pPr>
        <w:pStyle w:val="ListParagraph"/>
        <w:numPr>
          <w:ilvl w:val="0"/>
          <w:numId w:val="2"/>
        </w:numPr>
      </w:pPr>
      <w:r>
        <w:t xml:space="preserve">Set up SendGrid/Resend account</w:t>
      </w:r>
    </w:p>
    <w:p>
      <w:pPr>
        <w:pStyle w:val="ListParagraph"/>
        <w:numPr>
          <w:ilvl w:val="0"/>
          <w:numId w:val="2"/>
        </w:numPr>
      </w:pPr>
      <w:r>
        <w:t xml:space="preserve">Email verification on registration</w:t>
      </w:r>
    </w:p>
    <w:p>
      <w:pPr>
        <w:pStyle w:val="ListParagraph"/>
        <w:numPr>
          <w:ilvl w:val="0"/>
          <w:numId w:val="2"/>
        </w:numPr>
      </w:pPr>
      <w:r>
        <w:t xml:space="preserve">Password reset flow</w:t>
      </w:r>
    </w:p>
    <w:p>
      <w:pPr>
        <w:pStyle w:val="Heading3"/>
      </w:pPr>
      <w:r>
        <w:t xml:space="preserve">Days 5-6: Testing &amp; Polish</w:t>
      </w:r>
    </w:p>
    <w:p>
      <w:pPr>
        <w:pStyle w:val="ListParagraph"/>
        <w:numPr>
          <w:ilvl w:val="0"/>
          <w:numId w:val="2"/>
        </w:numPr>
      </w:pPr>
      <w:r>
        <w:t xml:space="preserve">End-to-end payment testing</w:t>
      </w:r>
    </w:p>
    <w:p>
      <w:pPr>
        <w:pStyle w:val="ListParagraph"/>
        <w:numPr>
          <w:ilvl w:val="0"/>
          <w:numId w:val="2"/>
        </w:numPr>
      </w:pPr>
      <w:r>
        <w:t xml:space="preserve">Tier limit testing</w:t>
      </w:r>
    </w:p>
    <w:p>
      <w:pPr>
        <w:pStyle w:val="ListParagraph"/>
        <w:numPr>
          <w:ilvl w:val="0"/>
          <w:numId w:val="2"/>
        </w:numPr>
      </w:pPr>
      <w:r>
        <w:t xml:space="preserve">Mobile responsiveness check</w:t>
      </w:r>
    </w:p>
    <w:p>
      <w:pPr>
        <w:pStyle w:val="Heading3"/>
      </w:pPr>
      <w:r>
        <w:t xml:space="preserve">Days 7-10: Final Preparation</w:t>
      </w:r>
    </w:p>
    <w:p>
      <w:pPr>
        <w:pStyle w:val="ListParagraph"/>
        <w:numPr>
          <w:ilvl w:val="0"/>
          <w:numId w:val="2"/>
        </w:numPr>
      </w:pPr>
      <w:r>
        <w:t xml:space="preserve">Onboarding flow</w:t>
      </w:r>
    </w:p>
    <w:p>
      <w:pPr>
        <w:pStyle w:val="ListParagraph"/>
        <w:numPr>
          <w:ilvl w:val="0"/>
          <w:numId w:val="2"/>
        </w:numPr>
      </w:pPr>
      <w:r>
        <w:t xml:space="preserve">Monitoring &amp; Analytics (Sentry, PostHog)</w:t>
      </w:r>
    </w:p>
    <w:p>
      <w:pPr>
        <w:pStyle w:val="ListParagraph"/>
        <w:numPr>
          <w:ilvl w:val="0"/>
          <w:numId w:val="2"/>
        </w:numPr>
      </w:pPr>
      <w:r>
        <w:t xml:space="preserve">Full regression testing</w:t>
      </w:r>
    </w:p>
    <w:p>
      <w:pPr>
        <w:pStyle w:val="ListParagraph"/>
        <w:numPr>
          <w:ilvl w:val="0"/>
          <w:numId w:val="2"/>
        </w:numPr>
      </w:pPr>
      <w:r>
        <w:t xml:space="preserve">Soft launch to test users</w:t>
      </w:r>
    </w:p>
    <w:p>
      <w:pPr>
        <w:pStyle w:val="Heading2"/>
        <w:spacing w:before="300"/>
      </w:pPr>
      <w:r>
        <w:t xml:space="preserve">External Accounts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200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Service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Purpose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Setup</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Cost</w:t>
            </w:r>
          </w:p>
        </w:tc>
      </w:tr>
      <w:tr>
        <w:tc>
          <w:tcPr>
            <w:tcBorders>
              <w:top w:val="single" w:color="CCCCCC" w:sz="1"/>
              <w:left w:val="single" w:color="CCCCCC" w:sz="1"/>
              <w:bottom w:val="single" w:color="CCCCCC" w:sz="1"/>
              <w:right w:val="single" w:color="CCCCCC" w:sz="1"/>
            </w:tcBorders>
          </w:tcPr>
          <w:p>
            <w:r>
              <w:t xml:space="preserve">Stripe</w:t>
            </w:r>
          </w:p>
        </w:tc>
        <w:tc>
          <w:tcPr>
            <w:tcBorders>
              <w:top w:val="single" w:color="CCCCCC" w:sz="1"/>
              <w:left w:val="single" w:color="CCCCCC" w:sz="1"/>
              <w:bottom w:val="single" w:color="CCCCCC" w:sz="1"/>
              <w:right w:val="single" w:color="CCCCCC" w:sz="1"/>
            </w:tcBorders>
          </w:tcPr>
          <w:p>
            <w:r>
              <w:t xml:space="preserve">Payments</w:t>
            </w:r>
          </w:p>
        </w:tc>
        <w:tc>
          <w:tcPr>
            <w:tcBorders>
              <w:top w:val="single" w:color="CCCCCC" w:sz="1"/>
              <w:left w:val="single" w:color="CCCCCC" w:sz="1"/>
              <w:bottom w:val="single" w:color="CCCCCC" w:sz="1"/>
              <w:right w:val="single" w:color="CCCCCC" w:sz="1"/>
            </w:tcBorders>
          </w:tcPr>
          <w:p>
            <w:r>
              <w:t xml:space="preserve">1-2 hours</w:t>
            </w:r>
          </w:p>
        </w:tc>
        <w:tc>
          <w:tcPr>
            <w:tcBorders>
              <w:top w:val="single" w:color="CCCCCC" w:sz="1"/>
              <w:left w:val="single" w:color="CCCCCC" w:sz="1"/>
              <w:bottom w:val="single" w:color="CCCCCC" w:sz="1"/>
              <w:right w:val="single" w:color="CCCCCC" w:sz="1"/>
            </w:tcBorders>
          </w:tcPr>
          <w:p>
            <w:r>
              <w:t xml:space="preserve">2.9% + $0.30</w:t>
            </w:r>
          </w:p>
        </w:tc>
      </w:tr>
      <w:tr>
        <w:tc>
          <w:tcPr>
            <w:tcBorders>
              <w:top w:val="single" w:color="CCCCCC" w:sz="1"/>
              <w:left w:val="single" w:color="CCCCCC" w:sz="1"/>
              <w:bottom w:val="single" w:color="CCCCCC" w:sz="1"/>
              <w:right w:val="single" w:color="CCCCCC" w:sz="1"/>
            </w:tcBorders>
          </w:tcPr>
          <w:p>
            <w:r>
              <w:t xml:space="preserve">SendGrid</w:t>
            </w:r>
          </w:p>
        </w:tc>
        <w:tc>
          <w:tcPr>
            <w:tcBorders>
              <w:top w:val="single" w:color="CCCCCC" w:sz="1"/>
              <w:left w:val="single" w:color="CCCCCC" w:sz="1"/>
              <w:bottom w:val="single" w:color="CCCCCC" w:sz="1"/>
              <w:right w:val="single" w:color="CCCCCC" w:sz="1"/>
            </w:tcBorders>
          </w:tcPr>
          <w:p>
            <w:r>
              <w:t xml:space="preserve">Email</w:t>
            </w:r>
          </w:p>
        </w:tc>
        <w:tc>
          <w:tcPr>
            <w:tcBorders>
              <w:top w:val="single" w:color="CCCCCC" w:sz="1"/>
              <w:left w:val="single" w:color="CCCCCC" w:sz="1"/>
              <w:bottom w:val="single" w:color="CCCCCC" w:sz="1"/>
              <w:right w:val="single" w:color="CCCCCC" w:sz="1"/>
            </w:tcBorders>
          </w:tcPr>
          <w:p>
            <w:r>
              <w:t xml:space="preserve">30 min</w:t>
            </w:r>
          </w:p>
        </w:tc>
        <w:tc>
          <w:tcPr>
            <w:tcBorders>
              <w:top w:val="single" w:color="CCCCCC" w:sz="1"/>
              <w:left w:val="single" w:color="CCCCCC" w:sz="1"/>
              <w:bottom w:val="single" w:color="CCCCCC" w:sz="1"/>
              <w:right w:val="single" w:color="CCCCCC" w:sz="1"/>
            </w:tcBorders>
          </w:tcPr>
          <w:p>
            <w:r>
              <w:t xml:space="preserve">Free / $20/mo</w:t>
            </w:r>
          </w:p>
        </w:tc>
      </w:tr>
      <w:tr>
        <w:tc>
          <w:tcPr>
            <w:tcBorders>
              <w:top w:val="single" w:color="CCCCCC" w:sz="1"/>
              <w:left w:val="single" w:color="CCCCCC" w:sz="1"/>
              <w:bottom w:val="single" w:color="CCCCCC" w:sz="1"/>
              <w:right w:val="single" w:color="CCCCCC" w:sz="1"/>
            </w:tcBorders>
          </w:tcPr>
          <w:p>
            <w:r>
              <w:t xml:space="preserve">Sentry</w:t>
            </w:r>
          </w:p>
        </w:tc>
        <w:tc>
          <w:tcPr>
            <w:tcBorders>
              <w:top w:val="single" w:color="CCCCCC" w:sz="1"/>
              <w:left w:val="single" w:color="CCCCCC" w:sz="1"/>
              <w:bottom w:val="single" w:color="CCCCCC" w:sz="1"/>
              <w:right w:val="single" w:color="CCCCCC" w:sz="1"/>
            </w:tcBorders>
          </w:tcPr>
          <w:p>
            <w:r>
              <w:t xml:space="preserve">Error tracking</w:t>
            </w:r>
          </w:p>
        </w:tc>
        <w:tc>
          <w:tcPr>
            <w:tcBorders>
              <w:top w:val="single" w:color="CCCCCC" w:sz="1"/>
              <w:left w:val="single" w:color="CCCCCC" w:sz="1"/>
              <w:bottom w:val="single" w:color="CCCCCC" w:sz="1"/>
              <w:right w:val="single" w:color="CCCCCC" w:sz="1"/>
            </w:tcBorders>
          </w:tcPr>
          <w:p>
            <w:r>
              <w:t xml:space="preserve">15 min</w:t>
            </w:r>
          </w:p>
        </w:tc>
        <w:tc>
          <w:tcPr>
            <w:tcBorders>
              <w:top w:val="single" w:color="CCCCCC" w:sz="1"/>
              <w:left w:val="single" w:color="CCCCCC" w:sz="1"/>
              <w:bottom w:val="single" w:color="CCCCCC" w:sz="1"/>
              <w:right w:val="single" w:color="CCCCCC" w:sz="1"/>
            </w:tcBorders>
          </w:tcPr>
          <w:p>
            <w:r>
              <w:t xml:space="preserve">Free tier</w:t>
            </w:r>
          </w:p>
        </w:tc>
      </w:tr>
      <w:tr>
        <w:tc>
          <w:tcPr>
            <w:tcBorders>
              <w:top w:val="single" w:color="CCCCCC" w:sz="1"/>
              <w:left w:val="single" w:color="CCCCCC" w:sz="1"/>
              <w:bottom w:val="single" w:color="CCCCCC" w:sz="1"/>
              <w:right w:val="single" w:color="CCCCCC" w:sz="1"/>
            </w:tcBorders>
          </w:tcPr>
          <w:p>
            <w:r>
              <w:t xml:space="preserve">PostHog</w:t>
            </w:r>
          </w:p>
        </w:tc>
        <w:tc>
          <w:tcPr>
            <w:tcBorders>
              <w:top w:val="single" w:color="CCCCCC" w:sz="1"/>
              <w:left w:val="single" w:color="CCCCCC" w:sz="1"/>
              <w:bottom w:val="single" w:color="CCCCCC" w:sz="1"/>
              <w:right w:val="single" w:color="CCCCCC" w:sz="1"/>
            </w:tcBorders>
          </w:tcPr>
          <w:p>
            <w:r>
              <w:t xml:space="preserve">Analytics</w:t>
            </w:r>
          </w:p>
        </w:tc>
        <w:tc>
          <w:tcPr>
            <w:tcBorders>
              <w:top w:val="single" w:color="CCCCCC" w:sz="1"/>
              <w:left w:val="single" w:color="CCCCCC" w:sz="1"/>
              <w:bottom w:val="single" w:color="CCCCCC" w:sz="1"/>
              <w:right w:val="single" w:color="CCCCCC" w:sz="1"/>
            </w:tcBorders>
          </w:tcPr>
          <w:p>
            <w:r>
              <w:t xml:space="preserve">15 min</w:t>
            </w:r>
          </w:p>
        </w:tc>
        <w:tc>
          <w:tcPr>
            <w:tcBorders>
              <w:top w:val="single" w:color="CCCCCC" w:sz="1"/>
              <w:left w:val="single" w:color="CCCCCC" w:sz="1"/>
              <w:bottom w:val="single" w:color="CCCCCC" w:sz="1"/>
              <w:right w:val="single" w:color="CCCCCC" w:sz="1"/>
            </w:tcBorders>
          </w:tcPr>
          <w:p>
            <w:r>
              <w:t xml:space="preserve">Free tier</w:t>
            </w:r>
          </w:p>
        </w:tc>
      </w:tr>
    </w:tbl>
    <w:p>
      <w:r>
        <w:br w:type="page"/>
      </w:r>
    </w:p>
    <w:p>
      <w:pPr>
        <w:pStyle w:val="Heading1"/>
      </w:pPr>
      <w:r>
        <w:t xml:space="preserve">7. Risk Assessment</w:t>
      </w:r>
    </w:p>
    <w:p>
      <w:pPr>
        <w:pStyle w:val="Heading2"/>
      </w:pPr>
      <w:r>
        <w:t xml:space="preserve">Technical Risks</w:t>
      </w:r>
    </w:p>
    <w:p>
      <w:pPr>
        <w:pStyle w:val="ListParagraph"/>
        <w:numPr>
          <w:ilvl w:val="0"/>
          <w:numId w:val="2"/>
        </w:numPr>
      </w:pPr>
      <w:r>
        <w:rPr>
          <w:b/>
          <w:bCs/>
        </w:rPr>
        <w:t xml:space="preserve">AI API rate limits (Medium)</w:t>
      </w:r>
      <w:r>
        <w:t xml:space="preserve"> - Mitigation: Implement queuing, caching</w:t>
      </w:r>
    </w:p>
    <w:p>
      <w:pPr>
        <w:pStyle w:val="ListParagraph"/>
        <w:numPr>
          <w:ilvl w:val="0"/>
          <w:numId w:val="2"/>
        </w:numPr>
      </w:pPr>
      <w:r>
        <w:rPr>
          <w:b/>
          <w:bCs/>
        </w:rPr>
        <w:t xml:space="preserve">AI API price increases (Low)</w:t>
      </w:r>
      <w:r>
        <w:t xml:space="preserve"> - Mitigation: Multi-platform redundancy</w:t>
      </w:r>
    </w:p>
    <w:p>
      <w:pPr>
        <w:pStyle w:val="ListParagraph"/>
        <w:numPr>
          <w:ilvl w:val="0"/>
          <w:numId w:val="2"/>
        </w:numPr>
      </w:pPr>
      <w:r>
        <w:rPr>
          <w:b/>
          <w:bCs/>
        </w:rPr>
        <w:t xml:space="preserve">Database corruption (Low)</w:t>
      </w:r>
      <w:r>
        <w:t xml:space="preserve"> - Mitigation: Daily backups</w:t>
      </w:r>
    </w:p>
    <w:p>
      <w:pPr>
        <w:pStyle w:val="Heading2"/>
      </w:pPr>
      <w:r>
        <w:t xml:space="preserve">Business Risks</w:t>
      </w:r>
    </w:p>
    <w:p>
      <w:pPr>
        <w:pStyle w:val="ListParagraph"/>
        <w:numPr>
          <w:ilvl w:val="0"/>
          <w:numId w:val="2"/>
        </w:numPr>
      </w:pPr>
      <w:r>
        <w:rPr>
          <w:b/>
          <w:bCs/>
        </w:rPr>
        <w:t xml:space="preserve">Low conversion free→paid (Medium)</w:t>
      </w:r>
      <w:r>
        <w:t xml:space="preserve"> - Mitigation: Optimize upgrade triggers</w:t>
      </w:r>
    </w:p>
    <w:p>
      <w:pPr>
        <w:pStyle w:val="ListParagraph"/>
        <w:numPr>
          <w:ilvl w:val="0"/>
          <w:numId w:val="2"/>
        </w:numPr>
      </w:pPr>
      <w:r>
        <w:rPr>
          <w:b/>
          <w:bCs/>
        </w:rPr>
        <w:t xml:space="preserve">Competitor copies features (High)</w:t>
      </w:r>
      <w:r>
        <w:t xml:space="preserve"> - Mitigation: Focus on UX, speed to market</w:t>
      </w:r>
    </w:p>
    <w:p>
      <w:pPr>
        <w:pStyle w:val="ListParagraph"/>
        <w:numPr>
          <w:ilvl w:val="0"/>
          <w:numId w:val="2"/>
        </w:numPr>
      </w:pPr>
      <w:r>
        <w:rPr>
          <w:b/>
          <w:bCs/>
        </w:rPr>
        <w:t xml:space="preserve">AI platforms change APIs (Medium)</w:t>
      </w:r>
      <w:r>
        <w:t xml:space="preserve"> - Mitigation: Abstract API layer</w:t>
      </w:r>
    </w:p>
    <w:p>
      <w:pPr>
        <w:pStyle w:val="Heading2"/>
      </w:pPr>
      <w:r>
        <w:t xml:space="preserve">Timeline Risks for Jan 15</w:t>
      </w:r>
    </w:p>
    <w:p>
      <w:pPr>
        <w:pStyle w:val="ListParagraph"/>
        <w:numPr>
          <w:ilvl w:val="0"/>
          <w:numId w:val="2"/>
        </w:numPr>
      </w:pPr>
      <w:r>
        <w:rPr>
          <w:b/>
          <w:bCs/>
        </w:rPr>
        <w:t xml:space="preserve">Stripe approval delays</w:t>
      </w:r>
      <w:r>
        <w:t xml:space="preserve"> - Apply immediately</w:t>
      </w:r>
    </w:p>
    <w:p>
      <w:pPr>
        <w:pStyle w:val="ListParagraph"/>
        <w:numPr>
          <w:ilvl w:val="0"/>
          <w:numId w:val="2"/>
        </w:numPr>
      </w:pPr>
      <w:r>
        <w:rPr>
          <w:b/>
          <w:bCs/>
        </w:rPr>
        <w:t xml:space="preserve">Email service setup issues</w:t>
      </w:r>
      <w:r>
        <w:t xml:space="preserve"> - Have backup (Resend)</w:t>
      </w:r>
    </w:p>
    <w:p>
      <w:pPr>
        <w:pStyle w:val="ListParagraph"/>
        <w:numPr>
          <w:ilvl w:val="0"/>
          <w:numId w:val="2"/>
        </w:numPr>
        <w:spacing w:after="400"/>
      </w:pPr>
      <w:r>
        <w:rPr>
          <w:b/>
          <w:bCs/>
        </w:rPr>
        <w:t xml:space="preserve">Unexpected bugs</w:t>
      </w:r>
      <w:r>
        <w:t xml:space="preserve"> - Buffer time built in</w:t>
      </w:r>
    </w:p>
    <w:p>
      <w:pPr>
        <w:shd w:fill="f7fafc" w:val="clear"/>
        <w:spacing w:before="400"/>
        <w:jc w:val="center"/>
      </w:pPr>
      <w:r>
        <w:rPr>
          <w:b/>
          <w:bCs/>
          <w:sz w:val="20"/>
          <w:szCs w:val="20"/>
        </w:rPr>
        <w:t xml:space="preserve">Document Control</w:t>
      </w:r>
    </w:p>
    <w:p>
      <w:pPr>
        <w:shd w:fill="f7fafc" w:val="clear"/>
        <w:jc w:val="center"/>
      </w:pPr>
      <w:r>
        <w:rPr>
          <w:color w:val="666666"/>
          <w:sz w:val="18"/>
          <w:szCs w:val="18"/>
        </w:rPr>
        <w:t xml:space="preserve">Version 1.0 | January 5, 2025 | MVP Complete, Production Readiness In Progress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Velaris AI Visibility Platform - MVP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c5282"/>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2026-01-04T22:03:39.702Z</dcterms:created>
  <dcterms:modified xsi:type="dcterms:W3CDTF">2026-01-04T22:03:39.703Z</dcterms:modified>
</cp:coreProperties>
</file>

<file path=docProps/custom.xml><?xml version="1.0" encoding="utf-8"?>
<Properties xmlns="http://schemas.openxmlformats.org/officeDocument/2006/custom-properties" xmlns:vt="http://schemas.openxmlformats.org/officeDocument/2006/docPropsVTypes"/>
</file>