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الوثيقة السرية للبناء الهندسي</w:t>
        <w:br/>
        <w:t>INFERA Engine Group</w:t>
      </w:r>
    </w:p>
    <w:p>
      <w:pPr>
        <w:pStyle w:val="Heading2"/>
      </w:pPr>
      <w:r>
        <w:t>1. المبادئ العليا للبناء الهندسي</w:t>
      </w:r>
    </w:p>
    <w:p>
      <w:r>
        <w:br/>
        <w:t>- تُبنى جميع المنصات التابعة لمجموعة INFERA Engine على مبدأ الاستقلال الهيكلي المترابط.</w:t>
        <w:br/>
        <w:t>- تعتمد البنية على وحدات مرنة قابلة للتوسع دون الحاجة إلى إعادة هيكلة كاملة.</w:t>
        <w:br/>
        <w:t>- يُشترط أن تكون كافة الطبقات البرمجية مترابطة بواسطة ذكاء اصطناعي داخلي يُمكّن النظام من التوسع والتحديث الذاتي.</w:t>
        <w:br/>
      </w:r>
    </w:p>
    <w:p>
      <w:pPr>
        <w:pStyle w:val="Heading2"/>
      </w:pPr>
      <w:r>
        <w:t>2. قواعد الهندسة الذكية</w:t>
      </w:r>
    </w:p>
    <w:p>
      <w:r>
        <w:br/>
        <w:t>- كل منصة يجب أن تحتوي على لبنة ذكاء مدمجة خاصة بها (Core Intelligence).</w:t>
        <w:br/>
        <w:t>- تُمنع البرمجيات العقيمة أو التقليدية التي لا تدعم التطور الذاتي.</w:t>
        <w:br/>
        <w:t>- يجب تصميم كل نظام فرعي ليس فقط للوظيفة، بل لإعادة تشكيل نفسه تلقائيًا حسب متغيرات السوق أو السلوك.</w:t>
        <w:br/>
      </w:r>
    </w:p>
    <w:p>
      <w:pPr>
        <w:pStyle w:val="Heading2"/>
      </w:pPr>
      <w:r>
        <w:t>3. شروط الاستدامة والتحديث الذكي</w:t>
      </w:r>
    </w:p>
    <w:p>
      <w:r>
        <w:br/>
        <w:t>- جميع المنصات يجب أن تدعم خاصية التحديث الديناميكي الذكي بدون تدخل بشري.</w:t>
        <w:br/>
        <w:t>- عند إضافة مادة قانونية جديدة في الحساب السيادي، يجب أن تُفعل تلقائيًا في أماكنها البرمجية المناسبة.</w:t>
        <w:br/>
        <w:t>- يُمنع التعديل اليدوي أو المباشر على الأكواد إلا في حالات استثنائية موقعة من الحساب السيادي.</w:t>
        <w:br/>
      </w:r>
    </w:p>
    <w:p>
      <w:pPr>
        <w:pStyle w:val="Heading2"/>
      </w:pPr>
      <w:r>
        <w:t>4. خطط التوسع والتهيئة الذكية</w:t>
      </w:r>
    </w:p>
    <w:p>
      <w:r>
        <w:br/>
        <w:t>- تُبنى كل منصة على خريطة توسعية مستمرة يتم التحكم فيها من الحساب السيادي.</w:t>
        <w:br/>
        <w:t>- يُشترط وجود واجهات تكامل تلقائي مع الخدمات العالمية (Google, AWS, etc) كجزء من البنية.</w:t>
        <w:br/>
        <w:t>- تشمل خطة التوسع دعم الولادة الذاتية للخدمات بناءً على الذكاء التحليلي الداخلي.</w:t>
        <w:br/>
      </w:r>
    </w:p>
    <w:p>
      <w:pPr>
        <w:pStyle w:val="Heading2"/>
      </w:pPr>
      <w:r>
        <w:t>5. دور الحساب السيادي في البناء</w:t>
      </w:r>
    </w:p>
    <w:p>
      <w:r>
        <w:br/>
        <w:t>- الحساب السيادي هو الجهة الوحيدة المخولة بتعديل بنية المنصات وهيكلها.</w:t>
        <w:br/>
        <w:t>- يحتوي على لوحات تحكم مركزية لكل البنى الأساسية والذكاء الموزع.</w:t>
        <w:br/>
        <w:t>- يتلقى تقارير ذاتية من الذكاء الداخلي حول صحة البناء والأداء ويقترح التحسينات.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