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Features, Smart Ensembles : Pipeline Hybride Combinant Extraction Profonde et Méta-Apprentissage</w:t>
      </w:r>
    </w:p>
    <w:p>
      <w:pPr>
        <w:pStyle w:val="Heading1"/>
      </w:pPr>
      <w:r>
        <w:t>Résumé</w:t>
      </w:r>
    </w:p>
    <w:p>
      <w:r>
        <w:t>Ce projet étudie un pipeline hybride pour la classification des lésions cutanées du dataset HAM10000.</w:t>
        <w:br/>
        <w:t>L’approche combine ResNet18 comme extracteur de caractéristiques profondes, PCA pour la réduction de dimension,</w:t>
        <w:br/>
        <w:t>et plusieurs algorithmes de Machine Learning (Random Forest, XGBoost, LightGBM, Stacking). Les résultats montrent</w:t>
        <w:br/>
        <w:t>que le pipeline hybride atteint une accuracy de 86 %, supérieure aux autres approches évaluées.</w:t>
      </w:r>
    </w:p>
    <w:p>
      <w:pPr>
        <w:pStyle w:val="Heading1"/>
      </w:pPr>
      <w:r>
        <w:t>1. Introduction</w:t>
      </w:r>
    </w:p>
    <w:p>
      <w:r>
        <w:t>Le diagnostic automatique des lésions cutanées constitue un enjeu majeur en intelligence artificielle médicale.</w:t>
        <w:br/>
        <w:t>L’objectif est de comparer Deep Learning, Machine Learning et une approche hybride afin d’identifier la solution</w:t>
        <w:br/>
        <w:t>offrant le meilleur compromis entre performance, robustesse et coût computationnel.</w:t>
      </w:r>
    </w:p>
    <w:p>
      <w:pPr>
        <w:pStyle w:val="Heading1"/>
      </w:pPr>
      <w:r>
        <w:t>2. État de l’art</w:t>
      </w:r>
    </w:p>
    <w:p>
      <w:r>
        <w:t>Les CNN ont révolutionné l’analyse d’images médicales. Les modèles ResNet, EfficientNet et Vision Transformers</w:t>
        <w:br/>
        <w:t>sont largement utilisés. Les méthodes d’ensemble comme XGBoost et Random Forest restent performantes lorsqu’elles</w:t>
        <w:br/>
        <w:t>sont alimentées par des représentations discriminantes.</w:t>
      </w:r>
    </w:p>
    <w:p>
      <w:pPr>
        <w:pStyle w:val="Heading1"/>
      </w:pPr>
      <w:r>
        <w:t>3. Dataset HAM10000</w:t>
      </w:r>
    </w:p>
    <w:p>
      <w:r>
        <w:t>Le dataset contient sept classes de lésions cutanées. Les données ont été réparties en ensembles</w:t>
        <w:br/>
        <w:t>d’entraînement (70 %), validation (15 %) et test (15 %).</w:t>
      </w:r>
    </w:p>
    <w:p>
      <w:pPr>
        <w:pStyle w:val="Heading1"/>
      </w:pPr>
      <w:r>
        <w:t>4. Préparation des données</w:t>
      </w:r>
    </w:p>
    <w:p>
      <w:r>
        <w:t>Les images ont été redimensionnées à 224x224 pixels. Des techniques d’augmentation de données</w:t>
        <w:br/>
        <w:t>(rotation, flips horizontaux et verticaux, variations de couleur) ont été appliquées afin de limiter</w:t>
        <w:br/>
        <w:t>le surapprentissage et améliorer la généralisation.</w:t>
      </w:r>
    </w:p>
    <w:p>
      <w:pPr>
        <w:pStyle w:val="Heading1"/>
      </w:pPr>
      <w:r>
        <w:t>5. Architecture du pipeline</w:t>
      </w:r>
    </w:p>
    <w:p>
      <w:r>
        <w:t>Image -&gt; ResNet18 -&gt; Features 512 dimensions -&gt; PCA -&gt; XGBoost -&gt; Classe.</w:t>
        <w:br/>
        <w:t>Cette architecture exploite la puissance des représentations profondes et la robustesse des modèles ML.</w:t>
      </w:r>
    </w:p>
    <w:p>
      <w:pPr>
        <w:pStyle w:val="Heading1"/>
      </w:pPr>
      <w:r>
        <w:t>6. Transfer Learning avec ResNet18</w:t>
      </w:r>
    </w:p>
    <w:p>
      <w:r>
        <w:t>ResNet18 pré-entraîné sur ImageNet a été utilisé. La couche finale a été remplacée pour prédire</w:t>
        <w:br/>
        <w:t>les classes du dataset HAM10000. Le modèle a été ajusté par fine-tuning.</w:t>
      </w:r>
    </w:p>
    <w:p>
      <w:pPr>
        <w:pStyle w:val="Heading1"/>
      </w:pPr>
      <w:r>
        <w:t>7. Extraction des caractéristiques</w:t>
      </w:r>
    </w:p>
    <w:p>
      <w:r>
        <w:t>La couche de classification finale a été supprimée afin d’utiliser ResNet18 comme extracteur.</w:t>
        <w:br/>
        <w:t>Chaque image est représentée par un vecteur de 512 caractéristiques profondes.</w:t>
      </w:r>
    </w:p>
    <w:p>
      <w:pPr>
        <w:pStyle w:val="Heading1"/>
      </w:pPr>
      <w:r>
        <w:t>8. Réduction de dimension</w:t>
      </w:r>
    </w:p>
    <w:p>
      <w:r>
        <w:t>L’Analyse en Composantes Principales (PCA) a été utilisée afin de conserver 95 % de la variance</w:t>
        <w:br/>
        <w:t>tout en réduisant le nombre de dimensions et le temps d’entraînement.</w:t>
      </w:r>
    </w:p>
    <w:p>
      <w:pPr>
        <w:pStyle w:val="Heading1"/>
      </w:pPr>
      <w:r>
        <w:t>9. Analyse scientifique</w:t>
      </w:r>
    </w:p>
    <w:p>
      <w:r>
        <w:t>Les scores de silhouette ont été utilisés pour comparer les représentations originales,</w:t>
        <w:br/>
        <w:t>PCA et UMAP. Cette étape permet d’évaluer la qualité de séparation des groupes dans l’espace réduit.</w:t>
      </w:r>
    </w:p>
    <w:p>
      <w:pPr>
        <w:pStyle w:val="Heading1"/>
      </w:pPr>
      <w:r>
        <w:t>10. Modèles Machine Learning</w:t>
      </w:r>
    </w:p>
    <w:p>
      <w:r>
        <w:t>Plusieurs modèles ont été entraînés :</w:t>
        <w:br/>
        <w:t>- Logistic Regression</w:t>
        <w:br/>
        <w:t>- Random Forest</w:t>
        <w:br/>
        <w:t>- XGBoost</w:t>
        <w:br/>
        <w:t>- LightGBM</w:t>
        <w:br/>
        <w:t>- Stacking</w:t>
        <w:br/>
        <w:t>Les performances ont été évaluées à l’aide d’une validation croisée stratifiée à 5 plis.</w:t>
      </w:r>
    </w:p>
    <w:p>
      <w:pPr>
        <w:pStyle w:val="Heading1"/>
      </w:pPr>
      <w:r>
        <w:t>11. Résultats expérimentaux</w:t>
      </w:r>
    </w:p>
    <w:p>
      <w:r>
        <w:t>Accuracy obtenues :</w:t>
        <w:br/>
        <w:t>Random Forest : 0.69</w:t>
        <w:br/>
        <w:t>XGBoost : 0.73</w:t>
        <w:br/>
        <w:t>LightGBM : 0.68</w:t>
        <w:br/>
        <w:t>Stacking : 0.74</w:t>
        <w:br/>
        <w:t>Logistic Regression : 0.74</w:t>
        <w:br/>
        <w:t>Pipeline Hybride : 0.86</w:t>
      </w:r>
    </w:p>
    <w:p>
      <w:pPr>
        <w:pStyle w:val="Heading1"/>
      </w:pPr>
      <w:r>
        <w:t>12. Discussion</w:t>
      </w:r>
    </w:p>
    <w:p>
      <w:r>
        <w:t>Le pipeline hybride surpasse les autres approches. Les caractéristiques profondes extraites</w:t>
        <w:br/>
        <w:t>par ResNet18 fournissent une représentation riche des images. XGBoost exploite efficacement ces</w:t>
        <w:br/>
        <w:t>représentations après réduction de dimension.</w:t>
      </w:r>
    </w:p>
    <w:p>
      <w:pPr>
        <w:pStyle w:val="Heading1"/>
      </w:pPr>
      <w:r>
        <w:t>13. Interprétabilité et SHAP</w:t>
      </w:r>
    </w:p>
    <w:p>
      <w:r>
        <w:t>L’utilisation de SHAP permet d’identifier les caractéristiques les plus importantes et</w:t>
        <w:br/>
        <w:t>d’expliquer les décisions du modèle hybride.</w:t>
      </w:r>
    </w:p>
    <w:p>
      <w:pPr>
        <w:pStyle w:val="Heading1"/>
      </w:pPr>
      <w:r>
        <w:t>14. Analyse des coûts</w:t>
      </w:r>
    </w:p>
    <w:p>
      <w:r>
        <w:t>Les temps d’entraînement, l’utilisation mémoire et le coût computationnel doivent être</w:t>
        <w:br/>
        <w:t>comparés entre les différentes approches afin de mesurer l’intérêt pratique de l’hybridation.</w:t>
      </w:r>
    </w:p>
    <w:p>
      <w:pPr>
        <w:pStyle w:val="Heading1"/>
      </w:pPr>
      <w:r>
        <w:t>15. Limites</w:t>
      </w:r>
    </w:p>
    <w:p>
      <w:r>
        <w:t>Le déséquilibre des classes, les ressources limitées de Google Colab et la taille du dataset</w:t>
        <w:br/>
        <w:t>constituent les principales limites de cette étude.</w:t>
      </w:r>
    </w:p>
    <w:p>
      <w:pPr>
        <w:pStyle w:val="Heading1"/>
      </w:pPr>
      <w:r>
        <w:t>16. Conclusion</w:t>
      </w:r>
    </w:p>
    <w:p>
      <w:r>
        <w:t>L’étude démontre que l’approche hybride combinant Deep Learning et Machine Learning constitue</w:t>
        <w:br/>
        <w:t>la meilleure solution pour la classification des lésions cutanées. Avec une accuracy de 86 %,</w:t>
        <w:br/>
        <w:t>elle dépasse les modèles ML évalués et valide l’intérêt scientifique de l’hybridation.</w:t>
      </w:r>
    </w:p>
    <w:p>
      <w:pPr>
        <w:pStyle w:val="Heading1"/>
      </w:pPr>
      <w:r>
        <w:t>Bibliographie</w:t>
      </w:r>
    </w:p>
    <w:p>
      <w:r>
        <w:t>1. He et al., Deep Residual Learning for Image Recognition.</w:t>
        <w:br/>
        <w:t>2. Deng et al., ImageNet Dataset.</w:t>
        <w:br/>
        <w:t>3. Lundberg et al., SHAP.</w:t>
        <w:br/>
        <w:t>4. Breiman, Random Forests.</w:t>
        <w:br/>
        <w:t>5. Chen &amp; Guestrin, XGBoost.</w:t>
        <w:br/>
        <w:t>6. Ke et al., LightGBM.</w:t>
        <w:br/>
        <w:t>7. Jolliffe, Principal Component Analysis.</w:t>
        <w:br/>
        <w:t>8. McInnes et al., UMAP.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