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 xml:space="preserve">علمي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←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رسالة عمر بن الخطاب إلى أبي موسى الأشعري في القضاء (علمي فقط)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علمي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←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خطبة الحجاج بن يوسف (دراسة علمي فقط)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علمي وأدبي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←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رسالة الحسن البصري (حفظ علمي وأدبي)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أدبي 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←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رسالة عبد الحميد الكاتب (أدبي دراسة)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</Words>
  <Characters>166</Characters>
  <Application>WPS Office</Application>
  <Paragraphs>15</Paragraphs>
  <CharactersWithSpaces>202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٢٠٢٦-٠٥-٢٠T٠٥:٥٦:١٣Z</dcterms:created>
  <dc:creator>V2529</dc:creator>
  <lastModifiedBy>V2529</lastModifiedBy>
  <dcterms:modified xsi:type="dcterms:W3CDTF">٢٠٢٦-٠٥-٢٠T٠٦:٥٠:٣٣Z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b1890d00bcb44d68a94347ef4368c87c</vt:lpwstr>
  </property>
</Properties>
</file>