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Demonstration</w:t>
      </w:r>
    </w:p>
    <w:p/>
    <w:p>
      <w:pPr>
        <w:pStyle w:val="Heading1"/>
      </w:pPr>
      <w:r>
        <w:t>Demonstration Steps</w:t>
      </w:r>
    </w:p>
    <w:p/>
    <w:p>
      <w:r>
        <w:t>1. Import employee data into ServiceNow.</w:t>
      </w:r>
    </w:p>
    <w:p>
      <w:r>
        <w:t>2. Verify employee records in the User table.</w:t>
      </w:r>
    </w:p>
    <w:p>
      <w:r>
        <w:t>3. Create a new incident.</w:t>
      </w:r>
    </w:p>
    <w:p>
      <w:r>
        <w:t>4. Assign the incident to an imported user.</w:t>
      </w:r>
    </w:p>
    <w:p>
      <w:r>
        <w:t>5. Observe department, email and manager details appear automatically.</w:t>
      </w:r>
    </w:p>
    <w:p>
      <w:r>
        <w:t>6. Verify the default priority value is 3 (Moderate).</w:t>
      </w:r>
    </w:p>
    <w:p/>
    <w:p>
      <w:r>
        <w:t>Result</w:t>
      </w:r>
    </w:p>
    <w:p>
      <w:r>
        <w:t>The system successfully automates employee data import and improves incident management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