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585A3828" w:rsidR="00ED1CE6" w:rsidRDefault="00C50A07"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AQI Prediction Report</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491AF6A6" w:rsidR="00BD670B" w:rsidRPr="00D97DD7" w:rsidRDefault="00C50A07" w:rsidP="00BD670B">
      <w:pPr>
        <w:pStyle w:val="Author"/>
        <w:spacing w:before="5pt" w:beforeAutospacing="1"/>
        <w:rPr>
          <w:sz w:val="18"/>
          <w:szCs w:val="18"/>
        </w:rPr>
      </w:pPr>
      <w:r>
        <w:rPr>
          <w:sz w:val="18"/>
          <w:szCs w:val="18"/>
        </w:rPr>
        <w:t>Mohamed Mohamed</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proofErr w:type="gramStart"/>
      <w:r w:rsidR="003A0E8D">
        <w:rPr>
          <w:rFonts w:hint="eastAsia"/>
          <w:b w:val="0"/>
          <w:i/>
          <w:iCs/>
          <w:lang w:eastAsia="zh-CN"/>
        </w:rPr>
        <w:t>provide</w:t>
      </w:r>
      <w:proofErr w:type="gramEnd"/>
      <w:r w:rsidR="003A0E8D">
        <w:rPr>
          <w:rFonts w:hint="eastAsia"/>
          <w:b w:val="0"/>
          <w:i/>
          <w:iCs/>
          <w:lang w:eastAsia="zh-CN"/>
        </w:rPr>
        <w:t xml:space="preserv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61405DC6" w14:textId="77777777" w:rsidR="009F0372" w:rsidRPr="009F0372" w:rsidRDefault="00B6733E" w:rsidP="009F0372">
      <w:pPr>
        <w:pStyle w:val="BodyText"/>
        <w:rPr>
          <w:lang w:eastAsia="zh-CN"/>
        </w:rPr>
      </w:pPr>
      <w:r>
        <w:rPr>
          <w:lang w:val="en-US" w:eastAsia="zh-CN"/>
        </w:rPr>
        <w:tab/>
      </w:r>
      <w:r w:rsidR="009F0372" w:rsidRPr="009F0372">
        <w:rPr>
          <w:lang w:eastAsia="zh-CN"/>
        </w:rPr>
        <w:t>Air pollution remains one of the most pressing environmental challenges of our time, with significant implications for human health, ecosystems, and climate. The quality of air we breathe is influenced by various factors, including industrial activities, vehicle emissions, and weather conditions. As urban populations continue to grow, so does the demand for robust monitoring systems that can predict and mitigate the risks associated with poor air quality. This project focuses on the analysis and prediction of Air Quality Index (AQI) levels using historical environmental data and machine learning techniques.</w:t>
      </w:r>
    </w:p>
    <w:p w14:paraId="7D5A71AF" w14:textId="77777777" w:rsidR="009F0372" w:rsidRPr="009F0372" w:rsidRDefault="009F0372" w:rsidP="009F0372">
      <w:pPr>
        <w:pStyle w:val="BodyText"/>
        <w:rPr>
          <w:lang w:eastAsia="zh-CN"/>
        </w:rPr>
      </w:pPr>
      <w:r w:rsidRPr="009F0372">
        <w:rPr>
          <w:lang w:eastAsia="zh-CN"/>
        </w:rPr>
        <w:t>Accurate AQI prediction not only empowers local governments and environmental agencies to make data-driven decisions but also enhances public awareness and safety. To achieve this, we explore the relationships between AQI levels and environmental variables such as PM2.5, ozone (O₃), carbon monoxide (CO), nitrogen dioxide (NO₂), temperature, humidity, and wind speed. By identifying which pollutants contribute the most to air quality deterioration and how these patterns vary seasonally and geographically, we can better understand the dynamics of air pollution.</w:t>
      </w:r>
    </w:p>
    <w:p w14:paraId="11C830FA" w14:textId="77777777" w:rsidR="009F0372" w:rsidRPr="009F0372" w:rsidRDefault="009F0372" w:rsidP="009F0372">
      <w:pPr>
        <w:pStyle w:val="BodyText"/>
        <w:rPr>
          <w:lang w:eastAsia="zh-CN"/>
        </w:rPr>
      </w:pPr>
      <w:r w:rsidRPr="009F0372">
        <w:rPr>
          <w:lang w:eastAsia="zh-CN"/>
        </w:rPr>
        <w:t>Previous studies have demonstrated the potential of machine learning models, such as regression and classification algorithms, in predicting air quality outcomes. For example, linear regression has been used effectively to model AQI as a continuous variable, while classification models such as decision trees, support vector machines (SVM), and neural networks have shown promise in categorizing AQI levels into health-related brackets. Evaluation metrics such as root mean square error (RMSE), mean absolute error (MAE), accuracy, and F1-score are commonly applied to assess the performance of these models [1][2][3].</w:t>
      </w:r>
    </w:p>
    <w:p w14:paraId="480B9799" w14:textId="77777777" w:rsidR="009F0372" w:rsidRPr="009F0372" w:rsidRDefault="009F0372" w:rsidP="009F0372">
      <w:pPr>
        <w:pStyle w:val="BodyText"/>
        <w:rPr>
          <w:lang w:eastAsia="zh-CN"/>
        </w:rPr>
      </w:pPr>
      <w:r w:rsidRPr="009F0372">
        <w:rPr>
          <w:lang w:eastAsia="zh-CN"/>
        </w:rPr>
        <w:t xml:space="preserve">This project aims to answer several interrelated questions: Which pollutants are the strongest indicators of poor air quality? How accurately can we predict AQI levels using historical and environmental data? What influence do seasonal changes and geographic differences have on pollution patterns? And finally, how can this information inform actions cities can take to reduce harmful exposure to polluted air? Through rigorous data analysis and modeling, this work intends to contribute to the growing body of research </w:t>
      </w:r>
      <w:r w:rsidRPr="009F0372">
        <w:rPr>
          <w:lang w:eastAsia="zh-CN"/>
        </w:rPr>
        <w:t>on predictive air quality systems and offer practical insights for future environmental policy and public health planning.</w:t>
      </w:r>
    </w:p>
    <w:p w14:paraId="2BBE5788" w14:textId="7FC3ABEF" w:rsidR="009303D9" w:rsidRPr="00D97DD7" w:rsidRDefault="00B272CE" w:rsidP="009F0372">
      <w:pPr>
        <w:pStyle w:val="BodyText"/>
        <w:ind w:firstLine="0pt"/>
      </w:pPr>
      <w:r>
        <w:rPr>
          <w:rFonts w:hint="eastAsia"/>
          <w:lang w:eastAsia="zh-CN"/>
        </w:rPr>
        <w:t>Datasets</w:t>
      </w:r>
    </w:p>
    <w:p w14:paraId="7F33C0B7" w14:textId="77777777" w:rsidR="00C50A07" w:rsidRPr="00C50A07" w:rsidRDefault="00C50A07" w:rsidP="00C50A07">
      <w:pPr>
        <w:pStyle w:val="BodyText"/>
        <w:rPr>
          <w:noProof/>
          <w:spacing w:val="0"/>
          <w:lang w:val="en-US" w:eastAsia="zh-CN"/>
        </w:rPr>
      </w:pPr>
      <w:r w:rsidRPr="00C50A07">
        <w:rPr>
          <w:noProof/>
          <w:spacing w:val="0"/>
          <w:lang w:val="en-US" w:eastAsia="zh-CN"/>
        </w:rPr>
        <w:t>The datasets used in this project are sourced from publicly available, reputable platforms including Kaggle and Data.gov. These platforms are widely used in the data science community and are known for hosting high-quality, credible datasets submitted by organizations, researchers, and verified contributors.</w:t>
      </w:r>
    </w:p>
    <w:p w14:paraId="1301786F" w14:textId="749204C8" w:rsidR="00C50A07" w:rsidRPr="00C50A07" w:rsidRDefault="00C50A07" w:rsidP="00C50A07">
      <w:pPr>
        <w:pStyle w:val="BodyText"/>
        <w:rPr>
          <w:i/>
          <w:iCs/>
          <w:noProof/>
          <w:lang w:eastAsia="zh-CN"/>
        </w:rPr>
      </w:pPr>
      <w:r w:rsidRPr="00C50A07">
        <w:rPr>
          <w:b/>
          <w:bCs/>
          <w:i/>
          <w:iCs/>
          <w:noProof/>
          <w:lang w:eastAsia="zh-CN"/>
        </w:rPr>
        <w:t>  Air</w:t>
      </w:r>
      <w:r>
        <w:rPr>
          <w:b/>
          <w:bCs/>
          <w:i/>
          <w:iCs/>
          <w:noProof/>
          <w:lang w:val="en-US" w:eastAsia="zh-CN"/>
        </w:rPr>
        <w:t xml:space="preserve"> </w:t>
      </w:r>
      <w:r w:rsidRPr="00C50A07">
        <w:rPr>
          <w:b/>
          <w:bCs/>
          <w:i/>
          <w:iCs/>
          <w:noProof/>
          <w:lang w:eastAsia="zh-CN"/>
        </w:rPr>
        <w:t>Quality Data Set (Kaggle)</w:t>
      </w:r>
      <w:r w:rsidRPr="00C50A07">
        <w:rPr>
          <w:b/>
          <w:bCs/>
          <w:i/>
          <w:iCs/>
          <w:noProof/>
          <w:lang w:eastAsia="zh-CN"/>
        </w:rPr>
        <w:br/>
      </w:r>
      <w:r w:rsidRPr="00C50A07">
        <w:rPr>
          <w:i/>
          <w:iCs/>
          <w:noProof/>
          <w:lang w:eastAsia="zh-CN"/>
        </w:rPr>
        <w:t>This dataset was published on Kaggle and consists of hourly-averaged responses from a chemical sensor array in an Italian city. The original data was collected between March 2004 and February 2005 using metal oxide sensors designed to detect air pollutants such as CO, benzene, and NOx. The dataset was created by researchers to support air quality analysis using sensor technology.</w:t>
      </w:r>
    </w:p>
    <w:p w14:paraId="3A75EF99" w14:textId="77777777" w:rsidR="00C50A07" w:rsidRPr="00C50A07" w:rsidRDefault="00C50A07" w:rsidP="00C50A07">
      <w:pPr>
        <w:pStyle w:val="BodyText"/>
        <w:rPr>
          <w:i/>
          <w:iCs/>
          <w:noProof/>
          <w:lang w:eastAsia="zh-CN"/>
        </w:rPr>
      </w:pPr>
      <w:r w:rsidRPr="00C50A07">
        <w:rPr>
          <w:b/>
          <w:bCs/>
          <w:i/>
          <w:iCs/>
          <w:noProof/>
          <w:lang w:eastAsia="zh-CN"/>
        </w:rPr>
        <w:t>  U.S. Pollution Data (2000–2022)</w:t>
      </w:r>
      <w:r w:rsidRPr="00C50A07">
        <w:rPr>
          <w:b/>
          <w:bCs/>
          <w:i/>
          <w:iCs/>
          <w:noProof/>
          <w:lang w:eastAsia="zh-CN"/>
        </w:rPr>
        <w:br/>
      </w:r>
      <w:r w:rsidRPr="00C50A07">
        <w:rPr>
          <w:i/>
          <w:iCs/>
          <w:noProof/>
          <w:lang w:eastAsia="zh-CN"/>
        </w:rPr>
        <w:t>This dataset was generated by compiling air quality monitoring data from the U.S. Environmental Protection Agency (EPA). It includes pollutant readings (e.g., O₃, CO, NO₂, and SO₂) across the United States from 2000 to 2022. The data was collected from various EPA monitoring stations and submitted for public access and research purposes.</w:t>
      </w:r>
    </w:p>
    <w:p w14:paraId="5975A00A" w14:textId="77777777" w:rsidR="00C50A07" w:rsidRPr="00C50A07" w:rsidRDefault="00C50A07" w:rsidP="00C50A07">
      <w:pPr>
        <w:pStyle w:val="BodyText"/>
        <w:rPr>
          <w:b/>
          <w:bCs/>
          <w:i/>
          <w:iCs/>
          <w:noProof/>
          <w:lang w:eastAsia="zh-CN"/>
        </w:rPr>
      </w:pPr>
      <w:r w:rsidRPr="00C50A07">
        <w:rPr>
          <w:b/>
          <w:bCs/>
          <w:i/>
          <w:iCs/>
          <w:noProof/>
          <w:lang w:eastAsia="zh-CN"/>
        </w:rPr>
        <w:t>  Air Quality System (AQS) Monitoring Data (Data.gov)</w:t>
      </w:r>
      <w:r w:rsidRPr="00C50A07">
        <w:rPr>
          <w:b/>
          <w:bCs/>
          <w:i/>
          <w:iCs/>
          <w:noProof/>
          <w:lang w:eastAsia="zh-CN"/>
        </w:rPr>
        <w:br/>
      </w:r>
      <w:r w:rsidRPr="00C50A07">
        <w:rPr>
          <w:i/>
          <w:iCs/>
          <w:noProof/>
          <w:lang w:eastAsia="zh-CN"/>
        </w:rPr>
        <w:t>This dataset is hosted on Data.gov and maintained by the EPA. It contains geospatial metadata and sensor readings from monitoring stations across the U.S., capturing pollutants such as PM2.5, NO₂, O₃, and meteorological variables like wind speed and barometric pressure. The AQS is a reliable government data source used for environmental and public health research.</w:t>
      </w: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lastRenderedPageBreak/>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 xml:space="preserve">In this section, present your findings using an appropriate method, such as equations, numerical summaries, or visualizations like charts and graphs. Clearly explain all </w:t>
      </w:r>
      <w:r w:rsidRPr="00613A39">
        <w:rPr>
          <w:color w:val="FF0000"/>
          <w:lang w:val="en-US" w:eastAsia="zh-CN"/>
        </w:rPr>
        <w:t>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lastRenderedPageBreak/>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 xml:space="preserve">names; do not use “et al.”. Papers that </w:t>
      </w:r>
      <w:r w:rsidR="009303D9" w:rsidRPr="00ED7705">
        <w:rPr>
          <w:color w:val="FF0000"/>
          <w:lang w:val="en-US"/>
        </w:rPr>
        <w:t>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0372"/>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50A07"/>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4328">
      <w:bodyDiv w:val="1"/>
      <w:marLeft w:val="0pt"/>
      <w:marRight w:val="0pt"/>
      <w:marTop w:val="0pt"/>
      <w:marBottom w:val="0pt"/>
      <w:divBdr>
        <w:top w:val="none" w:sz="0" w:space="0" w:color="auto"/>
        <w:left w:val="none" w:sz="0" w:space="0" w:color="auto"/>
        <w:bottom w:val="none" w:sz="0" w:space="0" w:color="auto"/>
        <w:right w:val="none" w:sz="0" w:space="0" w:color="auto"/>
      </w:divBdr>
    </w:div>
    <w:div w:id="323825400">
      <w:bodyDiv w:val="1"/>
      <w:marLeft w:val="0pt"/>
      <w:marRight w:val="0pt"/>
      <w:marTop w:val="0pt"/>
      <w:marBottom w:val="0pt"/>
      <w:divBdr>
        <w:top w:val="none" w:sz="0" w:space="0" w:color="auto"/>
        <w:left w:val="none" w:sz="0" w:space="0" w:color="auto"/>
        <w:bottom w:val="none" w:sz="0" w:space="0" w:color="auto"/>
        <w:right w:val="none" w:sz="0" w:space="0" w:color="auto"/>
      </w:divBdr>
    </w:div>
    <w:div w:id="550922465">
      <w:bodyDiv w:val="1"/>
      <w:marLeft w:val="0pt"/>
      <w:marRight w:val="0pt"/>
      <w:marTop w:val="0pt"/>
      <w:marBottom w:val="0pt"/>
      <w:divBdr>
        <w:top w:val="none" w:sz="0" w:space="0" w:color="auto"/>
        <w:left w:val="none" w:sz="0" w:space="0" w:color="auto"/>
        <w:bottom w:val="none" w:sz="0" w:space="0" w:color="auto"/>
        <w:right w:val="none" w:sz="0" w:space="0" w:color="auto"/>
      </w:divBdr>
    </w:div>
    <w:div w:id="1441603060">
      <w:bodyDiv w:val="1"/>
      <w:marLeft w:val="0pt"/>
      <w:marRight w:val="0pt"/>
      <w:marTop w:val="0pt"/>
      <w:marBottom w:val="0pt"/>
      <w:divBdr>
        <w:top w:val="none" w:sz="0" w:space="0" w:color="auto"/>
        <w:left w:val="none" w:sz="0" w:space="0" w:color="auto"/>
        <w:bottom w:val="none" w:sz="0" w:space="0" w:color="auto"/>
        <w:right w:val="none" w:sz="0" w:space="0" w:color="auto"/>
      </w:divBdr>
    </w:div>
    <w:div w:id="15930805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2067</Words>
  <Characters>11066</Characters>
  <Application>Microsoft Office Word</Application>
  <DocSecurity>0</DocSecurity>
  <Lines>92</Lines>
  <Paragraphs>26</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cp:lastModifiedBy>
  <cp:revision>2</cp:revision>
  <dcterms:created xsi:type="dcterms:W3CDTF">2025-03-29T22:13:00Z</dcterms:created>
  <dcterms:modified xsi:type="dcterms:W3CDTF">2025-03-29T22:13:00Z</dcterms:modified>
</cp:coreProperties>
</file>