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media/vector121.svg" ContentType="image/svg+xml"/>
  <Override PartName="/word/media/vector122.svg" ContentType="image/svg+xml"/>
  <Override PartName="/word/media/vector123.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rogCoverKicker"/>
      </w:pPr>
      <w:r>
        <w:t>Programme de formation</w:t>
      </w:r>
      <w:r>
        <w:drawing>
          <wp:anchor xmlns:a="http://schemas.openxmlformats.org/drawingml/2006/main" xmlns:pic="http://schemas.openxmlformats.org/drawingml/2006/picture" distT="0" distB="0" distL="0" distR="0" simplePos="0" relativeHeight="2" behindDoc="1" locked="0" layoutInCell="1" allowOverlap="1">
            <wp:simplePos x="0" y="0"/>
            <wp:positionH relativeFrom="page">
              <wp:posOffset>0</wp:posOffset>
            </wp:positionH>
            <wp:positionV relativeFrom="page">
              <wp:posOffset>0</wp:posOffset>
            </wp:positionV>
            <wp:extent cx="7560000" cy="2835000"/>
            <wp:effectExtent l="0" t="0" r="0" b="0"/>
            <wp:wrapNone/>
            <wp:docPr id="900" name="Cover tiles"/>
            <wp:cNvGraphicFramePr/>
            <a:graphic>
              <a:graphicData uri="http://schemas.openxmlformats.org/drawingml/2006/picture">
                <pic:pic>
                  <pic:nvPicPr>
                    <pic:cNvPr id="0" name="image.png"/>
                    <pic:cNvPicPr/>
                  </pic:nvPicPr>
                  <pic:blipFill>
                    <a:blip r:embed="rId12">
                      <a:extLst>
                        <a:ext uri="{96DAC541-7B7A-43D3-8B79-37D633B846F1}">
                          <asvg:svgBlip xmlns:asvg="http://schemas.microsoft.com/office/drawing/2016/SVG/main" r:embed="rId13"/>
                        </a:ext>
                      </a:extLst>
                    </a:blip>
                    <a:stretch>
                      <a:fillRect/>
                    </a:stretch>
                  </pic:blipFill>
                  <pic:spPr>
                    <a:xfrm>
                      <a:off x="0" y="0"/>
                      <a:ext cx="7560000" cy="2835000"/>
                    </a:xfrm>
                    <a:prstGeom prst="rect"/>
                  </pic:spPr>
                </pic:pic>
              </a:graphicData>
            </a:graphic>
          </wp:anchor>
        </w:drawing>
      </w:r>
    </w:p>
    <w:p>
      <w:pPr>
        <w:pStyle w:val="ProgCoverTitle"/>
      </w:pPr>
      <w:r>
        <w:t>Administration Kubernetes (CKA)</w:t>
      </w:r>
    </w:p>
    <w:p>
      <w:pPr>
        <w:pStyle w:val="ProgCoverSub"/>
      </w:pPr>
      <w:r>
        <w:t>Installer, sécuriser, mettre à niveau et dépanner des clusters Kubernetes</w:t>
      </w:r>
    </w:p>
    <w:p>
      <w:pPr>
        <w:pStyle w:val="ProgCoverStat"/>
      </w:pPr>
      <w:r>
        <w:t>36</w:t>
      </w:r>
      <w:r>
        <w:rPr>
          <w:rStyle w:val="ProgCoverUnit"/>
        </w:rPr>
        <w:t xml:space="preserve">  Heures</w:t>
      </w:r>
    </w:p>
    <w:p>
      <w:pPr>
        <w:pStyle w:val="ProgCoverLine"/>
      </w:pPr>
      <w:r>
        <w:rPr>
          <w:rStyle w:val="ProgCoverLabel"/>
        </w:rPr>
        <w:t>Pour</w:t>
      </w:r>
      <w:r>
        <w:t xml:space="preserve">   Ingénieurs qui exploitent des clusters Kubernetes et préparent l’examen CKA</w:t>
      </w:r>
    </w:p>
    <w:p>
      <w:pPr>
        <w:pStyle w:val="ProgCoverLine"/>
      </w:pPr>
      <w:r>
        <w:rPr>
          <w:rStyle w:val="ProgCoverLabel"/>
        </w:rPr>
        <w:t>Prépare à</w:t>
      </w:r>
      <w:r>
        <w:t xml:space="preserve">   Certified Kubernetes Administrator (CKA, programme 2025)</w:t>
      </w:r>
    </w:p>
    <w:tbl>
      <w:tblPr>
        <w:tblW w:type="auto" w:w="0"/>
        <w:tblLayout w:type="fixed"/>
        <w:tblLook w:firstColumn="1" w:firstRow="1" w:lastColumn="0" w:lastRow="0" w:noHBand="0" w:noVBand="1" w:val="04A0"/>
        <w:tblpPr w:leftFromText="0" w:rightFromText="0" w:vertAnchor="page" w:horzAnchor="margin" w:tblpY="14592"/>
      </w:tblPr>
      <w:tblGrid>
        <w:gridCol w:w="4819"/>
        <w:gridCol w:w="4819"/>
      </w:tblGrid>
      <w:tr>
        <w:tc>
          <w:tcPr>
            <w:tcW w:type="dxa" w:w="1077"/>
          </w:tcPr>
          <w:p>
            <w:pPr>
              <w:pStyle w:val="ProgCoverName"/>
            </w:pPr>
            <w:r>
              <w:drawing>
                <wp:inline xmlns:a="http://schemas.openxmlformats.org/drawingml/2006/main" xmlns:pic="http://schemas.openxmlformats.org/drawingml/2006/picture">
                  <wp:extent cx="516563" cy="486000"/>
                  <wp:docPr id="901" name="Picture 901"/>
                  <wp:cNvGraphicFramePr>
                    <a:graphicFrameLocks noChangeAspect="1"/>
                  </wp:cNvGraphicFramePr>
                  <a:graphic>
                    <a:graphicData uri="http://schemas.openxmlformats.org/drawingml/2006/picture">
                      <pic:pic>
                        <pic:nvPicPr>
                          <pic:cNvPr id="0" name="image.png"/>
                          <pic:cNvPicPr/>
                        </pic:nvPicPr>
                        <pic:blipFill>
                          <a:blip r:embed="rId14">
                            <a:extLst>
                              <a:ext uri="{96DAC541-7B7A-43D3-8B79-37D633B846F1}">
                                <asvg:svgBlip xmlns:asvg="http://schemas.microsoft.com/office/drawing/2016/SVG/main" r:embed="rId15"/>
                              </a:ext>
                            </a:extLst>
                          </a:blip>
                          <a:stretch>
                            <a:fillRect/>
                          </a:stretch>
                        </pic:blipFill>
                        <pic:spPr>
                          <a:xfrm>
                            <a:off x="0" y="0"/>
                            <a:ext cx="516563" cy="486000"/>
                          </a:xfrm>
                          <a:prstGeom prst="rect"/>
                        </pic:spPr>
                      </pic:pic>
                    </a:graphicData>
                  </a:graphic>
                </wp:inline>
              </w:drawing>
            </w:r>
          </w:p>
        </w:tc>
        <w:tc>
          <w:tcPr>
            <w:tcW w:type="dxa" w:w="5102"/>
            <w:vAlign w:val="center"/>
          </w:tcPr>
          <w:p>
            <w:pPr>
              <w:pStyle w:val="ProgCoverName"/>
            </w:pPr>
            <w:r>
              <w:t>Mohamed Aziz BEN HAHA</w:t>
            </w:r>
          </w:p>
          <w:p>
            <w:pPr>
              <w:pStyle w:val="ProgCoverSite"/>
            </w:pPr>
            <w:r>
              <w:t>mohamedazizbenhaha.netlify.app</w:t>
            </w:r>
          </w:p>
        </w:tc>
      </w:tr>
    </w:tbl>
    <w:p>
      <w:pPr>
        <w:pStyle w:val="ProgBody"/>
        <w:spacing w:after="0"/>
      </w:pPr>
      <w:r>
        <w:br w:type="page"/>
      </w:r>
    </w:p>
    <w:p>
      <w:pPr>
        <w:pStyle w:val="Heading2"/>
        <w:spacing w:before="0"/>
      </w:pPr>
      <w:r>
        <w:t>Présentation</w:t>
      </w:r>
    </w:p>
    <w:p>
      <w:pPr>
        <w:pStyle w:val="ProgBody"/>
      </w:pPr>
      <w:r>
        <w:t>Ce programme prépare les participants à administrer des clusters Kubernetes et à se présenter à l’examen CKA (programme 2025). Ils installent un cluster hautement disponible avec kubeadm, le mettent à niveau et sauvegardent etcd, le sécurisent avec RBAC et les contextes de sécurité, contrôlent l’ordonnancement, configurent le réseau du cluster du CNI à la Gateway API, gèrent le stockage, et étendent le cluster avec Helm, Kustomize, les ressources personnalisées et les opérateurs. Chaque TP se termine par une étape de dépannage, un examen blanc chronométré mesure le niveau atteint, et le programme s’achève par un projet final : un cluster construit, sécurisé, mis à niveau et réparé par chaque équipe. La sauvegarde et la restauration d’etcd sont enseignées comme compétence d’exploitation ; elles ne font plus partie des objectifs CKA.</w:t>
      </w:r>
    </w:p>
    <w:p>
      <w:pPr>
        <w:pStyle w:val="Heading2"/>
      </w:pPr>
      <w:r>
        <w:t>Vue d’ensemble</w:t>
      </w:r>
    </w:p>
    <w:tbl>
      <w:tblPr>
        <w:tblStyle w:val="ProgTable"/>
        <w:tblW w:type="auto" w:w="0"/>
        <w:jc w:val="center"/>
        <w:tblLayout w:type="fixed"/>
        <w:tblLook w:firstColumn="0" w:firstRow="1" w:lastColumn="0" w:lastRow="0" w:noHBand="1" w:noVBand="1" w:val="04A0"/>
      </w:tblPr>
      <w:tblGrid>
        <w:gridCol w:w="680"/>
        <w:gridCol w:w="2948"/>
        <w:gridCol w:w="4989"/>
        <w:gridCol w:w="1020"/>
      </w:tblGrid>
      <w:tr>
        <w:tc>
          <w:tcPr>
            <w:tcW w:type="dxa" w:w="680"/>
          </w:tcPr>
          <w:p>
            <w:pPr>
              <w:pStyle w:val="ProgTableHead"/>
              <w:keepNext/>
            </w:pPr>
            <w:r>
              <w:t>#</w:t>
            </w:r>
          </w:p>
        </w:tc>
        <w:tc>
          <w:tcPr>
            <w:tcW w:type="dxa" w:w="2948"/>
          </w:tcPr>
          <w:p>
            <w:pPr>
              <w:pStyle w:val="ProgTableHead"/>
              <w:keepNext/>
            </w:pPr>
            <w:r>
              <w:t>Phase</w:t>
            </w:r>
          </w:p>
        </w:tc>
        <w:tc>
          <w:tcPr>
            <w:tcW w:type="dxa" w:w="4989"/>
          </w:tcPr>
          <w:p>
            <w:pPr>
              <w:pStyle w:val="ProgTableHead"/>
              <w:keepNext/>
            </w:pPr>
            <w:r>
              <w:t>Thèmes</w:t>
            </w:r>
          </w:p>
        </w:tc>
        <w:tc>
          <w:tcPr>
            <w:tcW w:type="dxa" w:w="1020"/>
          </w:tcPr>
          <w:p>
            <w:pPr>
              <w:pStyle w:val="ProgTableHead"/>
              <w:keepNext/>
              <w:jc w:val="right"/>
            </w:pPr>
            <w:r>
              <w:t>Heures</w:t>
            </w:r>
          </w:p>
        </w:tc>
      </w:tr>
      <w:tr>
        <w:tc>
          <w:tcPr>
            <w:tcW w:type="dxa" w:w="680"/>
          </w:tcPr>
          <w:p>
            <w:pPr>
              <w:pStyle w:val="ProgTableNumber"/>
              <w:keepNext/>
            </w:pPr>
            <w:r>
              <w:t>01</w:t>
            </w:r>
          </w:p>
        </w:tc>
        <w:tc>
          <w:tcPr>
            <w:tcW w:type="dxa" w:w="2948"/>
          </w:tcPr>
          <w:p>
            <w:pPr>
              <w:pStyle w:val="ProgTableStrong"/>
              <w:keepNext/>
            </w:pPr>
            <w:r>
              <w:t>Installation et cycle de vie du cluster</w:t>
            </w:r>
          </w:p>
        </w:tc>
        <w:tc>
          <w:tcPr>
            <w:tcW w:type="dxa" w:w="4989"/>
          </w:tcPr>
          <w:p>
            <w:pPr>
              <w:pStyle w:val="ProgTableMuted"/>
              <w:keepNext/>
            </w:pPr>
            <w:r>
              <w:t>kubeadm, plan de contrôle hautement disponible, mises à niveau, sauvegarde d’etcd</w:t>
            </w:r>
          </w:p>
        </w:tc>
        <w:tc>
          <w:tcPr>
            <w:tcW w:type="dxa" w:w="1020"/>
          </w:tcPr>
          <w:p>
            <w:pPr>
              <w:pStyle w:val="ProgTableHours"/>
              <w:keepNext/>
            </w:pPr>
            <w:r>
              <w:t>6 h</w:t>
            </w:r>
          </w:p>
        </w:tc>
      </w:tr>
      <w:tr>
        <w:tc>
          <w:tcPr>
            <w:tcW w:type="dxa" w:w="680"/>
          </w:tcPr>
          <w:p>
            <w:pPr>
              <w:pStyle w:val="ProgTableNumber"/>
              <w:keepNext/>
            </w:pPr>
            <w:r>
              <w:t>02</w:t>
            </w:r>
          </w:p>
        </w:tc>
        <w:tc>
          <w:tcPr>
            <w:tcW w:type="dxa" w:w="2948"/>
          </w:tcPr>
          <w:p>
            <w:pPr>
              <w:pStyle w:val="ProgTableStrong"/>
              <w:keepNext/>
            </w:pPr>
            <w:r>
              <w:t>Sécurité et ordonnancement</w:t>
            </w:r>
          </w:p>
        </w:tc>
        <w:tc>
          <w:tcPr>
            <w:tcW w:type="dxa" w:w="4989"/>
          </w:tcPr>
          <w:p>
            <w:pPr>
              <w:pStyle w:val="ProgTableMuted"/>
              <w:keepNext/>
            </w:pPr>
            <w:r>
              <w:t>RBAC, ServiceAccounts, contextes de sécurité, contrôle de l’ordonnancement</w:t>
            </w:r>
          </w:p>
        </w:tc>
        <w:tc>
          <w:tcPr>
            <w:tcW w:type="dxa" w:w="1020"/>
          </w:tcPr>
          <w:p>
            <w:pPr>
              <w:pStyle w:val="ProgTableHours"/>
              <w:keepNext/>
            </w:pPr>
            <w:r>
              <w:t>6 h</w:t>
            </w:r>
          </w:p>
        </w:tc>
      </w:tr>
      <w:tr>
        <w:tc>
          <w:tcPr>
            <w:tcW w:type="dxa" w:w="680"/>
          </w:tcPr>
          <w:p>
            <w:pPr>
              <w:pStyle w:val="ProgTableNumber"/>
              <w:keepNext/>
            </w:pPr>
            <w:r>
              <w:t>03</w:t>
            </w:r>
          </w:p>
        </w:tc>
        <w:tc>
          <w:tcPr>
            <w:tcW w:type="dxa" w:w="2948"/>
          </w:tcPr>
          <w:p>
            <w:pPr>
              <w:pStyle w:val="ProgTableStrong"/>
              <w:keepNext/>
            </w:pPr>
            <w:r>
              <w:t>Réseau, stockage et extensions</w:t>
            </w:r>
          </w:p>
        </w:tc>
        <w:tc>
          <w:tcPr>
            <w:tcW w:type="dxa" w:w="4989"/>
          </w:tcPr>
          <w:p>
            <w:pPr>
              <w:pStyle w:val="ProgTableMuted"/>
              <w:keepNext/>
            </w:pPr>
            <w:r>
              <w:t>CNI, Services et DNS, NetworkPolicies, Gateway API, stockage, Helm, CRD</w:t>
            </w:r>
          </w:p>
        </w:tc>
        <w:tc>
          <w:tcPr>
            <w:tcW w:type="dxa" w:w="1020"/>
          </w:tcPr>
          <w:p>
            <w:pPr>
              <w:pStyle w:val="ProgTableHours"/>
              <w:keepNext/>
            </w:pPr>
            <w:r>
              <w:t>6 h</w:t>
            </w:r>
          </w:p>
        </w:tc>
      </w:tr>
      <w:tr>
        <w:tc>
          <w:tcPr>
            <w:tcW w:type="dxa" w:w="680"/>
          </w:tcPr>
          <w:p>
            <w:pPr>
              <w:pStyle w:val="ProgTableNumber"/>
              <w:keepNext/>
            </w:pPr>
            <w:r>
              <w:t>04</w:t>
            </w:r>
          </w:p>
        </w:tc>
        <w:tc>
          <w:tcPr>
            <w:tcW w:type="dxa" w:w="2948"/>
          </w:tcPr>
          <w:p>
            <w:pPr>
              <w:pStyle w:val="ProgTableStrong"/>
              <w:keepNext/>
            </w:pPr>
            <w:r>
              <w:t>Dépannage et préparation à l’examen</w:t>
            </w:r>
          </w:p>
        </w:tc>
        <w:tc>
          <w:tcPr>
            <w:tcW w:type="dxa" w:w="4989"/>
          </w:tcPr>
          <w:p>
            <w:pPr>
              <w:pStyle w:val="ProgTableMuted"/>
              <w:keepNext/>
            </w:pPr>
            <w:r>
              <w:t>Dépannage des nœuds, des pods et du réseau, examen blanc chronométré</w:t>
            </w:r>
          </w:p>
        </w:tc>
        <w:tc>
          <w:tcPr>
            <w:tcW w:type="dxa" w:w="1020"/>
          </w:tcPr>
          <w:p>
            <w:pPr>
              <w:pStyle w:val="ProgTableHours"/>
              <w:keepNext/>
            </w:pPr>
            <w:r>
              <w:t>6 h</w:t>
            </w:r>
          </w:p>
        </w:tc>
      </w:tr>
      <w:tr>
        <w:tc>
          <w:tcPr>
            <w:tcW w:type="dxa" w:w="680"/>
          </w:tcPr>
          <w:p>
            <w:pPr>
              <w:pStyle w:val="ProgTableNumber"/>
              <w:keepNext/>
            </w:pPr>
            <w:r>
              <w:t>05</w:t>
            </w:r>
          </w:p>
        </w:tc>
        <w:tc>
          <w:tcPr>
            <w:tcW w:type="dxa" w:w="2948"/>
          </w:tcPr>
          <w:p>
            <w:pPr>
              <w:pStyle w:val="ProgTableStrong"/>
              <w:keepNext/>
            </w:pPr>
            <w:r>
              <w:t>Projet final</w:t>
            </w:r>
          </w:p>
        </w:tc>
        <w:tc>
          <w:tcPr>
            <w:tcW w:type="dxa" w:w="4989"/>
          </w:tcPr>
          <w:p>
            <w:pPr>
              <w:pStyle w:val="ProgTableMuted"/>
              <w:keepNext/>
            </w:pPr>
            <w:r>
              <w:t>Un cluster hautement disponible, construit, sécurisé, mis à niveau et réparé</w:t>
            </w:r>
          </w:p>
        </w:tc>
        <w:tc>
          <w:tcPr>
            <w:tcW w:type="dxa" w:w="1020"/>
          </w:tcPr>
          <w:p>
            <w:pPr>
              <w:pStyle w:val="ProgTableHours"/>
              <w:keepNext/>
            </w:pPr>
            <w:r>
              <w:t>6 h</w:t>
            </w:r>
          </w:p>
        </w:tc>
      </w:tr>
      <w:tr>
        <w:tc>
          <w:tcPr>
            <w:tcW w:type="dxa" w:w="680"/>
          </w:tcPr>
          <w:p>
            <w:pPr>
              <w:pStyle w:val="ProgTableText"/>
              <w:keepNext/>
            </w:pPr>
          </w:p>
        </w:tc>
        <w:tc>
          <w:tcPr>
            <w:tcW w:type="dxa" w:w="2948"/>
          </w:tcPr>
          <w:p>
            <w:pPr>
              <w:pStyle w:val="ProgTableStrong"/>
              <w:keepNext/>
            </w:pPr>
            <w:r>
              <w:t>Réserve</w:t>
            </w:r>
          </w:p>
        </w:tc>
        <w:tc>
          <w:tcPr>
            <w:tcW w:type="dxa" w:w="4989"/>
          </w:tcPr>
          <w:p>
            <w:pPr>
              <w:pStyle w:val="ProgTableMuted"/>
              <w:keepNext/>
            </w:pPr>
            <w:r>
              <w:t>Rattrapage, révision, TP supplémentaires</w:t>
            </w:r>
          </w:p>
        </w:tc>
        <w:tc>
          <w:tcPr>
            <w:tcW w:type="dxa" w:w="1020"/>
          </w:tcPr>
          <w:p>
            <w:pPr>
              <w:pStyle w:val="ProgTableHours"/>
              <w:keepNext/>
            </w:pPr>
            <w:r>
              <w:t>6 h</w:t>
            </w:r>
          </w:p>
        </w:tc>
      </w:tr>
      <w:tr>
        <w:tc>
          <w:tcPr>
            <w:tcW w:type="dxa" w:w="680"/>
            <w:tcBorders>
              <w:top w:val="single" w:sz="10" w:space="0" w:color="1A1814"/>
            </w:tcBorders>
          </w:tcPr>
          <w:p>
            <w:pPr>
              <w:pStyle w:val="ProgTableText"/>
              <w:keepNext/>
            </w:pPr>
          </w:p>
        </w:tc>
        <w:tc>
          <w:tcPr>
            <w:tcW w:type="dxa" w:w="2948"/>
            <w:tcBorders>
              <w:top w:val="single" w:sz="10" w:space="0" w:color="1A1814"/>
            </w:tcBorders>
          </w:tcPr>
          <w:p>
            <w:pPr>
              <w:pStyle w:val="ProgTableStrong"/>
              <w:keepNext/>
            </w:pPr>
            <w:r>
              <w:t>Total</w:t>
            </w:r>
          </w:p>
        </w:tc>
        <w:tc>
          <w:tcPr>
            <w:tcW w:type="dxa" w:w="4989"/>
            <w:tcBorders>
              <w:top w:val="single" w:sz="10" w:space="0" w:color="1A1814"/>
            </w:tcBorders>
          </w:tcPr>
          <w:p>
            <w:pPr>
              <w:pStyle w:val="ProgTableMuted"/>
              <w:keepNext/>
            </w:pPr>
          </w:p>
        </w:tc>
        <w:tc>
          <w:tcPr>
            <w:tcW w:type="dxa" w:w="1020"/>
            <w:tcBorders>
              <w:top w:val="single" w:sz="10" w:space="0" w:color="1A1814"/>
            </w:tcBorders>
          </w:tcPr>
          <w:p>
            <w:pPr>
              <w:pStyle w:val="ProgTableTotal"/>
              <w:keepNext/>
            </w:pPr>
            <w:r>
              <w:t>36 h</w:t>
            </w:r>
          </w:p>
        </w:tc>
      </w:tr>
    </w:tbl>
    <w:p>
      <w:pPr>
        <w:pStyle w:val="ProgBody"/>
      </w:pPr>
    </w:p>
    <w:p>
      <w:pPr>
        <w:pStyle w:val="Heading2"/>
      </w:pPr>
      <w:r>
        <w:t>Informations clés</w:t>
      </w:r>
    </w:p>
    <w:tbl>
      <w:tblPr>
        <w:tblStyle w:val="ProgTable"/>
        <w:tblW w:type="auto" w:w="0"/>
        <w:jc w:val="center"/>
        <w:tblLayout w:type="fixed"/>
        <w:tblLook w:firstColumn="0" w:firstRow="0" w:lastColumn="0" w:lastRow="0" w:noHBand="1" w:noVBand="1" w:val="04A0"/>
      </w:tblPr>
      <w:tblGrid>
        <w:gridCol w:w="2381"/>
        <w:gridCol w:w="7257"/>
      </w:tblGrid>
      <w:tr>
        <w:tc>
          <w:tcPr>
            <w:tcW w:type="dxa" w:w="2381"/>
          </w:tcPr>
          <w:p>
            <w:pPr>
              <w:pStyle w:val="ProgTableKey"/>
            </w:pPr>
            <w:r>
              <w:t>Public</w:t>
            </w:r>
          </w:p>
        </w:tc>
        <w:tc>
          <w:tcPr>
            <w:tcW w:type="dxa" w:w="7257"/>
          </w:tcPr>
          <w:p>
            <w:pPr>
              <w:pStyle w:val="ProgTableText"/>
            </w:pPr>
            <w:r>
              <w:t>Ingénieurs qui exploitent des clusters Kubernetes et préparent l’examen CKA</w:t>
            </w:r>
          </w:p>
        </w:tc>
      </w:tr>
      <w:tr>
        <w:tc>
          <w:tcPr>
            <w:tcW w:type="dxa" w:w="2381"/>
          </w:tcPr>
          <w:p>
            <w:pPr>
              <w:pStyle w:val="ProgTableKey"/>
            </w:pPr>
            <w:r>
              <w:t>Prérequis</w:t>
            </w:r>
          </w:p>
        </w:tc>
        <w:tc>
          <w:tcPr>
            <w:tcW w:type="dxa" w:w="7257"/>
          </w:tcPr>
          <w:p>
            <w:pPr>
              <w:pStyle w:val="ProgTableText"/>
            </w:pPr>
            <w:r>
              <w:t>Niveau utilisateur de Kubernetes (cours : Docker et Kubernetes) : Pods, Deployments, Services, Helm. L’utilisation de Kubernetes n’est pas réenseignée ; ce cours porte sur son exploitation</w:t>
            </w:r>
          </w:p>
        </w:tc>
      </w:tr>
      <w:tr>
        <w:tc>
          <w:tcPr>
            <w:tcW w:type="dxa" w:w="2381"/>
          </w:tcPr>
          <w:p>
            <w:pPr>
              <w:pStyle w:val="ProgTableKey"/>
            </w:pPr>
            <w:r>
              <w:t>Durée</w:t>
            </w:r>
          </w:p>
        </w:tc>
        <w:tc>
          <w:tcPr>
            <w:tcW w:type="dxa" w:w="7257"/>
          </w:tcPr>
          <w:p>
            <w:pPr>
              <w:pStyle w:val="ProgTableText"/>
            </w:pPr>
            <w:r>
              <w:t>36 h : 30 h de chapitres + 6 h de réserve</w:t>
            </w:r>
          </w:p>
        </w:tc>
      </w:tr>
      <w:tr>
        <w:tc>
          <w:tcPr>
            <w:tcW w:type="dxa" w:w="2381"/>
          </w:tcPr>
          <w:p>
            <w:pPr>
              <w:pStyle w:val="ProgTableKey"/>
            </w:pPr>
            <w:r>
              <w:t>Format</w:t>
            </w:r>
          </w:p>
        </w:tc>
        <w:tc>
          <w:tcPr>
            <w:tcW w:type="dxa" w:w="7257"/>
          </w:tcPr>
          <w:p>
            <w:pPr>
              <w:pStyle w:val="ProgTableText"/>
            </w:pPr>
            <w:r>
              <w:t>Cours courts suivis de TP guidés en ligne de commande ; un examen blanc chronométré</w:t>
            </w:r>
          </w:p>
        </w:tc>
      </w:tr>
      <w:tr>
        <w:tc>
          <w:tcPr>
            <w:tcW w:type="dxa" w:w="2381"/>
          </w:tcPr>
          <w:p>
            <w:pPr>
              <w:pStyle w:val="ProgTableKey"/>
            </w:pPr>
            <w:r>
              <w:t>Environnement de TP</w:t>
            </w:r>
          </w:p>
        </w:tc>
        <w:tc>
          <w:tcPr>
            <w:tcW w:type="dxa" w:w="7257"/>
          </w:tcPr>
          <w:p>
            <w:pPr>
              <w:pStyle w:val="ProgTableText"/>
            </w:pPr>
            <w:r>
              <w:t>Sur site : un serveur de TP par binôme (64 Go de RAM), fourni par l’organisateur, avec les machines virtuelles Ubuntu du cluster (trois nœuds de plan de contrôle, deux nœuds workers, un répartiteur de charge) ; ni compte cloud ni coût</w:t>
            </w:r>
          </w:p>
        </w:tc>
      </w:tr>
      <w:tr>
        <w:tc>
          <w:tcPr>
            <w:tcW w:type="dxa" w:w="2381"/>
          </w:tcPr>
          <w:p>
            <w:pPr>
              <w:pStyle w:val="ProgTableKey"/>
            </w:pPr>
            <w:r>
              <w:t>Évaluation</w:t>
            </w:r>
          </w:p>
        </w:tc>
        <w:tc>
          <w:tcPr>
            <w:tcW w:type="dxa" w:w="7257"/>
          </w:tcPr>
          <w:p>
            <w:pPr>
              <w:pStyle w:val="ProgTableText"/>
            </w:pPr>
            <w:r>
              <w:t>Un TP validé par phase, un examen blanc et un projet final présenté au groupe ; attestation de formation pour les participants qui valident les TP et le projet</w:t>
            </w:r>
          </w:p>
        </w:tc>
      </w:tr>
      <w:tr>
        <w:tc>
          <w:tcPr>
            <w:tcW w:type="dxa" w:w="2381"/>
          </w:tcPr>
          <w:p>
            <w:pPr>
              <w:pStyle w:val="ProgTableKey"/>
            </w:pPr>
            <w:r>
              <w:t>Résultat</w:t>
            </w:r>
          </w:p>
        </w:tc>
        <w:tc>
          <w:tcPr>
            <w:tcW w:type="dxa" w:w="7257"/>
          </w:tcPr>
          <w:p>
            <w:pPr>
              <w:pStyle w:val="ProgTableText"/>
            </w:pPr>
            <w:r>
              <w:t>Les participants savent installer, sécuriser, mettre à niveau, sauvegarder et dépanner un cluster Kubernetes en ligne de commande, et se présenter à l’examen CKA</w:t>
            </w:r>
          </w:p>
        </w:tc>
      </w:tr>
    </w:tbl>
    <w:p>
      <w:pPr>
        <w:pStyle w:val="ProgKicker"/>
      </w:pPr>
      <w:r>
        <w:t>Phase 01</w:t>
        <w:tab/>
        <w:t>6 h</w:t>
      </w:r>
    </w:p>
    <w:p>
      <w:pPr>
        <w:pStyle w:val="Heading1"/>
      </w:pPr>
      <w:r>
        <w:t>Installation et cycle de vie du cluster</w:t>
      </w:r>
    </w:p>
    <w:p>
      <w:pPr>
        <w:pStyle w:val="ProgIntro"/>
      </w:pPr>
      <w:r>
        <w:t>Les participants construisent un cluster comme l’attendent l’examen et la production : un runtime de conteneurs, kubeadm, un plan de contrôle hautement disponible derrière un répartiteur de charge. Ils le mettent ensuite à niveau d’une version mineure, puis sauvegardent et restaurent etcd. TP validé : un cluster à trois nœuds de plan de contrôle mis à niveau sans interruption, restauré depuis un instantané etcd.</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1.1</w:t>
            </w:r>
          </w:p>
        </w:tc>
        <w:tc>
          <w:tcPr>
            <w:tcW w:type="dxa" w:w="2211"/>
          </w:tcPr>
          <w:p>
            <w:pPr>
              <w:pStyle w:val="ProgTableStrong"/>
            </w:pPr>
            <w:r>
              <w:t>Installation du cluster</w:t>
            </w:r>
          </w:p>
        </w:tc>
        <w:tc>
          <w:tcPr>
            <w:tcW w:type="dxa" w:w="4876"/>
          </w:tcPr>
          <w:p>
            <w:pPr>
              <w:pStyle w:val="ProgTableText"/>
            </w:pPr>
            <w:r>
              <w:t>kubeadm, plan de contrôle hautement disponible, runtime de conteneurs</w:t>
            </w:r>
          </w:p>
        </w:tc>
        <w:tc>
          <w:tcPr>
            <w:tcW w:type="dxa" w:w="1134"/>
          </w:tcPr>
          <w:p>
            <w:pPr>
              <w:pStyle w:val="ProgTableMuted"/>
            </w:pPr>
            <w:r>
              <w:t>Cours + TP</w:t>
            </w:r>
          </w:p>
        </w:tc>
        <w:tc>
          <w:tcPr>
            <w:tcW w:type="dxa" w:w="850"/>
          </w:tcPr>
          <w:p>
            <w:pPr>
              <w:pStyle w:val="ProgTableHours"/>
            </w:pPr>
            <w:r>
              <w:t>3 h</w:t>
            </w:r>
          </w:p>
        </w:tc>
      </w:tr>
      <w:tr>
        <w:tc>
          <w:tcPr>
            <w:tcW w:type="dxa" w:w="567"/>
          </w:tcPr>
          <w:p>
            <w:pPr>
              <w:pStyle w:val="ProgTableId"/>
            </w:pPr>
            <w:r>
              <w:t>1.2</w:t>
            </w:r>
          </w:p>
        </w:tc>
        <w:tc>
          <w:tcPr>
            <w:tcW w:type="dxa" w:w="2211"/>
          </w:tcPr>
          <w:p>
            <w:pPr>
              <w:pStyle w:val="ProgTableStrong"/>
            </w:pPr>
            <w:r>
              <w:t>Cycle de vie du cluster</w:t>
            </w:r>
          </w:p>
        </w:tc>
        <w:tc>
          <w:tcPr>
            <w:tcW w:type="dxa" w:w="4876"/>
          </w:tcPr>
          <w:p>
            <w:pPr>
              <w:pStyle w:val="ProgTableText"/>
            </w:pPr>
            <w:r>
              <w:t>Mises à niveau de version, sauvegarde et restauration d’etcd</w:t>
            </w:r>
          </w:p>
        </w:tc>
        <w:tc>
          <w:tcPr>
            <w:tcW w:type="dxa" w:w="1134"/>
          </w:tcPr>
          <w:p>
            <w:pPr>
              <w:pStyle w:val="ProgTableMuted"/>
            </w:pPr>
            <w:r>
              <w:t>Cours + TP</w:t>
            </w:r>
          </w:p>
        </w:tc>
        <w:tc>
          <w:tcPr>
            <w:tcW w:type="dxa" w:w="850"/>
          </w:tcPr>
          <w:p>
            <w:pPr>
              <w:pStyle w:val="ProgTableHours"/>
            </w:pPr>
            <w:r>
              <w:t>3 h</w:t>
            </w:r>
          </w:p>
        </w:tc>
      </w:tr>
    </w:tbl>
    <w:p>
      <w:pPr>
        <w:pStyle w:val="ProgKicker"/>
      </w:pPr>
      <w:r>
        <w:t>Phase 02</w:t>
        <w:tab/>
        <w:t>6 h</w:t>
      </w:r>
    </w:p>
    <w:p>
      <w:pPr>
        <w:pStyle w:val="Heading1"/>
      </w:pPr>
      <w:r>
        <w:t>Sécurité et ordonnancement</w:t>
      </w:r>
    </w:p>
    <w:p>
      <w:pPr>
        <w:pStyle w:val="ProgIntro"/>
      </w:pPr>
      <w:r>
        <w:t>Les participants n’accordent à chaque utilisateur et à chaque charge de travail que les accès nécessaires, exécutent les conteneurs avec des contextes de sécurité restrictifs, puis décident où tournent les pods avec les taints et tolerations, l’affinité, les demandes de ressources et les classes de priorité. TP validé : un namespace d’équipe avec un RBAC au moindre privilège, et une charge de travail affectée à des nœuds dédiés qui garde sa priorité sous contrainte.</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2.1</w:t>
            </w:r>
          </w:p>
        </w:tc>
        <w:tc>
          <w:tcPr>
            <w:tcW w:type="dxa" w:w="2211"/>
          </w:tcPr>
          <w:p>
            <w:pPr>
              <w:pStyle w:val="ProgTableStrong"/>
            </w:pPr>
            <w:r>
              <w:t>Sécurité</w:t>
            </w:r>
          </w:p>
        </w:tc>
        <w:tc>
          <w:tcPr>
            <w:tcW w:type="dxa" w:w="4876"/>
          </w:tcPr>
          <w:p>
            <w:pPr>
              <w:pStyle w:val="ProgTableText"/>
            </w:pPr>
            <w:r>
              <w:t>RBAC, ServiceAccounts, contextes de sécurité</w:t>
            </w:r>
          </w:p>
        </w:tc>
        <w:tc>
          <w:tcPr>
            <w:tcW w:type="dxa" w:w="1134"/>
          </w:tcPr>
          <w:p>
            <w:pPr>
              <w:pStyle w:val="ProgTableMuted"/>
            </w:pPr>
            <w:r>
              <w:t>Cours + TP</w:t>
            </w:r>
          </w:p>
        </w:tc>
        <w:tc>
          <w:tcPr>
            <w:tcW w:type="dxa" w:w="850"/>
          </w:tcPr>
          <w:p>
            <w:pPr>
              <w:pStyle w:val="ProgTableHours"/>
            </w:pPr>
            <w:r>
              <w:t>3 h</w:t>
            </w:r>
          </w:p>
        </w:tc>
      </w:tr>
      <w:tr>
        <w:tc>
          <w:tcPr>
            <w:tcW w:type="dxa" w:w="567"/>
          </w:tcPr>
          <w:p>
            <w:pPr>
              <w:pStyle w:val="ProgTableId"/>
            </w:pPr>
            <w:r>
              <w:t>2.2</w:t>
            </w:r>
          </w:p>
        </w:tc>
        <w:tc>
          <w:tcPr>
            <w:tcW w:type="dxa" w:w="2211"/>
          </w:tcPr>
          <w:p>
            <w:pPr>
              <w:pStyle w:val="ProgTableStrong"/>
            </w:pPr>
            <w:r>
              <w:t>Ordonnancement</w:t>
            </w:r>
          </w:p>
        </w:tc>
        <w:tc>
          <w:tcPr>
            <w:tcW w:type="dxa" w:w="4876"/>
          </w:tcPr>
          <w:p>
            <w:pPr>
              <w:pStyle w:val="ProgTableText"/>
            </w:pPr>
            <w:r>
              <w:t>Taints et tolerations, affinité, demandes et limites de ressources, classes de priorité ; rappel des déploiements progressifs, ConfigMaps et Secrets, mise à l’échelle automatique</w:t>
            </w:r>
          </w:p>
        </w:tc>
        <w:tc>
          <w:tcPr>
            <w:tcW w:type="dxa" w:w="1134"/>
          </w:tcPr>
          <w:p>
            <w:pPr>
              <w:pStyle w:val="ProgTableMuted"/>
            </w:pPr>
            <w:r>
              <w:t>Cours + TP</w:t>
            </w:r>
          </w:p>
        </w:tc>
        <w:tc>
          <w:tcPr>
            <w:tcW w:type="dxa" w:w="850"/>
          </w:tcPr>
          <w:p>
            <w:pPr>
              <w:pStyle w:val="ProgTableHours"/>
            </w:pPr>
            <w:r>
              <w:t>3 h</w:t>
            </w:r>
          </w:p>
        </w:tc>
      </w:tr>
    </w:tbl>
    <w:p>
      <w:pPr>
        <w:pStyle w:val="ProgKicker"/>
      </w:pPr>
      <w:r>
        <w:t>Phase 03</w:t>
        <w:tab/>
        <w:t>6 h</w:t>
      </w:r>
    </w:p>
    <w:p>
      <w:pPr>
        <w:pStyle w:val="Heading1"/>
      </w:pPr>
      <w:r>
        <w:t>Réseau, stockage et extensions</w:t>
      </w:r>
    </w:p>
    <w:p>
      <w:pPr>
        <w:pStyle w:val="ProgIntro"/>
      </w:pPr>
      <w:r>
        <w:t>Les participants configurent le réseau du cluster, du plugin CNI aux Services, à CoreDNS, aux NetworkPolicies et à la Gateway API, migrent un Ingress depuis ingress-nginx, retiré en mars 2026, provisionnent le stockage dynamiquement, et étendent le cluster avec Helm, Kustomize, les ressources personnalisées et les opérateurs. TP validé : une application accessible via la Gateway API, isolée par des NetworkPolicies, avec un volume provisionné dynamiquement.</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3.1</w:t>
            </w:r>
          </w:p>
        </w:tc>
        <w:tc>
          <w:tcPr>
            <w:tcW w:type="dxa" w:w="2211"/>
          </w:tcPr>
          <w:p>
            <w:pPr>
              <w:pStyle w:val="ProgTableStrong"/>
            </w:pPr>
            <w:r>
              <w:t>Réseau</w:t>
            </w:r>
          </w:p>
        </w:tc>
        <w:tc>
          <w:tcPr>
            <w:tcW w:type="dxa" w:w="4876"/>
          </w:tcPr>
          <w:p>
            <w:pPr>
              <w:pStyle w:val="ProgTableText"/>
            </w:pPr>
            <w:r>
              <w:t>CNI, Services, CoreDNS, NetworkPolicies, Gateway API, Ingress et migration depuis ingress-nginx</w:t>
            </w:r>
          </w:p>
        </w:tc>
        <w:tc>
          <w:tcPr>
            <w:tcW w:type="dxa" w:w="1134"/>
          </w:tcPr>
          <w:p>
            <w:pPr>
              <w:pStyle w:val="ProgTableMuted"/>
            </w:pPr>
            <w:r>
              <w:t>Cours + TP</w:t>
            </w:r>
          </w:p>
        </w:tc>
        <w:tc>
          <w:tcPr>
            <w:tcW w:type="dxa" w:w="850"/>
          </w:tcPr>
          <w:p>
            <w:pPr>
              <w:pStyle w:val="ProgTableHours"/>
            </w:pPr>
            <w:r>
              <w:t>3 h</w:t>
            </w:r>
          </w:p>
        </w:tc>
      </w:tr>
      <w:tr>
        <w:tc>
          <w:tcPr>
            <w:tcW w:type="dxa" w:w="567"/>
          </w:tcPr>
          <w:p>
            <w:pPr>
              <w:pStyle w:val="ProgTableId"/>
            </w:pPr>
            <w:r>
              <w:t>3.2</w:t>
            </w:r>
          </w:p>
        </w:tc>
        <w:tc>
          <w:tcPr>
            <w:tcW w:type="dxa" w:w="2211"/>
          </w:tcPr>
          <w:p>
            <w:pPr>
              <w:pStyle w:val="ProgTableStrong"/>
            </w:pPr>
            <w:r>
              <w:t>Stockage</w:t>
            </w:r>
          </w:p>
        </w:tc>
        <w:tc>
          <w:tcPr>
            <w:tcW w:type="dxa" w:w="4876"/>
          </w:tcPr>
          <w:p>
            <w:pPr>
              <w:pStyle w:val="ProgTableText"/>
            </w:pPr>
            <w:r>
              <w:t>PersistentVolumes et PersistentVolumeClaims, modes d’accès, politiques de récupération, StorageClasses, provisionnement dynamique</w:t>
            </w:r>
          </w:p>
        </w:tc>
        <w:tc>
          <w:tcPr>
            <w:tcW w:type="dxa" w:w="1134"/>
          </w:tcPr>
          <w:p>
            <w:pPr>
              <w:pStyle w:val="ProgTableMuted"/>
            </w:pPr>
            <w:r>
              <w:t>Cours + TP</w:t>
            </w:r>
          </w:p>
        </w:tc>
        <w:tc>
          <w:tcPr>
            <w:tcW w:type="dxa" w:w="850"/>
          </w:tcPr>
          <w:p>
            <w:pPr>
              <w:pStyle w:val="ProgTableHours"/>
            </w:pPr>
            <w:r>
              <w:t>1,5 h</w:t>
            </w:r>
          </w:p>
        </w:tc>
      </w:tr>
      <w:tr>
        <w:tc>
          <w:tcPr>
            <w:tcW w:type="dxa" w:w="567"/>
          </w:tcPr>
          <w:p>
            <w:pPr>
              <w:pStyle w:val="ProgTableId"/>
            </w:pPr>
            <w:r>
              <w:t>3.3</w:t>
            </w:r>
          </w:p>
        </w:tc>
        <w:tc>
          <w:tcPr>
            <w:tcW w:type="dxa" w:w="2211"/>
          </w:tcPr>
          <w:p>
            <w:pPr>
              <w:pStyle w:val="ProgTableStrong"/>
            </w:pPr>
            <w:r>
              <w:t>Étendre Kubernetes</w:t>
            </w:r>
          </w:p>
        </w:tc>
        <w:tc>
          <w:tcPr>
            <w:tcW w:type="dxa" w:w="4876"/>
          </w:tcPr>
          <w:p>
            <w:pPr>
              <w:pStyle w:val="ProgTableText"/>
            </w:pPr>
            <w:r>
              <w:t>Helm, Kustomize, interfaces d’extension (CNI, CSI, CRI), définitions de ressources personnalisées (CRD) et opérateurs</w:t>
            </w:r>
          </w:p>
        </w:tc>
        <w:tc>
          <w:tcPr>
            <w:tcW w:type="dxa" w:w="1134"/>
          </w:tcPr>
          <w:p>
            <w:pPr>
              <w:pStyle w:val="ProgTableMuted"/>
            </w:pPr>
            <w:r>
              <w:t>Cours + TP</w:t>
            </w:r>
          </w:p>
        </w:tc>
        <w:tc>
          <w:tcPr>
            <w:tcW w:type="dxa" w:w="850"/>
          </w:tcPr>
          <w:p>
            <w:pPr>
              <w:pStyle w:val="ProgTableHours"/>
            </w:pPr>
            <w:r>
              <w:t>1,5 h</w:t>
            </w:r>
          </w:p>
        </w:tc>
      </w:tr>
    </w:tbl>
    <w:p>
      <w:pPr>
        <w:pStyle w:val="ProgKicker"/>
      </w:pPr>
      <w:r>
        <w:t>Phase 04</w:t>
        <w:tab/>
        <w:t>6 h</w:t>
      </w:r>
    </w:p>
    <w:p>
      <w:pPr>
        <w:pStyle w:val="Heading1"/>
      </w:pPr>
      <w:r>
        <w:t>Dépannage et préparation à l’examen</w:t>
      </w:r>
    </w:p>
    <w:p>
      <w:pPr>
        <w:pStyle w:val="ProgIntro"/>
      </w:pPr>
      <w:r>
        <w:t>Les participants diagnostiquent des nœuds en panne, des pods en échec et des défauts réseau à partir des journaux, des événements et des métriques, puis passent un examen blanc chronométré et apprennent les techniques kubectl qui font gagner du temps dans un examen pratique. TP validé : un cluster aux pannes injectées remis en bon état de fonctionnement.</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4.1</w:t>
            </w:r>
          </w:p>
        </w:tc>
        <w:tc>
          <w:tcPr>
            <w:tcW w:type="dxa" w:w="2211"/>
          </w:tcPr>
          <w:p>
            <w:pPr>
              <w:pStyle w:val="ProgTableStrong"/>
            </w:pPr>
            <w:r>
              <w:t>Dépannage</w:t>
            </w:r>
          </w:p>
        </w:tc>
        <w:tc>
          <w:tcPr>
            <w:tcW w:type="dxa" w:w="4876"/>
          </w:tcPr>
          <w:p>
            <w:pPr>
              <w:pStyle w:val="ProgTableText"/>
            </w:pPr>
            <w:r>
              <w:t>Nœuds, pods, réseau, journaux et supervision</w:t>
            </w:r>
          </w:p>
        </w:tc>
        <w:tc>
          <w:tcPr>
            <w:tcW w:type="dxa" w:w="1134"/>
          </w:tcPr>
          <w:p>
            <w:pPr>
              <w:pStyle w:val="ProgTableMuted"/>
            </w:pPr>
            <w:r>
              <w:t>Cours + TP</w:t>
            </w:r>
          </w:p>
        </w:tc>
        <w:tc>
          <w:tcPr>
            <w:tcW w:type="dxa" w:w="850"/>
          </w:tcPr>
          <w:p>
            <w:pPr>
              <w:pStyle w:val="ProgTableHours"/>
            </w:pPr>
            <w:r>
              <w:t>3 h</w:t>
            </w:r>
          </w:p>
        </w:tc>
      </w:tr>
      <w:tr>
        <w:tc>
          <w:tcPr>
            <w:tcW w:type="dxa" w:w="567"/>
          </w:tcPr>
          <w:p>
            <w:pPr>
              <w:pStyle w:val="ProgTableId"/>
            </w:pPr>
            <w:r>
              <w:t>4.2</w:t>
            </w:r>
          </w:p>
        </w:tc>
        <w:tc>
          <w:tcPr>
            <w:tcW w:type="dxa" w:w="2211"/>
          </w:tcPr>
          <w:p>
            <w:pPr>
              <w:pStyle w:val="ProgTableStrong"/>
            </w:pPr>
            <w:r>
              <w:t>Préparation à l’examen</w:t>
            </w:r>
          </w:p>
        </w:tc>
        <w:tc>
          <w:tcPr>
            <w:tcW w:type="dxa" w:w="4876"/>
          </w:tcPr>
          <w:p>
            <w:pPr>
              <w:pStyle w:val="ProgTableText"/>
            </w:pPr>
            <w:r>
              <w:t>Examen blanc chronométré, techniques de rapidité avec kubectl</w:t>
            </w:r>
          </w:p>
        </w:tc>
        <w:tc>
          <w:tcPr>
            <w:tcW w:type="dxa" w:w="1134"/>
          </w:tcPr>
          <w:p>
            <w:pPr>
              <w:pStyle w:val="ProgTableMuted"/>
            </w:pPr>
            <w:r>
              <w:t>TP</w:t>
            </w:r>
          </w:p>
        </w:tc>
        <w:tc>
          <w:tcPr>
            <w:tcW w:type="dxa" w:w="850"/>
          </w:tcPr>
          <w:p>
            <w:pPr>
              <w:pStyle w:val="ProgTableHours"/>
            </w:pPr>
            <w:r>
              <w:t>3 h</w:t>
            </w:r>
          </w:p>
        </w:tc>
      </w:tr>
    </w:tbl>
    <w:p>
      <w:pPr>
        <w:pStyle w:val="ProgKicker"/>
      </w:pPr>
      <w:r>
        <w:t>Phase 05</w:t>
        <w:tab/>
        <w:t>6 h</w:t>
      </w:r>
    </w:p>
    <w:p>
      <w:pPr>
        <w:pStyle w:val="Heading1"/>
      </w:pPr>
      <w:r>
        <w:t>Projet final</w:t>
      </w:r>
    </w:p>
    <w:p>
      <w:pPr>
        <w:pStyle w:val="ProgIntro"/>
      </w:pPr>
      <w:r>
        <w:t>Chaque équipe construit un cluster de type production sur son serveur de TP à partir d’un cahier des charges écrit, en réutilisant les TP de phase, puis répare les pannes injectées par le formateur et présente son runbook.</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5.1</w:t>
            </w:r>
          </w:p>
        </w:tc>
        <w:tc>
          <w:tcPr>
            <w:tcW w:type="dxa" w:w="2211"/>
          </w:tcPr>
          <w:p>
            <w:pPr>
              <w:pStyle w:val="ProgTableStrong"/>
            </w:pPr>
            <w:r>
              <w:t>Cahier des charges et réalisation</w:t>
            </w:r>
          </w:p>
        </w:tc>
        <w:tc>
          <w:tcPr>
            <w:tcW w:type="dxa" w:w="4876"/>
          </w:tcPr>
          <w:p>
            <w:pPr>
              <w:pStyle w:val="ProgTableText"/>
            </w:pPr>
            <w:r>
              <w:t>Analyser le besoin, construire un cluster hautement disponible avec kubeadm, le sécuriser avec RBAC et des NetworkPolicies</w:t>
            </w:r>
          </w:p>
        </w:tc>
        <w:tc>
          <w:tcPr>
            <w:tcW w:type="dxa" w:w="1134"/>
          </w:tcPr>
          <w:p>
            <w:pPr>
              <w:pStyle w:val="ProgTableMuted"/>
            </w:pPr>
            <w:r>
              <w:t>Projet</w:t>
            </w:r>
          </w:p>
        </w:tc>
        <w:tc>
          <w:tcPr>
            <w:tcW w:type="dxa" w:w="850"/>
          </w:tcPr>
          <w:p>
            <w:pPr>
              <w:pStyle w:val="ProgTableHours"/>
            </w:pPr>
            <w:r>
              <w:t>3 h</w:t>
            </w:r>
          </w:p>
        </w:tc>
      </w:tr>
      <w:tr>
        <w:tc>
          <w:tcPr>
            <w:tcW w:type="dxa" w:w="567"/>
          </w:tcPr>
          <w:p>
            <w:pPr>
              <w:pStyle w:val="ProgTableId"/>
            </w:pPr>
            <w:r>
              <w:t>5.2</w:t>
            </w:r>
          </w:p>
        </w:tc>
        <w:tc>
          <w:tcPr>
            <w:tcW w:type="dxa" w:w="2211"/>
          </w:tcPr>
          <w:p>
            <w:pPr>
              <w:pStyle w:val="ProgTableStrong"/>
            </w:pPr>
            <w:r>
              <w:t>Exploitation et documentation</w:t>
            </w:r>
          </w:p>
        </w:tc>
        <w:tc>
          <w:tcPr>
            <w:tcW w:type="dxa" w:w="4876"/>
          </w:tcPr>
          <w:p>
            <w:pPr>
              <w:pStyle w:val="ProgTableText"/>
            </w:pPr>
            <w:r>
              <w:t>Sauvegarder et restaurer etcd, mettre à niveau le cluster, rédiger le runbook</w:t>
            </w:r>
          </w:p>
        </w:tc>
        <w:tc>
          <w:tcPr>
            <w:tcW w:type="dxa" w:w="1134"/>
          </w:tcPr>
          <w:p>
            <w:pPr>
              <w:pStyle w:val="ProgTableMuted"/>
            </w:pPr>
            <w:r>
              <w:t>Projet</w:t>
            </w:r>
          </w:p>
        </w:tc>
        <w:tc>
          <w:tcPr>
            <w:tcW w:type="dxa" w:w="850"/>
          </w:tcPr>
          <w:p>
            <w:pPr>
              <w:pStyle w:val="ProgTableHours"/>
            </w:pPr>
            <w:r>
              <w:t>1,5 h</w:t>
            </w:r>
          </w:p>
        </w:tc>
      </w:tr>
      <w:tr>
        <w:tc>
          <w:tcPr>
            <w:tcW w:type="dxa" w:w="567"/>
          </w:tcPr>
          <w:p>
            <w:pPr>
              <w:pStyle w:val="ProgTableId"/>
            </w:pPr>
            <w:r>
              <w:t>5.3</w:t>
            </w:r>
          </w:p>
        </w:tc>
        <w:tc>
          <w:tcPr>
            <w:tcW w:type="dxa" w:w="2211"/>
          </w:tcPr>
          <w:p>
            <w:pPr>
              <w:pStyle w:val="ProgTableStrong"/>
            </w:pPr>
            <w:r>
              <w:t>Réparation et revue</w:t>
            </w:r>
          </w:p>
        </w:tc>
        <w:tc>
          <w:tcPr>
            <w:tcW w:type="dxa" w:w="4876"/>
          </w:tcPr>
          <w:p>
            <w:pPr>
              <w:pStyle w:val="ProgTableText"/>
            </w:pPr>
            <w:r>
              <w:t>Corriger les pannes injectées par le formateur ; questions et retours</w:t>
            </w:r>
          </w:p>
        </w:tc>
        <w:tc>
          <w:tcPr>
            <w:tcW w:type="dxa" w:w="1134"/>
          </w:tcPr>
          <w:p>
            <w:pPr>
              <w:pStyle w:val="ProgTableMuted"/>
            </w:pPr>
            <w:r>
              <w:t>Projet</w:t>
            </w:r>
          </w:p>
        </w:tc>
        <w:tc>
          <w:tcPr>
            <w:tcW w:type="dxa" w:w="850"/>
          </w:tcPr>
          <w:p>
            <w:pPr>
              <w:pStyle w:val="ProgTableHours"/>
            </w:pPr>
            <w:r>
              <w:t>1,5 h</w:t>
            </w:r>
          </w:p>
        </w:tc>
      </w:tr>
    </w:tbl>
    <w:p>
      <w:pPr>
        <w:pStyle w:val="ProgBody"/>
      </w:pPr>
    </w:p>
    <w:p>
      <w:pPr>
        <w:pStyle w:val="ProgBoxTag"/>
      </w:pPr>
      <w:r>
        <w:t>Projet final</w:t>
      </w:r>
    </w:p>
    <w:p>
      <w:pPr>
        <w:pStyle w:val="ProgBoxTitle"/>
      </w:pPr>
      <w:r>
        <w:t>Un cluster Kubernetes de type production</w:t>
      </w:r>
    </w:p>
    <w:p>
      <w:pPr>
        <w:pStyle w:val="ProgBoxText"/>
      </w:pPr>
      <w:r>
        <w:t>Un cluster hautement disponible construit avec kubeadm, sécurisé avec RBAC et des NetworkPolicies, sauvegardé et restauré depuis etcd, mis à niveau d’une version mineure, et remis en état après des pannes injectées par le formateur.</w:t>
      </w:r>
    </w:p>
    <w:p>
      <w:pPr>
        <w:pStyle w:val="ProgBoxText"/>
      </w:pPr>
      <w:r>
        <w:rPr>
          <w:rStyle w:val="ProgLabel"/>
        </w:rPr>
        <w:t>Outils</w:t>
      </w:r>
      <w:r>
        <w:t xml:space="preserve">  Kubernetes, kubeadm, containerd, etcd, un plugin CNI, CoreDNS, Envoy Gateway, MetalLB, local-path-provisioner, Helm, Kustomize, kubectl</w:t>
      </w:r>
    </w:p>
    <w:p>
      <w:pPr>
        <w:pStyle w:val="ProgBoxText"/>
        <w:keepNext w:val="0"/>
      </w:pPr>
      <w:r>
        <w:rPr>
          <w:rStyle w:val="ProgLabel"/>
        </w:rPr>
        <w:t>Livrable</w:t>
      </w:r>
      <w:r>
        <w:t xml:space="preserve">  Cluster fonctionnel, runbook (installation, sauvegarde, mise à niveau, reprise), rapport de pannes</w:t>
      </w:r>
    </w:p>
    <w:sectPr w:rsidR="00FC693F" w:rsidRPr="0006063C" w:rsidSect="00034616">
      <w:headerReference w:type="default" r:id="rId9"/>
      <w:footerReference w:type="default" r:id="rId10"/>
      <w:headerReference w:type="first" r:id="rId11"/>
      <w:pgSz w:w="11906" w:h="16838"/>
      <w:pgMar w:top="1247" w:right="1134" w:bottom="1134" w:left="1134"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drawing>
        <wp:inline xmlns:a="http://schemas.openxmlformats.org/drawingml/2006/main" xmlns:pic="http://schemas.openxmlformats.org/drawingml/2006/picture">
          <wp:extent cx="114792" cy="108000"/>
          <wp:docPr id="1" name="Picture 1"/>
          <wp:cNvGraphicFramePr>
            <a:graphicFrameLocks noChangeAspect="1"/>
          </wp:cNvGraphicFramePr>
          <a:graphic>
            <a:graphicData uri="http://schemas.openxmlformats.org/drawingml/2006/picture">
              <pic:pic>
                <pic:nvPicPr>
                  <pic:cNvPr id="0" name="image.png"/>
                  <pic:cNvPicPr/>
                </pic:nvPicPr>
                <pic:blipFill>
                  <a:blip r:embed="rId1">
                    <a:extLst>
                      <a:ext uri="{96DAC541-7B7A-43D3-8B79-37D633B846F1}">
                        <asvg:svgBlip xmlns:asvg="http://schemas.microsoft.com/office/drawing/2016/SVG/main" r:embed="rId2"/>
                      </a:ext>
                    </a:extLst>
                  </a:blip>
                  <a:stretch>
                    <a:fillRect/>
                  </a:stretch>
                </pic:blipFill>
                <pic:spPr>
                  <a:xfrm>
                    <a:off x="0" y="0"/>
                    <a:ext cx="114792" cy="108000"/>
                  </a:xfrm>
                  <a:prstGeom prst="rect"/>
                </pic:spPr>
              </pic:pic>
            </a:graphicData>
          </a:graphic>
        </wp:inline>
      </w:drawing>
    </w:r>
    <w:r>
      <w:t xml:space="preserve">  </w:t>
    </w:r>
    <w:r>
      <w:rPr>
        <w:rStyle w:val="ProgStrong"/>
      </w:rPr>
      <w:t>Mohamed Aziz BEN HAHA</w:t>
    </w:r>
    <w:r>
      <w:t xml:space="preserve">  ·  mohamedazizbenhaha.netlify.app</w:t>
      <w:tab/>
      <w:t xml:space="preserve">Page </w:t>
    </w:r>
    <w:r>
      <w:fldChar w:fldCharType="begin"/>
      <w:instrText xml:space="preserve">PAGE</w:instrText>
      <w:fldChar w:fldCharType="separate"/>
      <w:t xml:space="preserve">1</w:t>
      <w:fldChar w:fldCharType="end"/>
    </w:r>
    <w:r>
      <w:t xml:space="preserve"> sur </w:t>
    </w:r>
    <w:r>
      <w:fldChar w:fldCharType="begin"/>
      <w:instrText xml:space="preserve">NUMPAGES</w:instrText>
      <w:fldChar w:fldCharType="separate"/>
      <w:t xml:space="preserve">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Style w:val="ProgLabel"/>
      </w:rPr>
      <w:t>Programme de formation</w:t>
    </w:r>
    <w:r>
      <w:tab/>
      <w:t>Administration Kubernetes (CKA)</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rogCoverLine"/>
    </w:pPr>
    <w:r>
      <w:drawing>
        <wp:anchor xmlns:a="http://schemas.openxmlformats.org/drawingml/2006/main" xmlns:pic="http://schemas.openxmlformats.org/drawingml/2006/picture" distT="0" distB="0" distL="0" distR="0" simplePos="0" relativeHeight="1" behindDoc="1" locked="1" layoutInCell="1" allowOverlap="1">
          <wp:simplePos x="0" y="0"/>
          <wp:positionH relativeFrom="page">
            <wp:posOffset>0</wp:posOffset>
          </wp:positionH>
          <wp:positionV relativeFrom="page">
            <wp:posOffset>0</wp:posOffset>
          </wp:positionV>
          <wp:extent cx="7560000" cy="10692000"/>
          <wp:effectExtent l="0" t="0" r="0" b="0"/>
          <wp:wrapNone/>
          <wp:docPr id="901" name="Cover black"/>
          <wp:cNvGraphicFramePr/>
          <a:graphic>
            <a:graphicData uri="http://schemas.openxmlformats.org/drawingml/2006/picture">
              <pic:pic>
                <pic:nvPicPr>
                  <pic:cNvPr id="0" name="image.png"/>
                  <pic:cNvPicPr/>
                </pic:nvPicPr>
                <pic:blipFill>
                  <a:blip r:embed="rId1"/>
                  <a:stretch>
                    <a:fillRect/>
                  </a:stretch>
                </pic:blipFill>
                <pic:spPr>
                  <a:xfrm>
                    <a:off x="0" y="0"/>
                    <a:ext cx="7560000" cy="1069200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Calibri" w:hAnsi="Calibri" w:eastAsia="Calibri"/>
      <w:color w:val="1A1814"/>
      <w:sz w:val="21"/>
    </w:rPr>
  </w:style>
  <w:style w:type="paragraph" w:styleId="Header">
    <w:name w:val="header"/>
    <w:basedOn w:val="Normal"/>
    <w:link w:val="HeaderChar"/>
    <w:uiPriority w:val="99"/>
    <w:unhideWhenUsed/>
    <w:rsid w:val="00E618BF"/>
    <w:pPr>
      <w:tabs>
        <w:tab w:pos="9638" w:val="right"/>
      </w:tabs>
      <w:spacing w:after="0" w:line="240" w:lineRule="auto"/>
      <w:pBdr>
        <w:bottom w:val="single" w:sz="6" w:space="4" w:color="D4A024"/>
      </w:pBdr>
    </w:pPr>
    <w:rPr>
      <w:rFonts w:ascii="Calibri" w:hAnsi="Calibri"/>
      <w:color w:val="6B665C"/>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pos="9638" w:val="right"/>
      </w:tabs>
      <w:spacing w:after="0" w:line="240" w:lineRule="auto"/>
      <w:pBdr>
        <w:top w:val="single" w:sz="4" w:space="6" w:color="E6DECB"/>
      </w:pBdr>
    </w:pPr>
    <w:rPr>
      <w:rFonts w:ascii="Calibri" w:hAnsi="Calibri"/>
      <w:color w:val="6B665C"/>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Bdr>
        <w:bottom w:val="single" w:sz="12" w:space="6" w:color="D4A024"/>
      </w:pBdr>
    </w:pPr>
    <w:rPr>
      <w:rFonts w:asciiTheme="majorHAnsi" w:eastAsiaTheme="majorEastAsia" w:hAnsiTheme="majorHAnsi" w:cstheme="majorBidi" w:ascii="Calibri" w:hAnsi="Calibri"/>
      <w:b/>
      <w:bCs/>
      <w:color w:val="1A1814"/>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Calibri" w:hAnsi="Calibri"/>
      <w:b/>
      <w:bCs/>
      <w:color w:val="1A1814"/>
      <w:sz w:val="3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gKicker">
    <w:name w:val="Prog Kicker"/>
    <w:basedOn w:val="Normal"/>
    <w:qFormat/>
    <w:pPr>
      <w:keepNext/>
      <w:pageBreakBefore/>
      <w:tabs>
        <w:tab w:pos="9638" w:val="right"/>
      </w:tabs>
      <w:spacing w:before="0" w:after="40"/>
    </w:pPr>
    <w:rPr>
      <w:rFonts w:ascii="Calibri" w:hAnsi="Calibri"/>
      <w:b/>
      <w:caps/>
      <w:color w:val="9A7413"/>
      <w:sz w:val="17"/>
      <w:spacing w:val="24"/>
    </w:rPr>
  </w:style>
  <w:style w:type="paragraph" w:customStyle="1" w:styleId="ProgCoverKicker">
    <w:name w:val="Prog Cover Kicker"/>
    <w:basedOn w:val="Normal"/>
    <w:qFormat/>
    <w:pPr>
      <w:spacing w:before="4900" w:after="160"/>
    </w:pPr>
    <w:rPr>
      <w:rFonts w:ascii="Calibri" w:hAnsi="Calibri"/>
      <w:b/>
      <w:caps/>
      <w:color w:val="D4A024"/>
      <w:sz w:val="18"/>
      <w:spacing w:val="40"/>
    </w:rPr>
  </w:style>
  <w:style w:type="paragraph" w:customStyle="1" w:styleId="ProgCoverTitle">
    <w:name w:val="Prog Cover Title"/>
    <w:basedOn w:val="Normal"/>
    <w:qFormat/>
    <w:pPr>
      <w:spacing w:before="0" w:after="160" w:line="228" w:lineRule="auto"/>
    </w:pPr>
    <w:rPr>
      <w:rFonts w:ascii="Calibri" w:hAnsi="Calibri"/>
      <w:b/>
      <w:color w:val="F3EFE6"/>
      <w:sz w:val="72"/>
    </w:rPr>
  </w:style>
  <w:style w:type="paragraph" w:customStyle="1" w:styleId="ProgCoverSub">
    <w:name w:val="Prog Cover Sub"/>
    <w:basedOn w:val="Normal"/>
    <w:qFormat/>
    <w:pPr>
      <w:spacing w:before="0" w:after="440"/>
      <w:pBdr>
        <w:bottom w:val="single" w:sz="12" w:space="18" w:color="D4A024"/>
      </w:pBdr>
    </w:pPr>
    <w:rPr>
      <w:rFonts w:ascii="Calibri" w:hAnsi="Calibri"/>
      <w:color w:val="A29D92"/>
      <w:sz w:val="26"/>
    </w:rPr>
  </w:style>
  <w:style w:type="paragraph" w:customStyle="1" w:styleId="ProgCoverLine">
    <w:name w:val="Prog Cover Line"/>
    <w:basedOn w:val="Normal"/>
    <w:qFormat/>
    <w:pPr>
      <w:spacing w:before="0" w:after="120" w:line="276" w:lineRule="auto"/>
    </w:pPr>
    <w:rPr>
      <w:rFonts w:ascii="Calibri" w:hAnsi="Calibri"/>
      <w:color w:val="F3EFE6"/>
      <w:sz w:val="21"/>
    </w:rPr>
  </w:style>
  <w:style w:type="paragraph" w:customStyle="1" w:styleId="ProgCoverStat">
    <w:name w:val="Prog Cover Stat"/>
    <w:basedOn w:val="Normal"/>
    <w:qFormat/>
    <w:pPr>
      <w:spacing w:before="40" w:after="320" w:line="240" w:lineRule="auto"/>
    </w:pPr>
    <w:rPr>
      <w:rFonts w:ascii="Calibri" w:hAnsi="Calibri"/>
      <w:b/>
      <w:color w:val="D4A024"/>
      <w:sz w:val="92"/>
    </w:rPr>
  </w:style>
  <w:style w:type="paragraph" w:customStyle="1" w:styleId="ProgCoverName">
    <w:name w:val="Prog Cover Name"/>
    <w:basedOn w:val="Normal"/>
    <w:qFormat/>
    <w:pPr>
      <w:spacing w:before="0" w:after="20"/>
    </w:pPr>
    <w:rPr>
      <w:rFonts w:ascii="Calibri" w:hAnsi="Calibri"/>
      <w:b/>
      <w:color w:val="F3EFE6"/>
      <w:sz w:val="24"/>
    </w:rPr>
  </w:style>
  <w:style w:type="paragraph" w:customStyle="1" w:styleId="ProgCoverSite">
    <w:name w:val="Prog Cover Site"/>
    <w:basedOn w:val="Normal"/>
    <w:qFormat/>
    <w:pPr>
      <w:spacing w:before="0" w:after="0"/>
    </w:pPr>
    <w:rPr>
      <w:rFonts w:ascii="Calibri" w:hAnsi="Calibri"/>
      <w:color w:val="A29D92"/>
      <w:sz w:val="18"/>
    </w:rPr>
  </w:style>
  <w:style w:type="paragraph" w:customStyle="1" w:styleId="ProgBody">
    <w:name w:val="Prog Body"/>
    <w:basedOn w:val="Normal"/>
    <w:qFormat/>
    <w:pPr>
      <w:spacing w:before="0" w:after="120" w:line="276" w:lineRule="auto"/>
    </w:pPr>
    <w:rPr>
      <w:rFonts w:ascii="Calibri" w:hAnsi="Calibri"/>
      <w:sz w:val="21"/>
    </w:rPr>
  </w:style>
  <w:style w:type="paragraph" w:customStyle="1" w:styleId="ProgIntro">
    <w:name w:val="Prog Intro"/>
    <w:basedOn w:val="Normal"/>
    <w:qFormat/>
    <w:pPr>
      <w:spacing w:before="0" w:after="120" w:line="276" w:lineRule="auto"/>
    </w:pPr>
    <w:rPr>
      <w:rFonts w:ascii="Calibri" w:hAnsi="Calibri"/>
      <w:color w:val="6B665C"/>
      <w:sz w:val="21"/>
    </w:rPr>
  </w:style>
  <w:style w:type="paragraph" w:customStyle="1" w:styleId="ProgNote">
    <w:name w:val="Prog Note"/>
    <w:basedOn w:val="Normal"/>
    <w:qFormat/>
    <w:pPr>
      <w:spacing w:before="0" w:after="160"/>
    </w:pPr>
    <w:rPr>
      <w:rFonts w:ascii="Calibri" w:hAnsi="Calibri"/>
      <w:color w:val="6B665C"/>
      <w:sz w:val="19"/>
    </w:rPr>
  </w:style>
  <w:style w:type="paragraph" w:customStyle="1" w:styleId="ProgTableHead">
    <w:name w:val="Prog Table Head"/>
    <w:basedOn w:val="Normal"/>
    <w:qFormat/>
    <w:pPr>
      <w:spacing w:before="0" w:after="0"/>
    </w:pPr>
    <w:rPr>
      <w:rFonts w:ascii="Calibri" w:hAnsi="Calibri"/>
      <w:b/>
      <w:caps/>
      <w:color w:val="9A7413"/>
      <w:sz w:val="16"/>
      <w:spacing w:val="8"/>
    </w:rPr>
  </w:style>
  <w:style w:type="paragraph" w:customStyle="1" w:styleId="ProgTableKey">
    <w:name w:val="Prog Table Key"/>
    <w:basedOn w:val="Normal"/>
    <w:qFormat/>
    <w:pPr>
      <w:spacing w:before="0" w:after="0"/>
    </w:pPr>
    <w:rPr>
      <w:rFonts w:ascii="Calibri" w:hAnsi="Calibri"/>
      <w:b/>
      <w:caps/>
      <w:color w:val="9A7413"/>
      <w:sz w:val="17"/>
      <w:spacing w:val="12"/>
    </w:rPr>
  </w:style>
  <w:style w:type="paragraph" w:customStyle="1" w:styleId="ProgTableText">
    <w:name w:val="Prog Table Text"/>
    <w:basedOn w:val="Normal"/>
    <w:qFormat/>
    <w:pPr>
      <w:spacing w:before="0" w:after="0"/>
    </w:pPr>
    <w:rPr>
      <w:rFonts w:ascii="Calibri" w:hAnsi="Calibri"/>
      <w:sz w:val="19"/>
    </w:rPr>
  </w:style>
  <w:style w:type="paragraph" w:customStyle="1" w:styleId="ProgTableStrong">
    <w:name w:val="Prog Table Strong"/>
    <w:basedOn w:val="Normal"/>
    <w:qFormat/>
    <w:pPr>
      <w:spacing w:before="0" w:after="0"/>
    </w:pPr>
    <w:rPr>
      <w:rFonts w:ascii="Calibri" w:hAnsi="Calibri"/>
      <w:b/>
      <w:sz w:val="19"/>
    </w:rPr>
  </w:style>
  <w:style w:type="paragraph" w:customStyle="1" w:styleId="ProgTableMuted">
    <w:name w:val="Prog Table Muted"/>
    <w:basedOn w:val="Normal"/>
    <w:qFormat/>
    <w:pPr>
      <w:spacing w:before="0" w:after="0"/>
    </w:pPr>
    <w:rPr>
      <w:rFonts w:ascii="Calibri" w:hAnsi="Calibri"/>
      <w:color w:val="6B665C"/>
      <w:sz w:val="17"/>
    </w:rPr>
  </w:style>
  <w:style w:type="paragraph" w:customStyle="1" w:styleId="ProgTableId">
    <w:name w:val="Prog Table Id"/>
    <w:basedOn w:val="Normal"/>
    <w:qFormat/>
    <w:pPr>
      <w:spacing w:before="0" w:after="0"/>
    </w:pPr>
    <w:rPr>
      <w:rFonts w:ascii="Calibri" w:hAnsi="Calibri"/>
      <w:b/>
      <w:color w:val="9A7413"/>
      <w:sz w:val="18"/>
    </w:rPr>
  </w:style>
  <w:style w:type="paragraph" w:customStyle="1" w:styleId="ProgTableNumber">
    <w:name w:val="Prog Table Number"/>
    <w:basedOn w:val="Normal"/>
    <w:qFormat/>
    <w:pPr>
      <w:spacing w:before="0" w:after="0"/>
    </w:pPr>
    <w:rPr>
      <w:rFonts w:ascii="Calibri" w:hAnsi="Calibri"/>
      <w:b/>
      <w:color w:val="D4A024"/>
      <w:sz w:val="22"/>
    </w:rPr>
  </w:style>
  <w:style w:type="paragraph" w:customStyle="1" w:styleId="ProgTableHours">
    <w:name w:val="Prog Table Hours"/>
    <w:basedOn w:val="Normal"/>
    <w:qFormat/>
    <w:pPr>
      <w:spacing w:before="0" w:after="0"/>
      <w:jc w:val="right"/>
    </w:pPr>
    <w:rPr>
      <w:rFonts w:ascii="Calibri" w:hAnsi="Calibri"/>
      <w:b/>
      <w:sz w:val="19"/>
    </w:rPr>
  </w:style>
  <w:style w:type="paragraph" w:customStyle="1" w:styleId="ProgTableTotal">
    <w:name w:val="Prog Table Total"/>
    <w:basedOn w:val="Normal"/>
    <w:qFormat/>
    <w:pPr>
      <w:spacing w:before="0" w:after="0"/>
      <w:jc w:val="right"/>
    </w:pPr>
    <w:rPr>
      <w:rFonts w:ascii="Calibri" w:hAnsi="Calibri"/>
      <w:b/>
      <w:color w:val="9A7413"/>
      <w:sz w:val="22"/>
    </w:rPr>
  </w:style>
  <w:style w:type="paragraph" w:customStyle="1" w:styleId="ProgBoxTag">
    <w:name w:val="Prog Box Tag"/>
    <w:basedOn w:val="Normal"/>
    <w:qFormat/>
    <w:pPr>
      <w:keepNext/>
      <w:spacing w:before="0" w:after="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b/>
      <w:caps/>
      <w:color w:val="9A7413"/>
      <w:sz w:val="16"/>
      <w:spacing w:val="24"/>
    </w:rPr>
  </w:style>
  <w:style w:type="paragraph" w:customStyle="1" w:styleId="ProgBoxTitle">
    <w:name w:val="Prog Box Title"/>
    <w:basedOn w:val="Normal"/>
    <w:qFormat/>
    <w:pPr>
      <w:keepNext/>
      <w:spacing w:before="0" w:after="8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b/>
      <w:sz w:val="24"/>
    </w:rPr>
  </w:style>
  <w:style w:type="paragraph" w:customStyle="1" w:styleId="ProgBoxText">
    <w:name w:val="Prog Box Text"/>
    <w:basedOn w:val="Normal"/>
    <w:qFormat/>
    <w:pPr>
      <w:keepNext/>
      <w:spacing w:before="0" w:after="6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sz w:val="19"/>
    </w:rPr>
  </w:style>
  <w:style w:type="paragraph" w:customStyle="1" w:styleId="ProgBullet">
    <w:name w:val="Prog Bullet"/>
    <w:basedOn w:val="ListBullet"/>
    <w:qFormat/>
    <w:pPr>
      <w:spacing w:before="0" w:after="80" w:line="276" w:lineRule="auto"/>
    </w:pPr>
    <w:rPr>
      <w:rFonts w:ascii="Calibri" w:hAnsi="Calibri"/>
      <w:sz w:val="20"/>
    </w:rPr>
  </w:style>
  <w:style w:type="character" w:customStyle="1" w:styleId="ProgLabel">
    <w:name w:val="Prog Label"/>
    <w:qFormat/>
    <w:rPr>
      <w:rFonts w:ascii="Calibri" w:hAnsi="Calibri"/>
      <w:b/>
      <w:caps/>
      <w:color w:val="9A7413"/>
      <w:sz w:val="17"/>
      <w:spacing w:val="12"/>
    </w:rPr>
  </w:style>
  <w:style w:type="character" w:customStyle="1" w:styleId="ProgStrong">
    <w:name w:val="Prog Strong"/>
    <w:qFormat/>
    <w:rPr>
      <w:rFonts w:ascii="Calibri" w:hAnsi="Calibri"/>
      <w:b/>
      <w:color w:val="1A1814"/>
    </w:rPr>
  </w:style>
  <w:style w:type="character" w:customStyle="1" w:styleId="ProgCoverLabel">
    <w:name w:val="Prog Cover Label"/>
    <w:qFormat/>
    <w:rPr>
      <w:rFonts w:ascii="Calibri" w:hAnsi="Calibri"/>
      <w:b/>
      <w:caps/>
      <w:color w:val="D4A024"/>
      <w:sz w:val="17"/>
      <w:spacing w:val="16"/>
    </w:rPr>
  </w:style>
  <w:style w:type="character" w:customStyle="1" w:styleId="ProgCoverUnit">
    <w:name w:val="Prog Cover Unit"/>
    <w:qFormat/>
    <w:rPr>
      <w:rFonts w:ascii="Calibri" w:hAnsi="Calibri"/>
      <w:b/>
      <w:caps/>
      <w:color w:val="A29D92"/>
      <w:sz w:val="20"/>
      <w:spacing w:val="30"/>
    </w:rPr>
  </w:style>
  <w:style w:type="table" w:customStyle="1" w:styleId="ProgTable">
    <w:name w:val="Prog Table"/>
    <w:basedOn w:val="TableNormal"/>
    <w:uiPriority w:val="40"/>
    <w:qFormat/>
    <w:pPr>
      <w:spacing w:after="0"/>
    </w:pPr>
    <w:tblPr>
      <w:tblBorders>
        <w:bottom w:val="single" w:sz="4" w:space="0" w:color="E6DECB"/>
        <w:insideH w:val="single" w:sz="4" w:space="0" w:color="E6DECB"/>
      </w:tblBorders>
      <w:tblCellMar>
        <w:top w:w="70" w:type="dxa"/>
        <w:left w:w="90" w:type="dxa"/>
        <w:bottom w:w="70" w:type="dxa"/>
        <w:right w:w="90" w:type="dxa"/>
      </w:tblCellMar>
    </w:tblPr>
    <w:trPr>
      <w:cantSplit/>
    </w:trPr>
    <w:tblStylePr w:type="firstRow">
      <w:tblPr/>
      <w:trPr>
        <w:tblHeader/>
      </w:trPr>
      <w:tcPr>
        <w:tcBorders>
          <w:bottom w:val="single" w:sz="8" w:space="0" w:color="D4A024"/>
        </w:tcBorders>
        <w:shd w:val="clear" w:color="auto" w:fill="FBF4E2"/>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image" Target="media/image3.png"/><Relationship Id="rId13" Type="http://schemas.openxmlformats.org/officeDocument/2006/relationships/image" Target="media/vector122.svg"/><Relationship Id="rId14" Type="http://schemas.openxmlformats.org/officeDocument/2006/relationships/image" Target="media/image4.png"/><Relationship Id="rId15" Type="http://schemas.openxmlformats.org/officeDocument/2006/relationships/image" Target="media/vector123.sv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vector121.sv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Administration Kubernetes (CKA)</dc:title>
  <dc:subject>Programme de formation</dc:subject>
  <dc:creator>Mohamed Aziz BEN HAHA</dc:creator>
  <cp:keywords/>
  <dc:description>generated by python-docx</dc:description>
  <cp:lastModifiedBy/>
  <cp:revision>1</cp:revision>
  <dcterms:created xsi:type="dcterms:W3CDTF">2013-12-23T23:15:00Z</dcterms:created>
  <dcterms:modified xsi:type="dcterms:W3CDTF">2013-12-23T23:15:00Z</dcterms:modified>
  <cp:category/>
</cp:coreProperties>
</file>