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gCoverKicker"/>
      </w:pPr>
      <w:r>
        <w:t>Programme de formation</w:t>
      </w:r>
      <w:r>
        <w:drawing>
          <wp:anchor xmlns:a="http://schemas.openxmlformats.org/drawingml/2006/main" xmlns:pic="http://schemas.openxmlformats.org/drawingml/2006/picture" distT="0" distB="0" distL="0" distR="0" simplePos="0" relativeHeight="2" behindDoc="1" locked="0" layoutInCell="1" allowOverlap="1">
            <wp:simplePos x="0" y="0"/>
            <wp:positionH relativeFrom="page">
              <wp:posOffset>0</wp:posOffset>
            </wp:positionH>
            <wp:positionV relativeFrom="page">
              <wp:posOffset>0</wp:posOffset>
            </wp:positionV>
            <wp:extent cx="7560000" cy="2835000"/>
            <wp:effectExtent l="0" t="0" r="0" b="0"/>
            <wp:wrapNone/>
            <wp:docPr id="900" name="Cover tiles"/>
            <wp:cNvGraphicFramePr/>
            <a:graphic>
              <a:graphicData uri="http://schemas.openxmlformats.org/drawingml/2006/picture">
                <pic:pic>
                  <pic:nvPicPr>
                    <pic:cNvPr id="0" name="image.png"/>
                    <pic:cNvPicPr/>
                  </pic:nvPicPr>
                  <pic:blipFill>
                    <a:blip r:embed="rId12"/>
                    <a:stretch>
                      <a:fillRect/>
                    </a:stretch>
                  </pic:blipFill>
                  <pic:spPr>
                    <a:xfrm>
                      <a:off x="0" y="0"/>
                      <a:ext cx="7560000" cy="2835000"/>
                    </a:xfrm>
                    <a:prstGeom prst="rect"/>
                  </pic:spPr>
                </pic:pic>
              </a:graphicData>
            </a:graphic>
          </wp:anchor>
        </w:drawing>
      </w:r>
    </w:p>
    <w:p>
      <w:pPr>
        <w:pStyle w:val="ProgCoverTitle"/>
      </w:pPr>
      <w:r>
        <w:t>AWS Solutions Architect Associate</w:t>
      </w:r>
    </w:p>
    <w:p>
      <w:pPr>
        <w:pStyle w:val="ProgCoverSub"/>
      </w:pPr>
      <w:r>
        <w:t>Concevoir des architectures AWS résilientes, sécurisées, performantes et optimisées en coût</w:t>
      </w:r>
    </w:p>
    <w:p>
      <w:pPr>
        <w:pStyle w:val="ProgCoverStat"/>
      </w:pPr>
      <w:r>
        <w:t>36</w:t>
      </w:r>
      <w:r>
        <w:rPr>
          <w:rStyle w:val="ProgCoverUnit"/>
        </w:rPr>
        <w:t xml:space="preserve">  Heures</w:t>
      </w:r>
    </w:p>
    <w:p>
      <w:pPr>
        <w:pStyle w:val="ProgCoverLine"/>
      </w:pPr>
      <w:r>
        <w:rPr>
          <w:rStyle w:val="ProgCoverLabel"/>
        </w:rPr>
        <w:t>Pour</w:t>
      </w:r>
      <w:r>
        <w:t xml:space="preserve">   Ingénieurs et architectes qui conçoivent des charges de travail sur AWS</w:t>
      </w:r>
    </w:p>
    <w:p>
      <w:pPr>
        <w:pStyle w:val="ProgCoverLine"/>
      </w:pPr>
      <w:r>
        <w:rPr>
          <w:rStyle w:val="ProgCoverLabel"/>
        </w:rPr>
        <w:t>Prépare à</w:t>
      </w:r>
      <w:r>
        <w:t xml:space="preserve">   AWS Certified Solutions Architect – Associate (SAA‑C03)</w:t>
      </w:r>
    </w:p>
    <w:tbl>
      <w:tblPr>
        <w:tblW w:type="auto" w:w="0"/>
        <w:tblLayout w:type="fixed"/>
        <w:tblLook w:firstColumn="1" w:firstRow="1" w:lastColumn="0" w:lastRow="0" w:noHBand="0" w:noVBand="1" w:val="04A0"/>
        <w:tblpPr w:leftFromText="0" w:rightFromText="0" w:vertAnchor="page" w:horzAnchor="margin" w:tblpY="14592"/>
      </w:tblPr>
      <w:tblGrid>
        <w:gridCol w:w="4819"/>
        <w:gridCol w:w="4819"/>
      </w:tblGrid>
      <w:tr>
        <w:tc>
          <w:tcPr>
            <w:tcW w:type="dxa" w:w="1077"/>
          </w:tcPr>
          <w:p>
            <w:pPr>
              <w:pStyle w:val="ProgCoverName"/>
            </w:pPr>
            <w:r>
              <w:drawing>
                <wp:inline xmlns:a="http://schemas.openxmlformats.org/drawingml/2006/main" xmlns:pic="http://schemas.openxmlformats.org/drawingml/2006/picture">
                  <wp:extent cx="516649" cy="486000"/>
                  <wp:docPr id="901" name="Picture 90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16649" cy="486000"/>
                          </a:xfrm>
                          <a:prstGeom prst="rect"/>
                        </pic:spPr>
                      </pic:pic>
                    </a:graphicData>
                  </a:graphic>
                </wp:inline>
              </w:drawing>
            </w:r>
          </w:p>
        </w:tc>
        <w:tc>
          <w:tcPr>
            <w:tcW w:type="dxa" w:w="5102"/>
            <w:vAlign w:val="center"/>
          </w:tcPr>
          <w:p>
            <w:pPr>
              <w:pStyle w:val="ProgCoverName"/>
            </w:pPr>
            <w:r>
              <w:t>Mohamed Aziz BEN HAHA</w:t>
            </w:r>
          </w:p>
          <w:p>
            <w:pPr>
              <w:pStyle w:val="ProgCoverSite"/>
            </w:pPr>
            <w:r>
              <w:t>mohamedazizbenhaha.netlify.app</w:t>
            </w:r>
          </w:p>
        </w:tc>
      </w:tr>
    </w:tbl>
    <w:p>
      <w:pPr>
        <w:pStyle w:val="ProgBody"/>
        <w:spacing w:after="0"/>
      </w:pPr>
      <w:r>
        <w:br w:type="page"/>
      </w:r>
    </w:p>
    <w:p>
      <w:pPr>
        <w:pStyle w:val="Heading2"/>
        <w:spacing w:before="0"/>
      </w:pPr>
      <w:r>
        <w:t>Présentation</w:t>
      </w:r>
    </w:p>
    <w:p>
      <w:pPr>
        <w:pStyle w:val="ProgBody"/>
      </w:pPr>
      <w:r>
        <w:t>Ce programme apprend aux participants à concevoir des architectures sur Amazon Web Services et prépare l’examen AWS Certified Solutions Architect – Associate (SAA-C03). Ils conçoivent pour la résilience sur plusieurs zones de disponibilité et Régions, construisent des réseaux VPC avancés et une connectivité hybride, choisissent les modèles de calcul, de stockage et de bases de données, découplent les applications avec files d’attente, événements et workflows, les sécurisent sur plusieurs comptes avec IAM, KMS, WAF et Organizations, et construisent des microservices serverless et conteneurisés. Un entraînement sur scénarios clôt le contenu, et le programme s’achève par un projet final : une architecture conçue, construite et défendue en revue d’architecture.</w:t>
      </w:r>
    </w:p>
    <w:p>
      <w:pPr>
        <w:pStyle w:val="Heading2"/>
      </w:pPr>
      <w:r>
        <w:t>Vue d’ensemble</w:t>
      </w:r>
    </w:p>
    <w:tbl>
      <w:tblPr>
        <w:tblStyle w:val="ProgTable"/>
        <w:tblW w:type="auto" w:w="0"/>
        <w:jc w:val="center"/>
        <w:tblLayout w:type="fixed"/>
        <w:tblLook w:firstColumn="0" w:firstRow="1" w:lastColumn="0" w:lastRow="0" w:noHBand="1" w:noVBand="1" w:val="04A0"/>
      </w:tblPr>
      <w:tblGrid>
        <w:gridCol w:w="680"/>
        <w:gridCol w:w="2948"/>
        <w:gridCol w:w="4989"/>
        <w:gridCol w:w="1020"/>
      </w:tblGrid>
      <w:tr>
        <w:tc>
          <w:tcPr>
            <w:tcW w:type="dxa" w:w="680"/>
          </w:tcPr>
          <w:p>
            <w:pPr>
              <w:pStyle w:val="ProgTableHead"/>
              <w:keepNext/>
            </w:pPr>
            <w:r>
              <w:t>#</w:t>
            </w:r>
          </w:p>
        </w:tc>
        <w:tc>
          <w:tcPr>
            <w:tcW w:type="dxa" w:w="2948"/>
          </w:tcPr>
          <w:p>
            <w:pPr>
              <w:pStyle w:val="ProgTableHead"/>
              <w:keepNext/>
            </w:pPr>
            <w:r>
              <w:t>Phase</w:t>
            </w:r>
          </w:p>
        </w:tc>
        <w:tc>
          <w:tcPr>
            <w:tcW w:type="dxa" w:w="4989"/>
          </w:tcPr>
          <w:p>
            <w:pPr>
              <w:pStyle w:val="ProgTableHead"/>
              <w:keepNext/>
            </w:pPr>
            <w:r>
              <w:t>Thèmes</w:t>
            </w:r>
          </w:p>
        </w:tc>
        <w:tc>
          <w:tcPr>
            <w:tcW w:type="dxa" w:w="1020"/>
          </w:tcPr>
          <w:p>
            <w:pPr>
              <w:pStyle w:val="ProgTableHead"/>
              <w:keepNext/>
              <w:jc w:val="right"/>
            </w:pPr>
            <w:r>
              <w:t>Heures</w:t>
            </w:r>
          </w:p>
        </w:tc>
      </w:tr>
      <w:tr>
        <w:tc>
          <w:tcPr>
            <w:tcW w:type="dxa" w:w="680"/>
          </w:tcPr>
          <w:p>
            <w:pPr>
              <w:pStyle w:val="ProgTableNumber"/>
              <w:keepNext/>
            </w:pPr>
            <w:r>
              <w:t>01</w:t>
            </w:r>
          </w:p>
        </w:tc>
        <w:tc>
          <w:tcPr>
            <w:tcW w:type="dxa" w:w="2948"/>
          </w:tcPr>
          <w:p>
            <w:pPr>
              <w:pStyle w:val="ProgTableStrong"/>
              <w:keepNext/>
            </w:pPr>
            <w:r>
              <w:t>Résilience et réseau</w:t>
            </w:r>
          </w:p>
        </w:tc>
        <w:tc>
          <w:tcPr>
            <w:tcW w:type="dxa" w:w="4989"/>
          </w:tcPr>
          <w:p>
            <w:pPr>
              <w:pStyle w:val="ProgTableMuted"/>
              <w:keepNext/>
            </w:pPr>
            <w:r>
              <w:t>Multi-AZ, multi-Région, sauvegarde, VPC, connectivité hybride</w:t>
            </w:r>
          </w:p>
        </w:tc>
        <w:tc>
          <w:tcPr>
            <w:tcW w:type="dxa" w:w="1020"/>
          </w:tcPr>
          <w:p>
            <w:pPr>
              <w:pStyle w:val="ProgTableHours"/>
              <w:keepNext/>
            </w:pPr>
            <w:r>
              <w:t>6 h</w:t>
            </w:r>
          </w:p>
        </w:tc>
      </w:tr>
      <w:tr>
        <w:tc>
          <w:tcPr>
            <w:tcW w:type="dxa" w:w="680"/>
          </w:tcPr>
          <w:p>
            <w:pPr>
              <w:pStyle w:val="ProgTableNumber"/>
              <w:keepNext/>
            </w:pPr>
            <w:r>
              <w:t>02</w:t>
            </w:r>
          </w:p>
        </w:tc>
        <w:tc>
          <w:tcPr>
            <w:tcW w:type="dxa" w:w="2948"/>
          </w:tcPr>
          <w:p>
            <w:pPr>
              <w:pStyle w:val="ProgTableStrong"/>
              <w:keepNext/>
            </w:pPr>
            <w:r>
              <w:t>Calcul, stockage et données</w:t>
            </w:r>
          </w:p>
        </w:tc>
        <w:tc>
          <w:tcPr>
            <w:tcW w:type="dxa" w:w="4989"/>
          </w:tcPr>
          <w:p>
            <w:pPr>
              <w:pStyle w:val="ProgTableMuted"/>
              <w:keepNext/>
            </w:pPr>
            <w:r>
              <w:t>EC2, Auto Scaling, S3, transfert de données, bases de données</w:t>
            </w:r>
          </w:p>
        </w:tc>
        <w:tc>
          <w:tcPr>
            <w:tcW w:type="dxa" w:w="1020"/>
          </w:tcPr>
          <w:p>
            <w:pPr>
              <w:pStyle w:val="ProgTableHours"/>
              <w:keepNext/>
            </w:pPr>
            <w:r>
              <w:t>6 h</w:t>
            </w:r>
          </w:p>
        </w:tc>
      </w:tr>
      <w:tr>
        <w:tc>
          <w:tcPr>
            <w:tcW w:type="dxa" w:w="680"/>
          </w:tcPr>
          <w:p>
            <w:pPr>
              <w:pStyle w:val="ProgTableNumber"/>
              <w:keepNext/>
            </w:pPr>
            <w:r>
              <w:t>03</w:t>
            </w:r>
          </w:p>
        </w:tc>
        <w:tc>
          <w:tcPr>
            <w:tcW w:type="dxa" w:w="2948"/>
          </w:tcPr>
          <w:p>
            <w:pPr>
              <w:pStyle w:val="ProgTableStrong"/>
              <w:keepNext/>
            </w:pPr>
            <w:r>
              <w:t>Découplage et sécurité</w:t>
            </w:r>
          </w:p>
        </w:tc>
        <w:tc>
          <w:tcPr>
            <w:tcW w:type="dxa" w:w="4989"/>
          </w:tcPr>
          <w:p>
            <w:pPr>
              <w:pStyle w:val="ProgTableMuted"/>
              <w:keepNext/>
            </w:pPr>
            <w:r>
              <w:t>SQS, SNS, EventBridge, Step Functions, IAM, KMS, WAF</w:t>
            </w:r>
          </w:p>
        </w:tc>
        <w:tc>
          <w:tcPr>
            <w:tcW w:type="dxa" w:w="1020"/>
          </w:tcPr>
          <w:p>
            <w:pPr>
              <w:pStyle w:val="ProgTableHours"/>
              <w:keepNext/>
            </w:pPr>
            <w:r>
              <w:t>6 h</w:t>
            </w:r>
          </w:p>
        </w:tc>
      </w:tr>
      <w:tr>
        <w:tc>
          <w:tcPr>
            <w:tcW w:type="dxa" w:w="680"/>
          </w:tcPr>
          <w:p>
            <w:pPr>
              <w:pStyle w:val="ProgTableNumber"/>
              <w:keepNext/>
            </w:pPr>
            <w:r>
              <w:t>04</w:t>
            </w:r>
          </w:p>
        </w:tc>
        <w:tc>
          <w:tcPr>
            <w:tcW w:type="dxa" w:w="2948"/>
          </w:tcPr>
          <w:p>
            <w:pPr>
              <w:pStyle w:val="ProgTableStrong"/>
              <w:keepNext/>
            </w:pPr>
            <w:r>
              <w:t>Serverless et préparation à l’examen</w:t>
            </w:r>
          </w:p>
        </w:tc>
        <w:tc>
          <w:tcPr>
            <w:tcW w:type="dxa" w:w="4989"/>
          </w:tcPr>
          <w:p>
            <w:pPr>
              <w:pStyle w:val="ProgTableMuted"/>
              <w:keepNext/>
            </w:pPr>
            <w:r>
              <w:t>Lambda, API Gateway, ECS et EKS, Fargate, scénarios SAA-C03</w:t>
            </w:r>
          </w:p>
        </w:tc>
        <w:tc>
          <w:tcPr>
            <w:tcW w:type="dxa" w:w="1020"/>
          </w:tcPr>
          <w:p>
            <w:pPr>
              <w:pStyle w:val="ProgTableHours"/>
              <w:keepNext/>
            </w:pPr>
            <w:r>
              <w:t>6 h</w:t>
            </w:r>
          </w:p>
        </w:tc>
      </w:tr>
      <w:tr>
        <w:tc>
          <w:tcPr>
            <w:tcW w:type="dxa" w:w="680"/>
          </w:tcPr>
          <w:p>
            <w:pPr>
              <w:pStyle w:val="ProgTableNumber"/>
              <w:keepNext/>
            </w:pPr>
            <w:r>
              <w:t>05</w:t>
            </w:r>
          </w:p>
        </w:tc>
        <w:tc>
          <w:tcPr>
            <w:tcW w:type="dxa" w:w="2948"/>
          </w:tcPr>
          <w:p>
            <w:pPr>
              <w:pStyle w:val="ProgTableStrong"/>
              <w:keepNext/>
            </w:pPr>
            <w:r>
              <w:t>Projet final</w:t>
            </w:r>
          </w:p>
        </w:tc>
        <w:tc>
          <w:tcPr>
            <w:tcW w:type="dxa" w:w="4989"/>
          </w:tcPr>
          <w:p>
            <w:pPr>
              <w:pStyle w:val="ProgTableMuted"/>
              <w:keepNext/>
            </w:pPr>
            <w:r>
              <w:t>Une architecture multiniveau, défendue en revue d’architecture</w:t>
            </w:r>
          </w:p>
        </w:tc>
        <w:tc>
          <w:tcPr>
            <w:tcW w:type="dxa" w:w="1020"/>
          </w:tcPr>
          <w:p>
            <w:pPr>
              <w:pStyle w:val="ProgTableHours"/>
              <w:keepNext/>
            </w:pPr>
            <w:r>
              <w:t>6 h</w:t>
            </w:r>
          </w:p>
        </w:tc>
      </w:tr>
      <w:tr>
        <w:tc>
          <w:tcPr>
            <w:tcW w:type="dxa" w:w="680"/>
          </w:tcPr>
          <w:p>
            <w:pPr>
              <w:pStyle w:val="ProgTableText"/>
              <w:keepNext/>
            </w:pPr>
          </w:p>
        </w:tc>
        <w:tc>
          <w:tcPr>
            <w:tcW w:type="dxa" w:w="2948"/>
          </w:tcPr>
          <w:p>
            <w:pPr>
              <w:pStyle w:val="ProgTableStrong"/>
              <w:keepNext/>
            </w:pPr>
            <w:r>
              <w:t>Réserve</w:t>
            </w:r>
          </w:p>
        </w:tc>
        <w:tc>
          <w:tcPr>
            <w:tcW w:type="dxa" w:w="4989"/>
          </w:tcPr>
          <w:p>
            <w:pPr>
              <w:pStyle w:val="ProgTableMuted"/>
              <w:keepNext/>
            </w:pPr>
            <w:r>
              <w:t>Rattrapage, révision, TP supplémentaires</w:t>
            </w:r>
          </w:p>
        </w:tc>
        <w:tc>
          <w:tcPr>
            <w:tcW w:type="dxa" w:w="1020"/>
          </w:tcPr>
          <w:p>
            <w:pPr>
              <w:pStyle w:val="ProgTableHours"/>
              <w:keepNext/>
            </w:pPr>
            <w:r>
              <w:t>6 h</w:t>
            </w:r>
          </w:p>
        </w:tc>
      </w:tr>
      <w:tr>
        <w:tc>
          <w:tcPr>
            <w:tcW w:type="dxa" w:w="680"/>
            <w:tcBorders>
              <w:top w:val="single" w:sz="10" w:space="0" w:color="1A1814"/>
            </w:tcBorders>
          </w:tcPr>
          <w:p>
            <w:pPr>
              <w:pStyle w:val="ProgTableText"/>
              <w:keepNext/>
            </w:pPr>
          </w:p>
        </w:tc>
        <w:tc>
          <w:tcPr>
            <w:tcW w:type="dxa" w:w="2948"/>
            <w:tcBorders>
              <w:top w:val="single" w:sz="10" w:space="0" w:color="1A1814"/>
            </w:tcBorders>
          </w:tcPr>
          <w:p>
            <w:pPr>
              <w:pStyle w:val="ProgTableStrong"/>
              <w:keepNext/>
            </w:pPr>
            <w:r>
              <w:t>Total</w:t>
            </w:r>
          </w:p>
        </w:tc>
        <w:tc>
          <w:tcPr>
            <w:tcW w:type="dxa" w:w="4989"/>
            <w:tcBorders>
              <w:top w:val="single" w:sz="10" w:space="0" w:color="1A1814"/>
            </w:tcBorders>
          </w:tcPr>
          <w:p>
            <w:pPr>
              <w:pStyle w:val="ProgTableMuted"/>
              <w:keepNext/>
            </w:pPr>
          </w:p>
        </w:tc>
        <w:tc>
          <w:tcPr>
            <w:tcW w:type="dxa" w:w="1020"/>
            <w:tcBorders>
              <w:top w:val="single" w:sz="10" w:space="0" w:color="1A1814"/>
            </w:tcBorders>
          </w:tcPr>
          <w:p>
            <w:pPr>
              <w:pStyle w:val="ProgTableTotal"/>
              <w:keepNext/>
            </w:pPr>
            <w:r>
              <w:t>36 h</w:t>
            </w:r>
          </w:p>
        </w:tc>
      </w:tr>
    </w:tbl>
    <w:p>
      <w:pPr>
        <w:pStyle w:val="ProgBody"/>
      </w:pPr>
    </w:p>
    <w:p>
      <w:pPr>
        <w:pStyle w:val="Heading2"/>
      </w:pPr>
      <w:r>
        <w:t>Informations clés</w:t>
      </w:r>
    </w:p>
    <w:tbl>
      <w:tblPr>
        <w:tblStyle w:val="ProgTable"/>
        <w:tblW w:type="auto" w:w="0"/>
        <w:jc w:val="center"/>
        <w:tblLayout w:type="fixed"/>
        <w:tblLook w:firstColumn="0" w:firstRow="0" w:lastColumn="0" w:lastRow="0" w:noHBand="1" w:noVBand="1" w:val="04A0"/>
      </w:tblPr>
      <w:tblGrid>
        <w:gridCol w:w="2381"/>
        <w:gridCol w:w="7257"/>
      </w:tblGrid>
      <w:tr>
        <w:tc>
          <w:tcPr>
            <w:tcW w:type="dxa" w:w="2381"/>
          </w:tcPr>
          <w:p>
            <w:pPr>
              <w:pStyle w:val="ProgTableKey"/>
            </w:pPr>
            <w:r>
              <w:t>Public</w:t>
            </w:r>
          </w:p>
        </w:tc>
        <w:tc>
          <w:tcPr>
            <w:tcW w:type="dxa" w:w="7257"/>
          </w:tcPr>
          <w:p>
            <w:pPr>
              <w:pStyle w:val="ProgTableText"/>
            </w:pPr>
            <w:r>
              <w:t>Ingénieurs et architectes qui conçoivent des charges de travail sur AWS</w:t>
            </w:r>
          </w:p>
        </w:tc>
      </w:tr>
      <w:tr>
        <w:tc>
          <w:tcPr>
            <w:tcW w:type="dxa" w:w="2381"/>
          </w:tcPr>
          <w:p>
            <w:pPr>
              <w:pStyle w:val="ProgTableKey"/>
            </w:pPr>
            <w:r>
              <w:t>Prérequis</w:t>
            </w:r>
          </w:p>
        </w:tc>
        <w:tc>
          <w:tcPr>
            <w:tcW w:type="dxa" w:w="7257"/>
          </w:tcPr>
          <w:p>
            <w:pPr>
              <w:pStyle w:val="ProgTableText"/>
            </w:pPr>
            <w:r>
              <w:t>Services AWS essentiels (cours : AWS Cloud Practitioner), ou pratique équivalente. Ces services ne sont pas réenseignés</w:t>
            </w:r>
          </w:p>
        </w:tc>
      </w:tr>
      <w:tr>
        <w:tc>
          <w:tcPr>
            <w:tcW w:type="dxa" w:w="2381"/>
          </w:tcPr>
          <w:p>
            <w:pPr>
              <w:pStyle w:val="ProgTableKey"/>
            </w:pPr>
            <w:r>
              <w:t>Durée</w:t>
            </w:r>
          </w:p>
        </w:tc>
        <w:tc>
          <w:tcPr>
            <w:tcW w:type="dxa" w:w="7257"/>
          </w:tcPr>
          <w:p>
            <w:pPr>
              <w:pStyle w:val="ProgTableText"/>
            </w:pPr>
            <w:r>
              <w:t>36 h : 30 h de chapitres + 6 h de réserve</w:t>
            </w:r>
          </w:p>
        </w:tc>
      </w:tr>
      <w:tr>
        <w:tc>
          <w:tcPr>
            <w:tcW w:type="dxa" w:w="2381"/>
          </w:tcPr>
          <w:p>
            <w:pPr>
              <w:pStyle w:val="ProgTableKey"/>
            </w:pPr>
            <w:r>
              <w:t>Format</w:t>
            </w:r>
          </w:p>
        </w:tc>
        <w:tc>
          <w:tcPr>
            <w:tcW w:type="dxa" w:w="7257"/>
          </w:tcPr>
          <w:p>
            <w:pPr>
              <w:pStyle w:val="ProgTableText"/>
            </w:pPr>
            <w:r>
              <w:t>Discussions de conception, cours courts et TP guidés ; entraînement sur scénarios d’examen</w:t>
            </w:r>
          </w:p>
        </w:tc>
      </w:tr>
      <w:tr>
        <w:tc>
          <w:tcPr>
            <w:tcW w:type="dxa" w:w="2381"/>
          </w:tcPr>
          <w:p>
            <w:pPr>
              <w:pStyle w:val="ProgTableKey"/>
            </w:pPr>
            <w:r>
              <w:t>Environnement de TP</w:t>
            </w:r>
          </w:p>
        </w:tc>
        <w:tc>
          <w:tcPr>
            <w:tcW w:type="dxa" w:w="7257"/>
          </w:tcPr>
          <w:p>
            <w:pPr>
              <w:pStyle w:val="ProgTableText"/>
            </w:pPr>
            <w:r>
              <w:t>Un portable par participant avec la CLI AWS ; un compte AWS de test par équipe, fourni par l’organisateur, avec alerte budgétaire ; ressources détruites à la fin de chaque TP pour maîtriser les coûts</w:t>
            </w:r>
          </w:p>
        </w:tc>
      </w:tr>
      <w:tr>
        <w:tc>
          <w:tcPr>
            <w:tcW w:type="dxa" w:w="2381"/>
          </w:tcPr>
          <w:p>
            <w:pPr>
              <w:pStyle w:val="ProgTableKey"/>
            </w:pPr>
            <w:r>
              <w:t>Évaluation</w:t>
            </w:r>
          </w:p>
        </w:tc>
        <w:tc>
          <w:tcPr>
            <w:tcW w:type="dxa" w:w="7257"/>
          </w:tcPr>
          <w:p>
            <w:pPr>
              <w:pStyle w:val="ProgTableText"/>
            </w:pPr>
            <w:r>
              <w:t>Un TP validé par phase, des questions d’entraînement sur scénarios et une revue d’architecture finale ; attestation de formation pour les participants qui valident les TP et le projet</w:t>
            </w:r>
          </w:p>
        </w:tc>
      </w:tr>
      <w:tr>
        <w:tc>
          <w:tcPr>
            <w:tcW w:type="dxa" w:w="2381"/>
          </w:tcPr>
          <w:p>
            <w:pPr>
              <w:pStyle w:val="ProgTableKey"/>
            </w:pPr>
            <w:r>
              <w:t>Résultat</w:t>
            </w:r>
          </w:p>
        </w:tc>
        <w:tc>
          <w:tcPr>
            <w:tcW w:type="dxa" w:w="7257"/>
          </w:tcPr>
          <w:p>
            <w:pPr>
              <w:pStyle w:val="ProgTableText"/>
            </w:pPr>
            <w:r>
              <w:t>Les participants savent concevoir et construire une architecture multiniveau sur plusieurs zones de disponibilité, en justifier les compromis (coût, résilience, sécurité) et se présenter à l’examen SAA-C03</w:t>
            </w:r>
          </w:p>
        </w:tc>
      </w:tr>
    </w:tbl>
    <w:p>
      <w:pPr>
        <w:pStyle w:val="ProgKicker"/>
      </w:pPr>
      <w:r>
        <w:t>Phase 01</w:t>
        <w:tab/>
        <w:t>6 h</w:t>
      </w:r>
    </w:p>
    <w:p>
      <w:pPr>
        <w:pStyle w:val="Heading1"/>
      </w:pPr>
      <w:r>
        <w:t>Résilience et réseau</w:t>
      </w:r>
    </w:p>
    <w:p>
      <w:pPr>
        <w:pStyle w:val="ProgIntro"/>
      </w:pPr>
      <w:r>
        <w:t>Les participants conçoivent en prévoyant les pannes : charges réparties sur plusieurs zones de disponibilité et Régions, sauvegardes et objectifs de reprise. Ils conçoivent ensuite les réseaux sous-jacents : organisation des VPC, peering, Transit Gateway, endpoints et connectivité hybride. TP validé : deux VPC reliés par un Transit Gateway, avec un accès privé à S3 par un gateway endpoint.</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1.1</w:t>
            </w:r>
          </w:p>
        </w:tc>
        <w:tc>
          <w:tcPr>
            <w:tcW w:type="dxa" w:w="2211"/>
          </w:tcPr>
          <w:p>
            <w:pPr>
              <w:pStyle w:val="ProgTableStrong"/>
            </w:pPr>
            <w:r>
              <w:t>Architectures résilientes</w:t>
            </w:r>
          </w:p>
        </w:tc>
        <w:tc>
          <w:tcPr>
            <w:tcW w:type="dxa" w:w="4876"/>
          </w:tcPr>
          <w:p>
            <w:pPr>
              <w:pStyle w:val="ProgTableText"/>
            </w:pPr>
            <w:r>
              <w:t>Principes de conception, multi-AZ, multi-Région, sauvegarde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1.2</w:t>
            </w:r>
          </w:p>
        </w:tc>
        <w:tc>
          <w:tcPr>
            <w:tcW w:type="dxa" w:w="2211"/>
          </w:tcPr>
          <w:p>
            <w:pPr>
              <w:pStyle w:val="ProgTableStrong"/>
            </w:pPr>
            <w:r>
              <w:t>Réseau avancé</w:t>
            </w:r>
          </w:p>
        </w:tc>
        <w:tc>
          <w:tcPr>
            <w:tcW w:type="dxa" w:w="4876"/>
          </w:tcPr>
          <w:p>
            <w:pPr>
              <w:pStyle w:val="ProgTableText"/>
            </w:pPr>
            <w:r>
              <w:t>Conception des VPC, peering, Transit Gateway, endpoints, connectivité hybride</w:t>
            </w:r>
          </w:p>
        </w:tc>
        <w:tc>
          <w:tcPr>
            <w:tcW w:type="dxa" w:w="1134"/>
          </w:tcPr>
          <w:p>
            <w:pPr>
              <w:pStyle w:val="ProgTableMuted"/>
            </w:pPr>
            <w:r>
              <w:t>Cours + TP</w:t>
            </w:r>
          </w:p>
        </w:tc>
        <w:tc>
          <w:tcPr>
            <w:tcW w:type="dxa" w:w="850"/>
          </w:tcPr>
          <w:p>
            <w:pPr>
              <w:pStyle w:val="ProgTableHours"/>
            </w:pPr>
            <w:r>
              <w:t>3 h</w:t>
            </w:r>
          </w:p>
        </w:tc>
      </w:tr>
    </w:tbl>
    <w:p>
      <w:pPr>
        <w:pStyle w:val="ProgKicker"/>
      </w:pPr>
      <w:r>
        <w:t>Phase 02</w:t>
        <w:tab/>
        <w:t>6 h</w:t>
      </w:r>
    </w:p>
    <w:p>
      <w:pPr>
        <w:pStyle w:val="Heading1"/>
      </w:pPr>
      <w:r>
        <w:t>Calcul, stockage et données</w:t>
      </w:r>
    </w:p>
    <w:p>
      <w:pPr>
        <w:pStyle w:val="ProgIntro"/>
      </w:pPr>
      <w:r>
        <w:t>Les participants choisissent familles d’instances et stratégies de mise à l’échelle, classes de stockage et règles de cycle de vie, systèmes de fichiers et services de transfert, puis des modèles de bases de données avec réplicas, conception de clés DynamoDB et cache. TP validé : un cluster Aurora avec un réplica en lecture et une couche ElastiCache, mesuré avant et après la mise en cache.</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2.1</w:t>
            </w:r>
          </w:p>
        </w:tc>
        <w:tc>
          <w:tcPr>
            <w:tcW w:type="dxa" w:w="2211"/>
          </w:tcPr>
          <w:p>
            <w:pPr>
              <w:pStyle w:val="ProgTableStrong"/>
            </w:pPr>
            <w:r>
              <w:t>Modèles de calcul</w:t>
            </w:r>
          </w:p>
        </w:tc>
        <w:tc>
          <w:tcPr>
            <w:tcW w:type="dxa" w:w="4876"/>
          </w:tcPr>
          <w:p>
            <w:pPr>
              <w:pStyle w:val="ProgTableText"/>
            </w:pPr>
            <w:r>
              <w:t>Familles EC2 et options d’achat (à la demande, Savings Plans, instances réservées, Spot), stratégies Auto Scaling, conteneurs, groupes de placement</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2.2</w:t>
            </w:r>
          </w:p>
        </w:tc>
        <w:tc>
          <w:tcPr>
            <w:tcW w:type="dxa" w:w="2211"/>
          </w:tcPr>
          <w:p>
            <w:pPr>
              <w:pStyle w:val="ProgTableStrong"/>
            </w:pPr>
            <w:r>
              <w:t>Stockage et transfert de données</w:t>
            </w:r>
          </w:p>
        </w:tc>
        <w:tc>
          <w:tcPr>
            <w:tcW w:type="dxa" w:w="4876"/>
          </w:tcPr>
          <w:p>
            <w:pPr>
              <w:pStyle w:val="ProgTableText"/>
            </w:pPr>
            <w:r>
              <w:t>Classes et cycle de vie S3, EFS et FSx, DataSync, famille Snow</w:t>
            </w:r>
          </w:p>
        </w:tc>
        <w:tc>
          <w:tcPr>
            <w:tcW w:type="dxa" w:w="1134"/>
          </w:tcPr>
          <w:p>
            <w:pPr>
              <w:pStyle w:val="ProgTableMuted"/>
            </w:pPr>
            <w:r>
              <w:t>Cours + TP</w:t>
            </w:r>
          </w:p>
        </w:tc>
        <w:tc>
          <w:tcPr>
            <w:tcW w:type="dxa" w:w="850"/>
          </w:tcPr>
          <w:p>
            <w:pPr>
              <w:pStyle w:val="ProgTableHours"/>
            </w:pPr>
            <w:r>
              <w:t>1,5 h</w:t>
            </w:r>
          </w:p>
        </w:tc>
      </w:tr>
      <w:tr>
        <w:tc>
          <w:tcPr>
            <w:tcW w:type="dxa" w:w="567"/>
          </w:tcPr>
          <w:p>
            <w:pPr>
              <w:pStyle w:val="ProgTableId"/>
            </w:pPr>
            <w:r>
              <w:t>2.3</w:t>
            </w:r>
          </w:p>
        </w:tc>
        <w:tc>
          <w:tcPr>
            <w:tcW w:type="dxa" w:w="2211"/>
          </w:tcPr>
          <w:p>
            <w:pPr>
              <w:pStyle w:val="ProgTableStrong"/>
            </w:pPr>
            <w:r>
              <w:t>Modèles de bases de données</w:t>
            </w:r>
          </w:p>
        </w:tc>
        <w:tc>
          <w:tcPr>
            <w:tcW w:type="dxa" w:w="4876"/>
          </w:tcPr>
          <w:p>
            <w:pPr>
              <w:pStyle w:val="ProgTableText"/>
            </w:pPr>
            <w:r>
              <w:t>Réplicas RDS et Aurora, conception DynamoDB, cache</w:t>
            </w:r>
          </w:p>
        </w:tc>
        <w:tc>
          <w:tcPr>
            <w:tcW w:type="dxa" w:w="1134"/>
          </w:tcPr>
          <w:p>
            <w:pPr>
              <w:pStyle w:val="ProgTableMuted"/>
            </w:pPr>
            <w:r>
              <w:t>Cours + TP</w:t>
            </w:r>
          </w:p>
        </w:tc>
        <w:tc>
          <w:tcPr>
            <w:tcW w:type="dxa" w:w="850"/>
          </w:tcPr>
          <w:p>
            <w:pPr>
              <w:pStyle w:val="ProgTableHours"/>
            </w:pPr>
            <w:r>
              <w:t>1,5 h</w:t>
            </w:r>
          </w:p>
        </w:tc>
      </w:tr>
    </w:tbl>
    <w:p>
      <w:pPr>
        <w:pStyle w:val="ProgKicker"/>
      </w:pPr>
      <w:r>
        <w:t>Phase 03</w:t>
        <w:tab/>
        <w:t>6 h</w:t>
      </w:r>
    </w:p>
    <w:p>
      <w:pPr>
        <w:pStyle w:val="Heading1"/>
      </w:pPr>
      <w:r>
        <w:t>Découplage et sécurité</w:t>
      </w:r>
    </w:p>
    <w:p>
      <w:pPr>
        <w:pStyle w:val="ProgIntro"/>
      </w:pPr>
      <w:r>
        <w:t>Les participants découplent les composants pour qu’une panne n’arrête pas toute l’application, puis sécurisent l’architecture sur plusieurs comptes : stratégie IAM, chiffrement avec KMS, protection périphérique avec WAF et Shield, et gouvernance avec Organizations. TP validé : un flux de commandes via SQS, SNS et Step Functions qui continue d’accepter des commandes pendant que le service de traitement est arrêté, avec des files chiffrées.</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3.1</w:t>
            </w:r>
          </w:p>
        </w:tc>
        <w:tc>
          <w:tcPr>
            <w:tcW w:type="dxa" w:w="2211"/>
          </w:tcPr>
          <w:p>
            <w:pPr>
              <w:pStyle w:val="ProgTableStrong"/>
            </w:pPr>
            <w:r>
              <w:t>Découplage</w:t>
            </w:r>
          </w:p>
        </w:tc>
        <w:tc>
          <w:tcPr>
            <w:tcW w:type="dxa" w:w="4876"/>
          </w:tcPr>
          <w:p>
            <w:pPr>
              <w:pStyle w:val="ProgTableText"/>
            </w:pPr>
            <w:r>
              <w:t>SQS, SNS, EventBridge, Step Functions</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3.2</w:t>
            </w:r>
          </w:p>
        </w:tc>
        <w:tc>
          <w:tcPr>
            <w:tcW w:type="dxa" w:w="2211"/>
          </w:tcPr>
          <w:p>
            <w:pPr>
              <w:pStyle w:val="ProgTableStrong"/>
            </w:pPr>
            <w:r>
              <w:t>Architecture de sécurité</w:t>
            </w:r>
          </w:p>
        </w:tc>
        <w:tc>
          <w:tcPr>
            <w:tcW w:type="dxa" w:w="4876"/>
          </w:tcPr>
          <w:p>
            <w:pPr>
              <w:pStyle w:val="ProgTableText"/>
            </w:pPr>
            <w:r>
              <w:t>Stratégie IAM, KMS, WAF, Shield, Organizations</w:t>
            </w:r>
          </w:p>
        </w:tc>
        <w:tc>
          <w:tcPr>
            <w:tcW w:type="dxa" w:w="1134"/>
          </w:tcPr>
          <w:p>
            <w:pPr>
              <w:pStyle w:val="ProgTableMuted"/>
            </w:pPr>
            <w:r>
              <w:t>Cours + TP</w:t>
            </w:r>
          </w:p>
        </w:tc>
        <w:tc>
          <w:tcPr>
            <w:tcW w:type="dxa" w:w="850"/>
          </w:tcPr>
          <w:p>
            <w:pPr>
              <w:pStyle w:val="ProgTableHours"/>
            </w:pPr>
            <w:r>
              <w:t>3 h</w:t>
            </w:r>
          </w:p>
        </w:tc>
      </w:tr>
    </w:tbl>
    <w:p>
      <w:pPr>
        <w:pStyle w:val="ProgKicker"/>
      </w:pPr>
      <w:r>
        <w:t>Phase 04</w:t>
        <w:tab/>
        <w:t>6 h</w:t>
      </w:r>
    </w:p>
    <w:p>
      <w:pPr>
        <w:pStyle w:val="Heading1"/>
      </w:pPr>
      <w:r>
        <w:t>Serverless et préparation à l’examen</w:t>
      </w:r>
    </w:p>
    <w:p>
      <w:pPr>
        <w:pStyle w:val="ProgIntro"/>
      </w:pPr>
      <w:r>
        <w:t>Les participants construisent des microservices sans gérer de serveurs, avec Lambda et API Gateway ou des conteneurs sur ECS et EKS avec Fargate, puis traitent des scénarios couvrant les quatre domaines de l’examen SAA-C03. TP validé : une API HTTP API Gateway qui envoie un chemin vers Lambda et un autre vers un service Fargate via un VPC link.</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4.1</w:t>
            </w:r>
          </w:p>
        </w:tc>
        <w:tc>
          <w:tcPr>
            <w:tcW w:type="dxa" w:w="2211"/>
          </w:tcPr>
          <w:p>
            <w:pPr>
              <w:pStyle w:val="ProgTableStrong"/>
            </w:pPr>
            <w:r>
              <w:t>Serverless et microservices</w:t>
            </w:r>
          </w:p>
        </w:tc>
        <w:tc>
          <w:tcPr>
            <w:tcW w:type="dxa" w:w="4876"/>
          </w:tcPr>
          <w:p>
            <w:pPr>
              <w:pStyle w:val="ProgTableText"/>
            </w:pPr>
            <w:r>
              <w:t>Lambda, API Gateway, ECS et EKS, Fargate</w:t>
            </w:r>
          </w:p>
        </w:tc>
        <w:tc>
          <w:tcPr>
            <w:tcW w:type="dxa" w:w="1134"/>
          </w:tcPr>
          <w:p>
            <w:pPr>
              <w:pStyle w:val="ProgTableMuted"/>
            </w:pPr>
            <w:r>
              <w:t>Cours + TP</w:t>
            </w:r>
          </w:p>
        </w:tc>
        <w:tc>
          <w:tcPr>
            <w:tcW w:type="dxa" w:w="850"/>
          </w:tcPr>
          <w:p>
            <w:pPr>
              <w:pStyle w:val="ProgTableHours"/>
            </w:pPr>
            <w:r>
              <w:t>3 h</w:t>
            </w:r>
          </w:p>
        </w:tc>
      </w:tr>
      <w:tr>
        <w:tc>
          <w:tcPr>
            <w:tcW w:type="dxa" w:w="567"/>
          </w:tcPr>
          <w:p>
            <w:pPr>
              <w:pStyle w:val="ProgTableId"/>
            </w:pPr>
            <w:r>
              <w:t>4.2</w:t>
            </w:r>
          </w:p>
        </w:tc>
        <w:tc>
          <w:tcPr>
            <w:tcW w:type="dxa" w:w="2211"/>
          </w:tcPr>
          <w:p>
            <w:pPr>
              <w:pStyle w:val="ProgTableStrong"/>
            </w:pPr>
            <w:r>
              <w:t>Préparation au SAA-C03</w:t>
            </w:r>
          </w:p>
        </w:tc>
        <w:tc>
          <w:tcPr>
            <w:tcW w:type="dxa" w:w="4876"/>
          </w:tcPr>
          <w:p>
            <w:pPr>
              <w:pStyle w:val="ProgTableText"/>
            </w:pPr>
            <w:r>
              <w:t>Questions sur scénarios couvrant les quatre domaines ; révision des services non pratiqués en TP (Kinesis, Athena, Glue, EMR, services de migration)</w:t>
            </w:r>
          </w:p>
        </w:tc>
        <w:tc>
          <w:tcPr>
            <w:tcW w:type="dxa" w:w="1134"/>
          </w:tcPr>
          <w:p>
            <w:pPr>
              <w:pStyle w:val="ProgTableMuted"/>
            </w:pPr>
            <w:r>
              <w:t>Cours + atelier</w:t>
            </w:r>
          </w:p>
        </w:tc>
        <w:tc>
          <w:tcPr>
            <w:tcW w:type="dxa" w:w="850"/>
          </w:tcPr>
          <w:p>
            <w:pPr>
              <w:pStyle w:val="ProgTableHours"/>
            </w:pPr>
            <w:r>
              <w:t>3 h</w:t>
            </w:r>
          </w:p>
        </w:tc>
      </w:tr>
    </w:tbl>
    <w:p>
      <w:pPr>
        <w:pStyle w:val="ProgKicker"/>
      </w:pPr>
      <w:r>
        <w:t>Phase 05</w:t>
        <w:tab/>
        <w:t>6 h</w:t>
      </w:r>
    </w:p>
    <w:p>
      <w:pPr>
        <w:pStyle w:val="Heading1"/>
      </w:pPr>
      <w:r>
        <w:t>Projet final</w:t>
      </w:r>
    </w:p>
    <w:p>
      <w:pPr>
        <w:pStyle w:val="ProgIntro"/>
      </w:pPr>
      <w:r>
        <w:t>Par équipes de deux ou trois, les participants conçoivent et construisent une architecture pour un cas métier écrit, en réutilisant les TP de phase, puis défendent leurs choix lors d’une revue d’architecture menée par le formateur.</w:t>
      </w:r>
    </w:p>
    <w:tbl>
      <w:tblPr>
        <w:tblStyle w:val="ProgTable"/>
        <w:tblW w:type="auto" w:w="0"/>
        <w:jc w:val="center"/>
        <w:tblLayout w:type="fixed"/>
        <w:tblLook w:firstColumn="0" w:firstRow="1" w:lastColumn="0" w:lastRow="0" w:noHBand="1" w:noVBand="1" w:val="04A0"/>
      </w:tblPr>
      <w:tblGrid>
        <w:gridCol w:w="567"/>
        <w:gridCol w:w="2211"/>
        <w:gridCol w:w="4876"/>
        <w:gridCol w:w="1134"/>
        <w:gridCol w:w="850"/>
      </w:tblGrid>
      <w:tr>
        <w:tc>
          <w:tcPr>
            <w:tcW w:type="dxa" w:w="567"/>
          </w:tcPr>
          <w:p>
            <w:pPr>
              <w:pStyle w:val="ProgTableHead"/>
            </w:pPr>
            <w:r>
              <w:t>#</w:t>
            </w:r>
          </w:p>
        </w:tc>
        <w:tc>
          <w:tcPr>
            <w:tcW w:type="dxa" w:w="2211"/>
          </w:tcPr>
          <w:p>
            <w:pPr>
              <w:pStyle w:val="ProgTableHead"/>
            </w:pPr>
            <w:r>
              <w:t>Chapitre</w:t>
            </w:r>
          </w:p>
        </w:tc>
        <w:tc>
          <w:tcPr>
            <w:tcW w:type="dxa" w:w="4876"/>
          </w:tcPr>
          <w:p>
            <w:pPr>
              <w:pStyle w:val="ProgTableHead"/>
            </w:pPr>
            <w:r>
              <w:t>Contenu</w:t>
            </w:r>
          </w:p>
        </w:tc>
        <w:tc>
          <w:tcPr>
            <w:tcW w:type="dxa" w:w="1134"/>
          </w:tcPr>
          <w:p>
            <w:pPr>
              <w:pStyle w:val="ProgTableHead"/>
            </w:pPr>
            <w:r>
              <w:t>Format</w:t>
            </w:r>
          </w:p>
        </w:tc>
        <w:tc>
          <w:tcPr>
            <w:tcW w:type="dxa" w:w="850"/>
          </w:tcPr>
          <w:p>
            <w:pPr>
              <w:pStyle w:val="ProgTableHead"/>
              <w:jc w:val="right"/>
            </w:pPr>
            <w:r>
              <w:t>Heures</w:t>
            </w:r>
          </w:p>
        </w:tc>
      </w:tr>
      <w:tr>
        <w:tc>
          <w:tcPr>
            <w:tcW w:type="dxa" w:w="567"/>
          </w:tcPr>
          <w:p>
            <w:pPr>
              <w:pStyle w:val="ProgTableId"/>
            </w:pPr>
            <w:r>
              <w:t>5.1</w:t>
            </w:r>
          </w:p>
        </w:tc>
        <w:tc>
          <w:tcPr>
            <w:tcW w:type="dxa" w:w="2211"/>
          </w:tcPr>
          <w:p>
            <w:pPr>
              <w:pStyle w:val="ProgTableStrong"/>
            </w:pPr>
            <w:r>
              <w:t>Cahier des charges et conception</w:t>
            </w:r>
          </w:p>
        </w:tc>
        <w:tc>
          <w:tcPr>
            <w:tcW w:type="dxa" w:w="4876"/>
          </w:tcPr>
          <w:p>
            <w:pPr>
              <w:pStyle w:val="ProgTableText"/>
            </w:pPr>
            <w:r>
              <w:t>Analyser le cas métier, concevoir une architecture multiniveau sur plusieurs zones de disponibilité, en construire le cœur dans le compte de test</w:t>
            </w:r>
          </w:p>
        </w:tc>
        <w:tc>
          <w:tcPr>
            <w:tcW w:type="dxa" w:w="1134"/>
          </w:tcPr>
          <w:p>
            <w:pPr>
              <w:pStyle w:val="ProgTableMuted"/>
            </w:pPr>
            <w:r>
              <w:t>Projet</w:t>
            </w:r>
          </w:p>
        </w:tc>
        <w:tc>
          <w:tcPr>
            <w:tcW w:type="dxa" w:w="850"/>
          </w:tcPr>
          <w:p>
            <w:pPr>
              <w:pStyle w:val="ProgTableHours"/>
            </w:pPr>
            <w:r>
              <w:t>3 h</w:t>
            </w:r>
          </w:p>
        </w:tc>
      </w:tr>
      <w:tr>
        <w:tc>
          <w:tcPr>
            <w:tcW w:type="dxa" w:w="567"/>
          </w:tcPr>
          <w:p>
            <w:pPr>
              <w:pStyle w:val="ProgTableId"/>
            </w:pPr>
            <w:r>
              <w:t>5.2</w:t>
            </w:r>
          </w:p>
        </w:tc>
        <w:tc>
          <w:tcPr>
            <w:tcW w:type="dxa" w:w="2211"/>
          </w:tcPr>
          <w:p>
            <w:pPr>
              <w:pStyle w:val="ProgTableStrong"/>
            </w:pPr>
            <w:r>
              <w:t>Coût, résilience et sécurité</w:t>
            </w:r>
          </w:p>
        </w:tc>
        <w:tc>
          <w:tcPr>
            <w:tcW w:type="dxa" w:w="4876"/>
          </w:tcPr>
          <w:p>
            <w:pPr>
              <w:pStyle w:val="ProgTableText"/>
            </w:pPr>
            <w:r>
              <w:t>Estimation de coût, scénarios de panne, contrôles de sécurité, schéma d’architecture et registre des décisions</w:t>
            </w:r>
          </w:p>
        </w:tc>
        <w:tc>
          <w:tcPr>
            <w:tcW w:type="dxa" w:w="1134"/>
          </w:tcPr>
          <w:p>
            <w:pPr>
              <w:pStyle w:val="ProgTableMuted"/>
            </w:pPr>
            <w:r>
              <w:t>Projet</w:t>
            </w:r>
          </w:p>
        </w:tc>
        <w:tc>
          <w:tcPr>
            <w:tcW w:type="dxa" w:w="850"/>
          </w:tcPr>
          <w:p>
            <w:pPr>
              <w:pStyle w:val="ProgTableHours"/>
            </w:pPr>
            <w:r>
              <w:t>1,5 h</w:t>
            </w:r>
          </w:p>
        </w:tc>
      </w:tr>
      <w:tr>
        <w:tc>
          <w:tcPr>
            <w:tcW w:type="dxa" w:w="567"/>
          </w:tcPr>
          <w:p>
            <w:pPr>
              <w:pStyle w:val="ProgTableId"/>
            </w:pPr>
            <w:r>
              <w:t>5.3</w:t>
            </w:r>
          </w:p>
        </w:tc>
        <w:tc>
          <w:tcPr>
            <w:tcW w:type="dxa" w:w="2211"/>
          </w:tcPr>
          <w:p>
            <w:pPr>
              <w:pStyle w:val="ProgTableStrong"/>
            </w:pPr>
            <w:r>
              <w:t>Revue d’architecture</w:t>
            </w:r>
          </w:p>
        </w:tc>
        <w:tc>
          <w:tcPr>
            <w:tcW w:type="dxa" w:w="4876"/>
          </w:tcPr>
          <w:p>
            <w:pPr>
              <w:pStyle w:val="ProgTableText"/>
            </w:pPr>
            <w:r>
              <w:t>Défendre les compromis devant le groupe, suppression des ressources ; questions et retours</w:t>
            </w:r>
          </w:p>
        </w:tc>
        <w:tc>
          <w:tcPr>
            <w:tcW w:type="dxa" w:w="1134"/>
          </w:tcPr>
          <w:p>
            <w:pPr>
              <w:pStyle w:val="ProgTableMuted"/>
            </w:pPr>
            <w:r>
              <w:t>Projet</w:t>
            </w:r>
          </w:p>
        </w:tc>
        <w:tc>
          <w:tcPr>
            <w:tcW w:type="dxa" w:w="850"/>
          </w:tcPr>
          <w:p>
            <w:pPr>
              <w:pStyle w:val="ProgTableHours"/>
            </w:pPr>
            <w:r>
              <w:t>1,5 h</w:t>
            </w:r>
          </w:p>
        </w:tc>
      </w:tr>
    </w:tbl>
    <w:p>
      <w:pPr>
        <w:pStyle w:val="ProgBody"/>
      </w:pPr>
    </w:p>
    <w:p>
      <w:pPr>
        <w:pStyle w:val="ProgBoxTag"/>
      </w:pPr>
      <w:r>
        <w:t>Projet final</w:t>
      </w:r>
    </w:p>
    <w:p>
      <w:pPr>
        <w:pStyle w:val="ProgBoxTitle"/>
      </w:pPr>
      <w:r>
        <w:t>Architecture pour un cas métier</w:t>
      </w:r>
    </w:p>
    <w:p>
      <w:pPr>
        <w:pStyle w:val="ProgBoxText"/>
      </w:pPr>
      <w:r>
        <w:t>Une architecture multiniveau sur plusieurs zones de disponibilité pour un cas métier écrit, construite dans le compte de test et défendue lors d’une revue d’architecture qui pèse les compromis de coût, de résilience et de sécurité.</w:t>
      </w:r>
    </w:p>
    <w:p>
      <w:pPr>
        <w:pStyle w:val="ProgBoxText"/>
      </w:pPr>
      <w:r>
        <w:rPr>
          <w:rStyle w:val="ProgLabel"/>
        </w:rPr>
        <w:t>Outils</w:t>
      </w:r>
      <w:r>
        <w:t xml:space="preserve">  AWS : VPC, EC2 ou Fargate, Elastic Load Balancing, Auto Scaling, Aurora ou DynamoDB, S3, SQS, KMS, WAF, CloudWatch, AWS Pricing Calculator</w:t>
      </w:r>
    </w:p>
    <w:p>
      <w:pPr>
        <w:pStyle w:val="ProgBoxText"/>
        <w:keepNext w:val="0"/>
      </w:pPr>
      <w:r>
        <w:rPr>
          <w:rStyle w:val="ProgLabel"/>
        </w:rPr>
        <w:t>Livrable</w:t>
      </w:r>
      <w:r>
        <w:t xml:space="preserve">  Schéma d’architecture, registre des décisions, estimation de coût, cœur fonctionnel, revue d’architecture</w:t>
      </w:r>
    </w:p>
    <w:sectPr w:rsidR="00FC693F" w:rsidRPr="0006063C" w:rsidSect="00034616">
      <w:headerReference w:type="default" r:id="rId9"/>
      <w:footerReference w:type="default" r:id="rId10"/>
      <w:headerReference w:type="first" r:id="rId11"/>
      <w:pgSz w:w="11906" w:h="16838"/>
      <w:pgMar w:top="1247"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drawing>
        <wp:inline xmlns:a="http://schemas.openxmlformats.org/drawingml/2006/main" xmlns:pic="http://schemas.openxmlformats.org/drawingml/2006/picture">
          <wp:extent cx="114811" cy="108000"/>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14811" cy="108000"/>
                  </a:xfrm>
                  <a:prstGeom prst="rect"/>
                </pic:spPr>
              </pic:pic>
            </a:graphicData>
          </a:graphic>
        </wp:inline>
      </w:drawing>
    </w:r>
    <w:r>
      <w:t xml:space="preserve">  </w:t>
    </w:r>
    <w:r>
      <w:rPr>
        <w:rStyle w:val="ProgStrong"/>
      </w:rPr>
      <w:t>Mohamed Aziz BEN HAHA</w:t>
    </w:r>
    <w:r>
      <w:t xml:space="preserve">  ·  mohamedazizbenhaha.netlify.app</w:t>
      <w:tab/>
      <w:t xml:space="preserve">Page </w:t>
    </w:r>
    <w:r>
      <w:fldChar w:fldCharType="begin"/>
      <w:instrText xml:space="preserve">PAGE</w:instrText>
      <w:fldChar w:fldCharType="separate"/>
      <w:t xml:space="preserve">1</w:t>
      <w:fldChar w:fldCharType="end"/>
    </w:r>
    <w:r>
      <w:t xml:space="preserve"> sur </w:t>
    </w:r>
    <w:r>
      <w:fldChar w:fldCharType="begin"/>
      <w:instrText xml:space="preserve">NUMPAGES</w:instrText>
      <w:fldChar w:fldCharType="separate"/>
      <w:t xml:space="preserve">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Style w:val="ProgLabel"/>
      </w:rPr>
      <w:t>Programme de formation</w:t>
    </w:r>
    <w:r>
      <w:tab/>
      <w:t>AWS Solutions Architect Associate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rogCoverLine"/>
    </w:pPr>
    <w:r>
      <w:drawing>
        <wp:anchor xmlns:a="http://schemas.openxmlformats.org/drawingml/2006/main" xmlns:pic="http://schemas.openxmlformats.org/drawingml/2006/picture" distT="0" distB="0" distL="0" distR="0" simplePos="0" relativeHeight="1"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Cover black"/>
          <wp:cNvGraphicFramePr/>
          <a:graphic>
            <a:graphicData uri="http://schemas.openxmlformats.org/drawingml/2006/picture">
              <pic:pic>
                <pic:nvPicPr>
                  <pic:cNvPr id="0" name="image.png"/>
                  <pic:cNvPicPr/>
                </pic:nvPicPr>
                <pic:blipFill>
                  <a:blip r:embed="rId1"/>
                  <a:stretch>
                    <a:fillRect/>
                  </a:stretch>
                </pic:blipFill>
                <pic:spPr>
                  <a:xfrm>
                    <a:off x="0" y="0"/>
                    <a:ext cx="7560000" cy="10692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Calibri" w:hAnsi="Calibri" w:eastAsia="Calibri"/>
      <w:color w:val="1A1814"/>
      <w:sz w:val="21"/>
    </w:rPr>
  </w:style>
  <w:style w:type="paragraph" w:styleId="Header">
    <w:name w:val="header"/>
    <w:basedOn w:val="Normal"/>
    <w:link w:val="HeaderChar"/>
    <w:uiPriority w:val="99"/>
    <w:unhideWhenUsed/>
    <w:rsid w:val="00E618BF"/>
    <w:pPr>
      <w:tabs>
        <w:tab w:pos="9638" w:val="right"/>
      </w:tabs>
      <w:spacing w:after="0" w:line="240" w:lineRule="auto"/>
      <w:pBdr>
        <w:bottom w:val="single" w:sz="6" w:space="4" w:color="D4A024"/>
      </w:pBdr>
    </w:pPr>
    <w:rPr>
      <w:rFonts w:ascii="Calibri" w:hAnsi="Calibri"/>
      <w:color w:val="6B665C"/>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638" w:val="right"/>
      </w:tabs>
      <w:spacing w:after="0" w:line="240" w:lineRule="auto"/>
      <w:pBdr>
        <w:top w:val="single" w:sz="4" w:space="6" w:color="E6DECB"/>
      </w:pBdr>
    </w:pPr>
    <w:rPr>
      <w:rFonts w:ascii="Calibri" w:hAnsi="Calibri"/>
      <w:color w:val="6B665C"/>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Bdr>
        <w:bottom w:val="single" w:sz="12" w:space="6" w:color="D4A024"/>
      </w:pBdr>
    </w:pPr>
    <w:rPr>
      <w:rFonts w:asciiTheme="majorHAnsi" w:eastAsiaTheme="majorEastAsia" w:hAnsiTheme="majorHAnsi" w:cstheme="majorBidi" w:ascii="Calibri" w:hAnsi="Calibri"/>
      <w:b/>
      <w:bCs/>
      <w:color w:val="1A1814"/>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1814"/>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gKicker">
    <w:name w:val="Prog Kicker"/>
    <w:basedOn w:val="Normal"/>
    <w:qFormat/>
    <w:pPr>
      <w:keepNext/>
      <w:pageBreakBefore/>
      <w:tabs>
        <w:tab w:pos="9638" w:val="right"/>
      </w:tabs>
      <w:spacing w:before="0" w:after="40"/>
    </w:pPr>
    <w:rPr>
      <w:rFonts w:ascii="Calibri" w:hAnsi="Calibri"/>
      <w:b/>
      <w:caps/>
      <w:color w:val="9A7413"/>
      <w:sz w:val="17"/>
      <w:spacing w:val="24"/>
    </w:rPr>
  </w:style>
  <w:style w:type="paragraph" w:customStyle="1" w:styleId="ProgCoverKicker">
    <w:name w:val="Prog Cover Kicker"/>
    <w:basedOn w:val="Normal"/>
    <w:qFormat/>
    <w:pPr>
      <w:spacing w:before="4900" w:after="160"/>
    </w:pPr>
    <w:rPr>
      <w:rFonts w:ascii="Calibri" w:hAnsi="Calibri"/>
      <w:b/>
      <w:caps/>
      <w:color w:val="D4A024"/>
      <w:sz w:val="18"/>
      <w:spacing w:val="40"/>
    </w:rPr>
  </w:style>
  <w:style w:type="paragraph" w:customStyle="1" w:styleId="ProgCoverTitle">
    <w:name w:val="Prog Cover Title"/>
    <w:basedOn w:val="Normal"/>
    <w:qFormat/>
    <w:pPr>
      <w:spacing w:before="0" w:after="160" w:line="228" w:lineRule="auto"/>
    </w:pPr>
    <w:rPr>
      <w:rFonts w:ascii="Calibri" w:hAnsi="Calibri"/>
      <w:b/>
      <w:color w:val="F3EFE6"/>
      <w:sz w:val="72"/>
    </w:rPr>
  </w:style>
  <w:style w:type="paragraph" w:customStyle="1" w:styleId="ProgCoverSub">
    <w:name w:val="Prog Cover Sub"/>
    <w:basedOn w:val="Normal"/>
    <w:qFormat/>
    <w:pPr>
      <w:spacing w:before="0" w:after="440"/>
      <w:pBdr>
        <w:bottom w:val="single" w:sz="12" w:space="18" w:color="D4A024"/>
      </w:pBdr>
    </w:pPr>
    <w:rPr>
      <w:rFonts w:ascii="Calibri" w:hAnsi="Calibri"/>
      <w:color w:val="A29D92"/>
      <w:sz w:val="26"/>
    </w:rPr>
  </w:style>
  <w:style w:type="paragraph" w:customStyle="1" w:styleId="ProgCoverLine">
    <w:name w:val="Prog Cover Line"/>
    <w:basedOn w:val="Normal"/>
    <w:qFormat/>
    <w:pPr>
      <w:spacing w:before="0" w:after="120" w:line="276" w:lineRule="auto"/>
    </w:pPr>
    <w:rPr>
      <w:rFonts w:ascii="Calibri" w:hAnsi="Calibri"/>
      <w:color w:val="F3EFE6"/>
      <w:sz w:val="21"/>
    </w:rPr>
  </w:style>
  <w:style w:type="paragraph" w:customStyle="1" w:styleId="ProgCoverStat">
    <w:name w:val="Prog Cover Stat"/>
    <w:basedOn w:val="Normal"/>
    <w:qFormat/>
    <w:pPr>
      <w:spacing w:before="40" w:after="320" w:line="240" w:lineRule="auto"/>
    </w:pPr>
    <w:rPr>
      <w:rFonts w:ascii="Calibri" w:hAnsi="Calibri"/>
      <w:b/>
      <w:color w:val="D4A024"/>
      <w:sz w:val="92"/>
    </w:rPr>
  </w:style>
  <w:style w:type="paragraph" w:customStyle="1" w:styleId="ProgCoverName">
    <w:name w:val="Prog Cover Name"/>
    <w:basedOn w:val="Normal"/>
    <w:qFormat/>
    <w:pPr>
      <w:spacing w:before="0" w:after="20"/>
    </w:pPr>
    <w:rPr>
      <w:rFonts w:ascii="Calibri" w:hAnsi="Calibri"/>
      <w:b/>
      <w:color w:val="F3EFE6"/>
      <w:sz w:val="24"/>
    </w:rPr>
  </w:style>
  <w:style w:type="paragraph" w:customStyle="1" w:styleId="ProgCoverSite">
    <w:name w:val="Prog Cover Site"/>
    <w:basedOn w:val="Normal"/>
    <w:qFormat/>
    <w:pPr>
      <w:spacing w:before="0" w:after="0"/>
    </w:pPr>
    <w:rPr>
      <w:rFonts w:ascii="Calibri" w:hAnsi="Calibri"/>
      <w:color w:val="A29D92"/>
      <w:sz w:val="18"/>
    </w:rPr>
  </w:style>
  <w:style w:type="paragraph" w:customStyle="1" w:styleId="ProgBody">
    <w:name w:val="Prog Body"/>
    <w:basedOn w:val="Normal"/>
    <w:qFormat/>
    <w:pPr>
      <w:spacing w:before="0" w:after="120" w:line="276" w:lineRule="auto"/>
    </w:pPr>
    <w:rPr>
      <w:rFonts w:ascii="Calibri" w:hAnsi="Calibri"/>
      <w:sz w:val="21"/>
    </w:rPr>
  </w:style>
  <w:style w:type="paragraph" w:customStyle="1" w:styleId="ProgIntro">
    <w:name w:val="Prog Intro"/>
    <w:basedOn w:val="Normal"/>
    <w:qFormat/>
    <w:pPr>
      <w:spacing w:before="0" w:after="120" w:line="276" w:lineRule="auto"/>
    </w:pPr>
    <w:rPr>
      <w:rFonts w:ascii="Calibri" w:hAnsi="Calibri"/>
      <w:color w:val="6B665C"/>
      <w:sz w:val="21"/>
    </w:rPr>
  </w:style>
  <w:style w:type="paragraph" w:customStyle="1" w:styleId="ProgNote">
    <w:name w:val="Prog Note"/>
    <w:basedOn w:val="Normal"/>
    <w:qFormat/>
    <w:pPr>
      <w:spacing w:before="0" w:after="160"/>
    </w:pPr>
    <w:rPr>
      <w:rFonts w:ascii="Calibri" w:hAnsi="Calibri"/>
      <w:color w:val="6B665C"/>
      <w:sz w:val="19"/>
    </w:rPr>
  </w:style>
  <w:style w:type="paragraph" w:customStyle="1" w:styleId="ProgTableHead">
    <w:name w:val="Prog Table Head"/>
    <w:basedOn w:val="Normal"/>
    <w:qFormat/>
    <w:pPr>
      <w:spacing w:before="0" w:after="0"/>
    </w:pPr>
    <w:rPr>
      <w:rFonts w:ascii="Calibri" w:hAnsi="Calibri"/>
      <w:b/>
      <w:caps/>
      <w:color w:val="9A7413"/>
      <w:sz w:val="16"/>
      <w:spacing w:val="8"/>
    </w:rPr>
  </w:style>
  <w:style w:type="paragraph" w:customStyle="1" w:styleId="ProgTableKey">
    <w:name w:val="Prog Table Key"/>
    <w:basedOn w:val="Normal"/>
    <w:qFormat/>
    <w:pPr>
      <w:spacing w:before="0" w:after="0"/>
    </w:pPr>
    <w:rPr>
      <w:rFonts w:ascii="Calibri" w:hAnsi="Calibri"/>
      <w:b/>
      <w:caps/>
      <w:color w:val="9A7413"/>
      <w:sz w:val="17"/>
      <w:spacing w:val="12"/>
    </w:rPr>
  </w:style>
  <w:style w:type="paragraph" w:customStyle="1" w:styleId="ProgTableText">
    <w:name w:val="Prog Table Text"/>
    <w:basedOn w:val="Normal"/>
    <w:qFormat/>
    <w:pPr>
      <w:spacing w:before="0" w:after="0"/>
    </w:pPr>
    <w:rPr>
      <w:rFonts w:ascii="Calibri" w:hAnsi="Calibri"/>
      <w:sz w:val="19"/>
    </w:rPr>
  </w:style>
  <w:style w:type="paragraph" w:customStyle="1" w:styleId="ProgTableStrong">
    <w:name w:val="Prog Table Strong"/>
    <w:basedOn w:val="Normal"/>
    <w:qFormat/>
    <w:pPr>
      <w:spacing w:before="0" w:after="0"/>
    </w:pPr>
    <w:rPr>
      <w:rFonts w:ascii="Calibri" w:hAnsi="Calibri"/>
      <w:b/>
      <w:sz w:val="19"/>
    </w:rPr>
  </w:style>
  <w:style w:type="paragraph" w:customStyle="1" w:styleId="ProgTableMuted">
    <w:name w:val="Prog Table Muted"/>
    <w:basedOn w:val="Normal"/>
    <w:qFormat/>
    <w:pPr>
      <w:spacing w:before="0" w:after="0"/>
    </w:pPr>
    <w:rPr>
      <w:rFonts w:ascii="Calibri" w:hAnsi="Calibri"/>
      <w:color w:val="6B665C"/>
      <w:sz w:val="17"/>
    </w:rPr>
  </w:style>
  <w:style w:type="paragraph" w:customStyle="1" w:styleId="ProgTableId">
    <w:name w:val="Prog Table Id"/>
    <w:basedOn w:val="Normal"/>
    <w:qFormat/>
    <w:pPr>
      <w:spacing w:before="0" w:after="0"/>
    </w:pPr>
    <w:rPr>
      <w:rFonts w:ascii="Calibri" w:hAnsi="Calibri"/>
      <w:b/>
      <w:color w:val="9A7413"/>
      <w:sz w:val="18"/>
    </w:rPr>
  </w:style>
  <w:style w:type="paragraph" w:customStyle="1" w:styleId="ProgTableNumber">
    <w:name w:val="Prog Table Number"/>
    <w:basedOn w:val="Normal"/>
    <w:qFormat/>
    <w:pPr>
      <w:spacing w:before="0" w:after="0"/>
    </w:pPr>
    <w:rPr>
      <w:rFonts w:ascii="Calibri" w:hAnsi="Calibri"/>
      <w:b/>
      <w:color w:val="D4A024"/>
      <w:sz w:val="22"/>
    </w:rPr>
  </w:style>
  <w:style w:type="paragraph" w:customStyle="1" w:styleId="ProgTableHours">
    <w:name w:val="Prog Table Hours"/>
    <w:basedOn w:val="Normal"/>
    <w:qFormat/>
    <w:pPr>
      <w:spacing w:before="0" w:after="0"/>
      <w:jc w:val="right"/>
    </w:pPr>
    <w:rPr>
      <w:rFonts w:ascii="Calibri" w:hAnsi="Calibri"/>
      <w:b/>
      <w:sz w:val="19"/>
    </w:rPr>
  </w:style>
  <w:style w:type="paragraph" w:customStyle="1" w:styleId="ProgTableTotal">
    <w:name w:val="Prog Table Total"/>
    <w:basedOn w:val="Normal"/>
    <w:qFormat/>
    <w:pPr>
      <w:spacing w:before="0" w:after="0"/>
      <w:jc w:val="right"/>
    </w:pPr>
    <w:rPr>
      <w:rFonts w:ascii="Calibri" w:hAnsi="Calibri"/>
      <w:b/>
      <w:color w:val="9A7413"/>
      <w:sz w:val="22"/>
    </w:rPr>
  </w:style>
  <w:style w:type="paragraph" w:customStyle="1" w:styleId="ProgBoxTag">
    <w:name w:val="Prog Box Tag"/>
    <w:basedOn w:val="Normal"/>
    <w:qFormat/>
    <w:pPr>
      <w:keepNext/>
      <w:spacing w:before="0" w:after="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caps/>
      <w:color w:val="9A7413"/>
      <w:sz w:val="16"/>
      <w:spacing w:val="24"/>
    </w:rPr>
  </w:style>
  <w:style w:type="paragraph" w:customStyle="1" w:styleId="ProgBoxTitle">
    <w:name w:val="Prog Box Title"/>
    <w:basedOn w:val="Normal"/>
    <w:qFormat/>
    <w:pPr>
      <w:keepNext/>
      <w:spacing w:before="0" w:after="8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b/>
      <w:sz w:val="24"/>
    </w:rPr>
  </w:style>
  <w:style w:type="paragraph" w:customStyle="1" w:styleId="ProgBoxText">
    <w:name w:val="Prog Box Text"/>
    <w:basedOn w:val="Normal"/>
    <w:qFormat/>
    <w:pPr>
      <w:keepNext/>
      <w:spacing w:before="0" w:after="60" w:line="276" w:lineRule="auto"/>
      <w:ind w:left="260" w:right="210"/>
      <w:pBdr>
        <w:top w:val="single" w:sz="4" w:space="6" w:color="FBF4E2"/>
        <w:left w:val="single" w:sz="24" w:space="10" w:color="D4A024"/>
        <w:bottom w:val="single" w:sz="4" w:space="6" w:color="FBF4E2"/>
        <w:right w:val="single" w:sz="4" w:space="10" w:color="FBF4E2"/>
      </w:pBdr>
      <w:shd w:val="clear" w:color="auto" w:fill="FBF4E2"/>
    </w:pPr>
    <w:rPr>
      <w:rFonts w:ascii="Calibri" w:hAnsi="Calibri"/>
      <w:sz w:val="19"/>
    </w:rPr>
  </w:style>
  <w:style w:type="paragraph" w:customStyle="1" w:styleId="ProgBullet">
    <w:name w:val="Prog Bullet"/>
    <w:basedOn w:val="ListBullet"/>
    <w:qFormat/>
    <w:pPr>
      <w:spacing w:before="0" w:after="80" w:line="276" w:lineRule="auto"/>
    </w:pPr>
    <w:rPr>
      <w:rFonts w:ascii="Calibri" w:hAnsi="Calibri"/>
      <w:sz w:val="20"/>
    </w:rPr>
  </w:style>
  <w:style w:type="character" w:customStyle="1" w:styleId="ProgLabel">
    <w:name w:val="Prog Label"/>
    <w:qFormat/>
    <w:rPr>
      <w:rFonts w:ascii="Calibri" w:hAnsi="Calibri"/>
      <w:b/>
      <w:caps/>
      <w:color w:val="9A7413"/>
      <w:sz w:val="17"/>
      <w:spacing w:val="12"/>
    </w:rPr>
  </w:style>
  <w:style w:type="character" w:customStyle="1" w:styleId="ProgStrong">
    <w:name w:val="Prog Strong"/>
    <w:qFormat/>
    <w:rPr>
      <w:rFonts w:ascii="Calibri" w:hAnsi="Calibri"/>
      <w:b/>
      <w:color w:val="1A1814"/>
    </w:rPr>
  </w:style>
  <w:style w:type="character" w:customStyle="1" w:styleId="ProgCoverLabel">
    <w:name w:val="Prog Cover Label"/>
    <w:qFormat/>
    <w:rPr>
      <w:rFonts w:ascii="Calibri" w:hAnsi="Calibri"/>
      <w:b/>
      <w:caps/>
      <w:color w:val="D4A024"/>
      <w:sz w:val="17"/>
      <w:spacing w:val="16"/>
    </w:rPr>
  </w:style>
  <w:style w:type="character" w:customStyle="1" w:styleId="ProgCoverUnit">
    <w:name w:val="Prog Cover Unit"/>
    <w:qFormat/>
    <w:rPr>
      <w:rFonts w:ascii="Calibri" w:hAnsi="Calibri"/>
      <w:b/>
      <w:caps/>
      <w:color w:val="A29D92"/>
      <w:sz w:val="20"/>
      <w:spacing w:val="30"/>
    </w:rPr>
  </w:style>
  <w:style w:type="table" w:customStyle="1" w:styleId="ProgTable">
    <w:name w:val="Prog Table"/>
    <w:basedOn w:val="TableNormal"/>
    <w:uiPriority w:val="40"/>
    <w:qFormat/>
    <w:pPr>
      <w:spacing w:after="0"/>
    </w:pPr>
    <w:tblPr>
      <w:tblBorders>
        <w:bottom w:val="single" w:sz="4" w:space="0" w:color="E6DECB"/>
        <w:insideH w:val="single" w:sz="4" w:space="0" w:color="E6DECB"/>
      </w:tblBorders>
      <w:tblCellMar>
        <w:top w:w="70" w:type="dxa"/>
        <w:left w:w="90" w:type="dxa"/>
        <w:bottom w:w="70" w:type="dxa"/>
        <w:right w:w="90" w:type="dxa"/>
      </w:tblCellMar>
    </w:tblPr>
    <w:trPr>
      <w:cantSplit/>
    </w:trPr>
    <w:tblStylePr w:type="firstRow">
      <w:tblPr/>
      <w:trPr>
        <w:tblHeader/>
      </w:trPr>
      <w:tcPr>
        <w:tcBorders>
          <w:bottom w:val="single" w:sz="8" w:space="0" w:color="D4A024"/>
        </w:tcBorders>
        <w:shd w:val="clear" w:color="auto" w:fill="FBF4E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3.png"/><Relationship Id="rId13" Type="http://schemas.openxmlformats.org/officeDocument/2006/relationships/image" Target="media/image4.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Solutions Architect Associate</dc:title>
  <dc:subject>Programme de formation</dc:subject>
  <dc:creator>Mohamed Aziz BEN HAHA</dc:creator>
  <cp:keywords/>
  <dc:description>generated by python-docx</dc:description>
  <cp:lastModifiedBy/>
  <cp:revision>1</cp:revision>
  <dcterms:created xsi:type="dcterms:W3CDTF">2013-12-23T23:15:00Z</dcterms:created>
  <dcterms:modified xsi:type="dcterms:W3CDTF">2013-12-23T23:15:00Z</dcterms:modified>
  <cp:category/>
</cp:coreProperties>
</file>