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Ingénierie des données sur AWS</w:t>
      </w:r>
    </w:p>
    <w:p>
      <w:pPr>
        <w:pStyle w:val="ProgCoverSub"/>
      </w:pPr>
      <w:r>
        <w:t>Ingérer, transformer, gouverner et analyser des données sur AWS</w:t>
      </w:r>
    </w:p>
    <w:p>
      <w:pPr>
        <w:pStyle w:val="ProgCoverStat"/>
      </w:pPr>
      <w:r>
        <w:t>27</w:t>
      </w:r>
      <w:r>
        <w:rPr>
          <w:rStyle w:val="ProgCoverUnit"/>
        </w:rPr>
        <w:t xml:space="preserve">  Heures</w:t>
      </w:r>
    </w:p>
    <w:p>
      <w:pPr>
        <w:pStyle w:val="ProgCoverLine"/>
      </w:pPr>
      <w:r>
        <w:rPr>
          <w:rStyle w:val="ProgCoverLabel"/>
        </w:rPr>
        <w:t>Pour</w:t>
      </w:r>
      <w:r>
        <w:t xml:space="preserve">   Analystes de données, développeurs et ingénieurs qui construisent des pipelines de données sur AWS</w:t>
      </w:r>
    </w:p>
    <w:p>
      <w:pPr>
        <w:pStyle w:val="ProgCoverLine"/>
      </w:pPr>
      <w:r>
        <w:rPr>
          <w:rStyle w:val="ProgCoverLabel"/>
        </w:rPr>
        <w:t>Prépare à</w:t>
      </w:r>
      <w:r>
        <w:t xml:space="preserve">   AWS Certified Data Engineer – Associate (DEA‑C01), thèmes principaux</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construire des pipelines de données sur Amazon Web Services et couvre les thèmes principaux de l’examen AWS Certified Data Engineer – Associate (DEA-C01). Ils conçoivent un data lake S3 avec des tables Parquet partitionnées et Apache Iceberg, ingèrent des données par lots et en flux, les transforment avec AWS Glue et EMR, chargent et interrogent Amazon Redshift Serverless, gouvernent accès et qualité avec Lake Formation et Glue Data Quality, orchestrent avec Step Functions et Amazon MWAA, et analysent les résultats avec Athena, Amazon Managed Service for Apache Flink et QuickSight. Un entraînement à l’examen clôt le contenu, et le programme s’achève par un projet final : un pipeline de données de bout en bout construit et présenté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Data lakes et ingestion</w:t>
            </w:r>
          </w:p>
        </w:tc>
        <w:tc>
          <w:tcPr>
            <w:tcW w:type="dxa" w:w="4989"/>
          </w:tcPr>
          <w:p>
            <w:pPr>
              <w:pStyle w:val="ProgTableMuted"/>
              <w:keepNext/>
            </w:pPr>
            <w:r>
              <w:t>Lake, entrepôt et lakehouse, formats S3 et Iceberg, ingestion par lots et en flux</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Traitement et entreposage</w:t>
            </w:r>
          </w:p>
        </w:tc>
        <w:tc>
          <w:tcPr>
            <w:tcW w:type="dxa" w:w="4989"/>
          </w:tcPr>
          <w:p>
            <w:pPr>
              <w:pStyle w:val="ProgTableMuted"/>
              <w:keepNext/>
            </w:pPr>
            <w:r>
              <w:t>AWS Glue, EMR, Amazon Redshift Serverless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Gouvernance, orchestration et analyse</w:t>
            </w:r>
          </w:p>
        </w:tc>
        <w:tc>
          <w:tcPr>
            <w:tcW w:type="dxa" w:w="4989"/>
          </w:tcPr>
          <w:p>
            <w:pPr>
              <w:pStyle w:val="ProgTableMuted"/>
              <w:keepNext/>
            </w:pPr>
            <w:r>
              <w:t>Lake Formation, qualité des données, Step Functions, MWAA, Athena, Flink, QuickSight</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 pipeline de données de bout en bout, présenté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Analystes de données, développeurs et ingénieurs qui construisent des pipelines de données sur AWS</w:t>
            </w:r>
          </w:p>
        </w:tc>
      </w:tr>
      <w:tr>
        <w:tc>
          <w:tcPr>
            <w:tcW w:type="dxa" w:w="2381"/>
          </w:tcPr>
          <w:p>
            <w:pPr>
              <w:pStyle w:val="ProgTableKey"/>
            </w:pPr>
            <w:r>
              <w:t>Prérequis</w:t>
            </w:r>
          </w:p>
        </w:tc>
        <w:tc>
          <w:tcPr>
            <w:tcW w:type="dxa" w:w="7257"/>
          </w:tcPr>
          <w:p>
            <w:pPr>
              <w:pStyle w:val="ProgTableText"/>
            </w:pPr>
            <w:r>
              <w:t>Services AWS essentiels (cours : AWS Cloud Practitioner) ; Python et SQL (cours : Python pour la data science), ou équivalent. Ces notions sont utilisées, pas enseignées</w:t>
            </w:r>
          </w:p>
        </w:tc>
      </w:tr>
      <w:tr>
        <w:tc>
          <w:tcPr>
            <w:tcW w:type="dxa" w:w="2381"/>
          </w:tcPr>
          <w:p>
            <w:pPr>
              <w:pStyle w:val="ProgTableKey"/>
            </w:pPr>
            <w:r>
              <w:t>Durée</w:t>
            </w:r>
          </w:p>
        </w:tc>
        <w:tc>
          <w:tcPr>
            <w:tcW w:type="dxa" w:w="7257"/>
          </w:tcPr>
          <w:p>
            <w:pPr>
              <w:pStyle w:val="ProgTableText"/>
            </w:pPr>
            <w:r>
              <w:t>27 h : 24 h de chapitres + 3 h de réserve</w:t>
            </w:r>
          </w:p>
        </w:tc>
      </w:tr>
      <w:tr>
        <w:tc>
          <w:tcPr>
            <w:tcW w:type="dxa" w:w="2381"/>
          </w:tcPr>
          <w:p>
            <w:pPr>
              <w:pStyle w:val="ProgTableKey"/>
            </w:pPr>
            <w:r>
              <w:t>Format</w:t>
            </w:r>
          </w:p>
        </w:tc>
        <w:tc>
          <w:tcPr>
            <w:tcW w:type="dxa" w:w="7257"/>
          </w:tcPr>
          <w:p>
            <w:pPr>
              <w:pStyle w:val="ProgTableText"/>
            </w:pPr>
            <w:r>
              <w:t>Cours courts suivis de TP guidés sur un jeu de données commun ; entraînement à l’examen</w:t>
            </w:r>
          </w:p>
        </w:tc>
      </w:tr>
      <w:tr>
        <w:tc>
          <w:tcPr>
            <w:tcW w:type="dxa" w:w="2381"/>
          </w:tcPr>
          <w:p>
            <w:pPr>
              <w:pStyle w:val="ProgTableKey"/>
            </w:pPr>
            <w:r>
              <w:t>Environnement de TP</w:t>
            </w:r>
          </w:p>
        </w:tc>
        <w:tc>
          <w:tcPr>
            <w:tcW w:type="dxa" w:w="7257"/>
          </w:tcPr>
          <w:p>
            <w:pPr>
              <w:pStyle w:val="ProgTableText"/>
            </w:pPr>
            <w:r>
              <w:t>Un portable par participant avec un navigateur et la CLI AWS ; un compte AWS de test par équipe, fourni par l’organisateur, avec alerte budgétaire ; MWAA et l’abonnement QuickSight préparés par l’organisateur pour le cours, Redshift Serverless à la capacité de base minimale ; flux, clusters et entrepôts supprimés à la fin de chaque TP</w:t>
            </w:r>
          </w:p>
        </w:tc>
      </w:tr>
      <w:tr>
        <w:tc>
          <w:tcPr>
            <w:tcW w:type="dxa" w:w="2381"/>
          </w:tcPr>
          <w:p>
            <w:pPr>
              <w:pStyle w:val="ProgTableKey"/>
            </w:pPr>
            <w:r>
              <w:t>Évaluation</w:t>
            </w:r>
          </w:p>
        </w:tc>
        <w:tc>
          <w:tcPr>
            <w:tcW w:type="dxa" w:w="7257"/>
          </w:tcPr>
          <w:p>
            <w:pPr>
              <w:pStyle w:val="ProgTableText"/>
            </w:pPr>
            <w:r>
              <w:t>Un TP validé à la fin de chaque phase, des questions d’entraînement à l’examen et un projet final présenté au groupe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construire un pipeline orchestré qui ingère, catalogue, transforme, gouverne et met à disposition des données sur AWS, et expliquer ses choix de conception</w:t>
            </w:r>
          </w:p>
        </w:tc>
      </w:tr>
    </w:tbl>
    <w:p>
      <w:pPr>
        <w:pStyle w:val="ProgKicker"/>
      </w:pPr>
      <w:r>
        <w:t>Phase 01</w:t>
        <w:tab/>
        <w:t>6 h</w:t>
      </w:r>
    </w:p>
    <w:p>
      <w:pPr>
        <w:pStyle w:val="Heading1"/>
      </w:pPr>
      <w:r>
        <w:t>Data lakes et ingestion</w:t>
      </w:r>
    </w:p>
    <w:p>
      <w:pPr>
        <w:pStyle w:val="ProgIntro"/>
      </w:pPr>
      <w:r>
        <w:t>Les participants comparent traitement par lots et en flux, data lakes, entrepôts et lakehouses, conçoivent un data lake S3 avec des tables Parquet partitionnées et Apache Iceberg, puis ingèrent des données avec Kinesis Data Streams, Amazon Data Firehose, DMS et AppFlow, avec une présentation d’Amazon MSK. TP validé : un flux de clics (clickstream) envoyé dans Kinesis Data Streams et livré par Firehose en fichiers JSON partitionnés par date dans la zone brute du data lake.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Fondamentaux de l’ingénierie des données</w:t>
            </w:r>
          </w:p>
        </w:tc>
        <w:tc>
          <w:tcPr>
            <w:tcW w:type="dxa" w:w="4876"/>
          </w:tcPr>
          <w:p>
            <w:pPr>
              <w:pStyle w:val="ProgTableText"/>
            </w:pPr>
            <w:r>
              <w:t>Lots et flux, data lake, entrepôt et lakehouse</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Stockage et formats</w:t>
            </w:r>
          </w:p>
        </w:tc>
        <w:tc>
          <w:tcPr>
            <w:tcW w:type="dxa" w:w="4876"/>
          </w:tcPr>
          <w:p>
            <w:pPr>
              <w:pStyle w:val="ProgTableText"/>
            </w:pPr>
            <w:r>
              <w:t>Data lake S3, partitionnement, Parquet, tables Apache Iceberg (dont Amazon S3 Tables)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Ingestion</w:t>
            </w:r>
          </w:p>
        </w:tc>
        <w:tc>
          <w:tcPr>
            <w:tcW w:type="dxa" w:w="4876"/>
          </w:tcPr>
          <w:p>
            <w:pPr>
              <w:pStyle w:val="ProgTableText"/>
            </w:pPr>
            <w:r>
              <w:t>Kinesis Data Streams, Amazon Data Firehose, DMS, AppFlow, présentation d’Amazon MSK</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Traitement et entreposage</w:t>
      </w:r>
    </w:p>
    <w:p>
      <w:pPr>
        <w:pStyle w:val="ProgIntro"/>
      </w:pPr>
      <w:r>
        <w:t>Les participants cataloguent et transforment le data lake avec les crawlers, le Data Catalog et les jobs ETL d’AWS Glue, voient quand EMR est le meilleur choix, puis conçoivent, chargent et interrogent un entrepôt Redshift Serverless. TP validé : un job Glue qui nettoie les données brutes vers une table Iceberg nettoyée, chargée dans Redshift Serverless et interrogée.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Traitement</w:t>
            </w:r>
          </w:p>
        </w:tc>
        <w:tc>
          <w:tcPr>
            <w:tcW w:type="dxa" w:w="4876"/>
          </w:tcPr>
          <w:p>
            <w:pPr>
              <w:pStyle w:val="ProgTableText"/>
            </w:pPr>
            <w:r>
              <w:t>AWS Glue (jobs ETL, crawlers, Data Catalog), EMR</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Entreposage de données</w:t>
            </w:r>
          </w:p>
        </w:tc>
        <w:tc>
          <w:tcPr>
            <w:tcW w:type="dxa" w:w="4876"/>
          </w:tcPr>
          <w:p>
            <w:pPr>
              <w:pStyle w:val="ProgTableText"/>
            </w:pPr>
            <w:r>
              <w:t>Conception, chargement et interrogation d’Amazon Redshift Serverless</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Gouvernance, orchestration et analyse</w:t>
      </w:r>
    </w:p>
    <w:p>
      <w:pPr>
        <w:pStyle w:val="ProgIntro"/>
      </w:pPr>
      <w:r>
        <w:t>Les participants contrôlent qui voit quelles données avec Lake Formation, les vérifient avec Glue Data Quality et en tracent le lignage, orchestrent le pipeline avec Step Functions et Amazon MWAA, l’analysent avec Athena, Managed Service for Apache Flink et QuickSight, puis s’entraînent sur des questions DEA-C01. TP validé : une exécution orchestrée qui s’arrête quand une règle de qualité échoue, et un rôle d’analyste qui ne peut interroger que ses colonnes autorisées dans Athena.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Gouvernance et qualité</w:t>
            </w:r>
          </w:p>
        </w:tc>
        <w:tc>
          <w:tcPr>
            <w:tcW w:type="dxa" w:w="4876"/>
          </w:tcPr>
          <w:p>
            <w:pPr>
              <w:pStyle w:val="ProgTableText"/>
            </w:pPr>
            <w:r>
              <w:t>Permissions Lake Formation, Glue Data Quality, lignage des données (Amazon DataZone / SageMaker Catalog)</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Orchestration</w:t>
            </w:r>
          </w:p>
        </w:tc>
        <w:tc>
          <w:tcPr>
            <w:tcW w:type="dxa" w:w="4876"/>
          </w:tcPr>
          <w:p>
            <w:pPr>
              <w:pStyle w:val="ProgTableText"/>
            </w:pPr>
            <w:r>
              <w:t>Step Functions, Amazon MWAA (Apache Airflow)</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Analyse et traitement en temps réel</w:t>
            </w:r>
          </w:p>
        </w:tc>
        <w:tc>
          <w:tcPr>
            <w:tcW w:type="dxa" w:w="4876"/>
          </w:tcPr>
          <w:p>
            <w:pPr>
              <w:pStyle w:val="ProgTableText"/>
            </w:pPr>
            <w:r>
              <w:t>Athena, Amazon Managed Service for Apache Flink, QuickSight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Préparation au DEA-C01</w:t>
            </w:r>
          </w:p>
        </w:tc>
        <w:tc>
          <w:tcPr>
            <w:tcW w:type="dxa" w:w="4876"/>
          </w:tcPr>
          <w:p>
            <w:pPr>
              <w:pStyle w:val="ProgTableText"/>
            </w:pPr>
            <w:r>
              <w:t>Questions d’entraînement et révision</w:t>
            </w:r>
          </w:p>
        </w:tc>
        <w:tc>
          <w:tcPr>
            <w:tcW w:type="dxa" w:w="1134"/>
          </w:tcPr>
          <w:p>
            <w:pPr>
              <w:pStyle w:val="ProgTableMuted"/>
            </w:pPr>
            <w:r>
              <w:t>Cours + atelier</w:t>
            </w:r>
          </w:p>
        </w:tc>
        <w:tc>
          <w:tcPr>
            <w:tcW w:type="dxa" w:w="850"/>
          </w:tcPr>
          <w:p>
            <w:pPr>
              <w:pStyle w:val="ProgTableHours"/>
            </w:pPr>
            <w:r>
              <w:t>1,5 h</w:t>
            </w:r>
          </w:p>
        </w:tc>
      </w:tr>
    </w:tbl>
    <w:p>
      <w:pPr>
        <w:pStyle w:val="ProgKicker"/>
      </w:pPr>
      <w:r>
        <w:t>Phase 04</w:t>
        <w:tab/>
        <w:t>6 h</w:t>
      </w:r>
    </w:p>
    <w:p>
      <w:pPr>
        <w:pStyle w:val="Heading1"/>
      </w:pPr>
      <w:r>
        <w:t>Projet final</w:t>
      </w:r>
    </w:p>
    <w:p>
      <w:pPr>
        <w:pStyle w:val="ProgIntro"/>
      </w:pPr>
      <w:r>
        <w:t>Par équipes de deux ou trois, les participants construisent un pipeline complet pour un jeu de données fourni, en réutilisant les TP de phase, puis le présentent comme ils le feraient devant un responsable data et suppriment les ressources.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ingérer avec Kinesis et S3, cataloguer et transformer avec Glue, interroger avec Athena</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Mise à disposition et orchestration</w:t>
            </w:r>
          </w:p>
        </w:tc>
        <w:tc>
          <w:tcPr>
            <w:tcW w:type="dxa" w:w="4876"/>
          </w:tcPr>
          <w:p>
            <w:pPr>
              <w:pStyle w:val="ProgTableText"/>
            </w:pPr>
            <w:r>
              <w:t>Charger Redshift Serverless, construire le tableau de bord QuickSight, orchestrer avec Step Functions ; schéma d’architecture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suppression</w:t>
            </w:r>
          </w:p>
        </w:tc>
        <w:tc>
          <w:tcPr>
            <w:tcW w:type="dxa" w:w="4876"/>
          </w:tcPr>
          <w:p>
            <w:pPr>
              <w:pStyle w:val="ProgTableText"/>
            </w:pPr>
            <w:r>
              <w:t>Exécution en direct du pipeline, présentation du tableau de bord, suppression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 pipeline de données de bout en bout sur AWS</w:t>
      </w:r>
    </w:p>
    <w:p>
      <w:pPr>
        <w:pStyle w:val="ProgBoxText"/>
      </w:pPr>
      <w:r>
        <w:t>Des données ingérées avec Kinesis et S3, cataloguées et transformées avec Glue, interrogées avec Athena, chargées dans Redshift Serverless et affichées sur un tableau de bord QuickSight, l’ensemble orchestré par Step Functions et supprimé après la démonstration.</w:t>
      </w:r>
    </w:p>
    <w:p>
      <w:pPr>
        <w:pStyle w:val="ProgBoxText"/>
      </w:pPr>
      <w:r>
        <w:rPr>
          <w:rStyle w:val="ProgLabel"/>
        </w:rPr>
        <w:t>Outils</w:t>
      </w:r>
      <w:r>
        <w:t xml:space="preserve">  AWS : S3, Kinesis Data Streams, Amazon Data Firehose, Glue, Athena, Redshift Serverless, Lake Formation, Step Functions, QuickSight ; Python, SQL</w:t>
      </w:r>
    </w:p>
    <w:p>
      <w:pPr>
        <w:pStyle w:val="ProgBoxText"/>
        <w:keepNext w:val="0"/>
      </w:pPr>
      <w:r>
        <w:rPr>
          <w:rStyle w:val="ProgLabel"/>
        </w:rPr>
        <w:t>Livrable</w:t>
      </w:r>
      <w:r>
        <w:t xml:space="preserve">  Code du pipeline, schéma d’architecture, tableau de bord,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Ingénierie des données sur AWS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Ingénierie des données sur AWS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