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rogCoverKicker"/>
      </w:pPr>
      <w:r>
        <w:t>Training programme</w:t>
      </w:r>
      <w:r>
        <w:drawing>
          <wp:anchor xmlns:a="http://schemas.openxmlformats.org/drawingml/2006/main" xmlns:pic="http://schemas.openxmlformats.org/drawingml/2006/picture" distT="0" distB="0" distL="0" distR="0"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2835000"/>
            <wp:effectExtent l="0" t="0" r="0" b="0"/>
            <wp:wrapNone/>
            <wp:docPr id="900" name="Cover tiles"/>
            <wp:cNvGraphicFramePr/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2835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rogCoverTitle"/>
      </w:pPr>
      <w:r>
        <w:t>AWS Serverless &amp; Automation Projects</w:t>
      </w:r>
    </w:p>
    <w:p>
      <w:pPr>
        <w:pStyle w:val="ProgCoverSub"/>
      </w:pPr>
      <w:r>
        <w:t>Six hands-on AWS projects, combined into one portfolio architecture</w:t>
      </w:r>
    </w:p>
    <w:p>
      <w:pPr>
        <w:pStyle w:val="ProgCoverStat"/>
      </w:pPr>
      <w:r>
        <w:t>18</w:t>
      </w:r>
      <w:r>
        <w:rPr>
          <w:rStyle w:val="ProgCoverUnit"/>
        </w:rPr>
        <w:t xml:space="preserve">  Hours</w:t>
      </w:r>
    </w:p>
    <w:p>
      <w:pPr>
        <w:pStyle w:val="ProgCoverLine"/>
      </w:pPr>
      <w:r>
        <w:rPr>
          <w:rStyle w:val="ProgCoverLabel"/>
        </w:rPr>
        <w:t>For</w:t>
      </w:r>
      <w:r>
        <w:t xml:space="preserve">   Engineers with AWS architecture basics who want hands-on portfolio projects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leftFromText="0" w:rightFromText="0" w:vertAnchor="page" w:horzAnchor="margin" w:tblpY="14592"/>
      </w:tblPr>
      <w:tblGrid>
        <w:gridCol w:w="4819"/>
        <w:gridCol w:w="4819"/>
      </w:tblGrid>
      <w:tr>
        <w:tc>
          <w:tcPr>
            <w:tcW w:type="dxa" w:w="1077"/>
          </w:tcPr>
          <w:p>
            <w:pPr>
              <w:pStyle w:val="ProgCoverName"/>
            </w:pPr>
            <w:r>
              <w:drawing>
                <wp:inline xmlns:a="http://schemas.openxmlformats.org/drawingml/2006/main" xmlns:pic="http://schemas.openxmlformats.org/drawingml/2006/picture">
                  <wp:extent cx="516649" cy="486000"/>
                  <wp:docPr id="901" name="Picture 9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49" cy="4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vAlign w:val="center"/>
          </w:tcPr>
          <w:p>
            <w:pPr>
              <w:pStyle w:val="ProgCoverName"/>
            </w:pPr>
            <w:r>
              <w:t>Mohamed Aziz BEN HAHA</w:t>
            </w:r>
          </w:p>
          <w:p>
            <w:pPr>
              <w:pStyle w:val="ProgCoverSite"/>
            </w:pPr>
            <w:r>
              <w:t>mohamedazizbenhaha.netlify.app</w:t>
            </w:r>
          </w:p>
        </w:tc>
      </w:tr>
    </w:tbl>
    <w:p>
      <w:pPr>
        <w:pStyle w:val="ProgBody"/>
        <w:spacing w:after="0"/>
      </w:pPr>
      <w:r>
        <w:br w:type="page"/>
      </w:r>
    </w:p>
    <w:p>
      <w:pPr>
        <w:pStyle w:val="Heading2"/>
        <w:spacing w:before="0"/>
      </w:pPr>
      <w:r>
        <w:t>Overview</w:t>
      </w:r>
    </w:p>
    <w:p>
      <w:pPr>
        <w:pStyle w:val="ProgBody"/>
      </w:pPr>
      <w:r>
        <w:t>This programme is built from projects. Participants deploy a scalable web application with Terraform, ship containers to ECS Fargate through GitHub Actions without long-lived keys, build a serverless API and an event-driven image processing pipeline, automate incident response, and add security gates to a container pipeline. Each project starts from a provided starter repository and ends with a working, torn-down deployment. The programme closes with a final project in which participants combine the projects into one documented portfolio architecture with infrastructure as code and a cost review.</w:t>
      </w:r>
    </w:p>
    <w:p>
      <w:pPr>
        <w:pStyle w:val="Heading2"/>
      </w:pPr>
      <w:r>
        <w:t>At a glance</w:t>
      </w:r>
    </w:p>
    <w:tbl>
      <w:tblPr>
        <w:tblStyle w:val="ProgTable"/>
        <w:tblW w:type="auto" w:w="0"/>
        <w:jc w:val="center"/>
        <w:tblLayout w:type="fixed"/>
        <w:tblLook w:firstColumn="0" w:firstRow="1" w:lastColumn="0" w:lastRow="0" w:noHBand="1" w:noVBand="1" w:val="04A0"/>
      </w:tblPr>
      <w:tblGrid>
        <w:gridCol w:w="680"/>
        <w:gridCol w:w="2948"/>
        <w:gridCol w:w="4989"/>
        <w:gridCol w:w="1020"/>
      </w:tblGrid>
      <w:tr>
        <w:tc>
          <w:tcPr>
            <w:tcW w:type="dxa" w:w="680"/>
          </w:tcPr>
          <w:p>
            <w:pPr>
              <w:pStyle w:val="ProgTableHead"/>
              <w:keepNext/>
            </w:pPr>
            <w:r>
              <w:t>#</w:t>
            </w:r>
          </w:p>
        </w:tc>
        <w:tc>
          <w:tcPr>
            <w:tcW w:type="dxa" w:w="2948"/>
          </w:tcPr>
          <w:p>
            <w:pPr>
              <w:pStyle w:val="ProgTableHead"/>
              <w:keepNext/>
            </w:pPr>
            <w:r>
              <w:t>Phase</w:t>
            </w:r>
          </w:p>
        </w:tc>
        <w:tc>
          <w:tcPr>
            <w:tcW w:type="dxa" w:w="4989"/>
          </w:tcPr>
          <w:p>
            <w:pPr>
              <w:pStyle w:val="ProgTableHead"/>
              <w:keepNext/>
            </w:pPr>
            <w:r>
              <w:t>Focus</w:t>
            </w:r>
          </w:p>
        </w:tc>
        <w:tc>
          <w:tcPr>
            <w:tcW w:type="dxa" w:w="1020"/>
          </w:tcPr>
          <w:p>
            <w:pPr>
              <w:pStyle w:val="ProgTableHead"/>
              <w:keepNext/>
              <w:jc w:val="right"/>
            </w:pPr>
            <w:r>
              <w:t>Hours</w:t>
            </w:r>
          </w:p>
        </w:tc>
      </w:tr>
      <w:tr>
        <w:tc>
          <w:tcPr>
            <w:tcW w:type="dxa" w:w="680"/>
          </w:tcPr>
          <w:p>
            <w:pPr>
              <w:pStyle w:val="ProgTableNumber"/>
              <w:keepNext/>
            </w:pPr>
            <w:r>
              <w:t>01</w:t>
            </w:r>
          </w:p>
        </w:tc>
        <w:tc>
          <w:tcPr>
            <w:tcW w:type="dxa" w:w="2948"/>
          </w:tcPr>
          <w:p>
            <w:pPr>
              <w:pStyle w:val="ProgTableStrong"/>
              <w:keepNext/>
            </w:pPr>
            <w:r>
              <w:t>Containers &amp; Infrastructure as Code</w:t>
            </w:r>
          </w:p>
        </w:tc>
        <w:tc>
          <w:tcPr>
            <w:tcW w:type="dxa" w:w="4989"/>
          </w:tcPr>
          <w:p>
            <w:pPr>
              <w:pStyle w:val="ProgTableMuted"/>
              <w:keepNext/>
            </w:pPr>
            <w:r>
              <w:t>Terraform web stack, CI/CD to ECS Fargate with OIDC</w:t>
            </w:r>
          </w:p>
        </w:tc>
        <w:tc>
          <w:tcPr>
            <w:tcW w:type="dxa" w:w="1020"/>
          </w:tcPr>
          <w:p>
            <w:pPr>
              <w:pStyle w:val="ProgTableHours"/>
              <w:keepNext/>
            </w:pPr>
            <w:r>
              <w:t>6 h</w:t>
            </w:r>
          </w:p>
        </w:tc>
      </w:tr>
      <w:tr>
        <w:tc>
          <w:tcPr>
            <w:tcW w:type="dxa" w:w="680"/>
          </w:tcPr>
          <w:p>
            <w:pPr>
              <w:pStyle w:val="ProgTableNumber"/>
              <w:keepNext/>
            </w:pPr>
            <w:r>
              <w:t>02</w:t>
            </w:r>
          </w:p>
        </w:tc>
        <w:tc>
          <w:tcPr>
            <w:tcW w:type="dxa" w:w="2948"/>
          </w:tcPr>
          <w:p>
            <w:pPr>
              <w:pStyle w:val="ProgTableStrong"/>
              <w:keepNext/>
            </w:pPr>
            <w:r>
              <w:t>Serverless &amp; Security Automation</w:t>
            </w:r>
          </w:p>
        </w:tc>
        <w:tc>
          <w:tcPr>
            <w:tcW w:type="dxa" w:w="4989"/>
          </w:tcPr>
          <w:p>
            <w:pPr>
              <w:pStyle w:val="ProgTableMuted"/>
              <w:keepNext/>
            </w:pPr>
            <w:r>
              <w:t>Serverless API, event-driven pipeline, incident automation, image scanning gates</w:t>
            </w:r>
          </w:p>
        </w:tc>
        <w:tc>
          <w:tcPr>
            <w:tcW w:type="dxa" w:w="1020"/>
          </w:tcPr>
          <w:p>
            <w:pPr>
              <w:pStyle w:val="ProgTableHours"/>
              <w:keepNext/>
            </w:pPr>
            <w:r>
              <w:t>6 h</w:t>
            </w:r>
          </w:p>
        </w:tc>
      </w:tr>
      <w:tr>
        <w:tc>
          <w:tcPr>
            <w:tcW w:type="dxa" w:w="680"/>
          </w:tcPr>
          <w:p>
            <w:pPr>
              <w:pStyle w:val="ProgTableNumber"/>
              <w:keepNext/>
            </w:pPr>
            <w:r>
              <w:t>03</w:t>
            </w:r>
          </w:p>
        </w:tc>
        <w:tc>
          <w:tcPr>
            <w:tcW w:type="dxa" w:w="2948"/>
          </w:tcPr>
          <w:p>
            <w:pPr>
              <w:pStyle w:val="ProgTableStrong"/>
              <w:keepNext/>
            </w:pPr>
            <w:r>
              <w:t>Final Project</w:t>
            </w:r>
          </w:p>
        </w:tc>
        <w:tc>
          <w:tcPr>
            <w:tcW w:type="dxa" w:w="4989"/>
          </w:tcPr>
          <w:p>
            <w:pPr>
              <w:pStyle w:val="ProgTableMuted"/>
              <w:keepNext/>
            </w:pPr>
            <w:r>
              <w:t>One documented portfolio architecture</w:t>
            </w:r>
          </w:p>
        </w:tc>
        <w:tc>
          <w:tcPr>
            <w:tcW w:type="dxa" w:w="1020"/>
          </w:tcPr>
          <w:p>
            <w:pPr>
              <w:pStyle w:val="ProgTableHours"/>
              <w:keepNext/>
            </w:pPr>
            <w:r>
              <w:t>3 h</w:t>
            </w:r>
          </w:p>
        </w:tc>
      </w:tr>
      <w:tr>
        <w:tc>
          <w:tcPr>
            <w:tcW w:type="dxa" w:w="680"/>
          </w:tcPr>
          <w:p>
            <w:pPr>
              <w:pStyle w:val="ProgTableText"/>
              <w:keepNext/>
            </w:pPr>
          </w:p>
        </w:tc>
        <w:tc>
          <w:tcPr>
            <w:tcW w:type="dxa" w:w="2948"/>
          </w:tcPr>
          <w:p>
            <w:pPr>
              <w:pStyle w:val="ProgTableStrong"/>
              <w:keepNext/>
            </w:pPr>
            <w:r>
              <w:t>Buffer</w:t>
            </w:r>
          </w:p>
        </w:tc>
        <w:tc>
          <w:tcPr>
            <w:tcW w:type="dxa" w:w="4989"/>
          </w:tcPr>
          <w:p>
            <w:pPr>
              <w:pStyle w:val="ProgTableMuted"/>
              <w:keepNext/>
            </w:pPr>
            <w:r>
              <w:t>Catch-up, revision, extra lab time</w:t>
            </w:r>
          </w:p>
        </w:tc>
        <w:tc>
          <w:tcPr>
            <w:tcW w:type="dxa" w:w="1020"/>
          </w:tcPr>
          <w:p>
            <w:pPr>
              <w:pStyle w:val="ProgTableHours"/>
              <w:keepNext/>
            </w:pPr>
            <w:r>
              <w:t>3 h</w:t>
            </w:r>
          </w:p>
        </w:tc>
      </w:tr>
      <w:tr>
        <w:tc>
          <w:tcPr>
            <w:tcW w:type="dxa" w:w="680"/>
            <w:tcBorders>
              <w:top w:val="single" w:sz="10" w:space="0" w:color="1A1814"/>
            </w:tcBorders>
          </w:tcPr>
          <w:p>
            <w:pPr>
              <w:pStyle w:val="ProgTableText"/>
              <w:keepNext/>
            </w:pPr>
          </w:p>
        </w:tc>
        <w:tc>
          <w:tcPr>
            <w:tcW w:type="dxa" w:w="2948"/>
            <w:tcBorders>
              <w:top w:val="single" w:sz="10" w:space="0" w:color="1A1814"/>
            </w:tcBorders>
          </w:tcPr>
          <w:p>
            <w:pPr>
              <w:pStyle w:val="ProgTableStrong"/>
              <w:keepNext/>
            </w:pPr>
            <w:r>
              <w:t>Total</w:t>
            </w:r>
          </w:p>
        </w:tc>
        <w:tc>
          <w:tcPr>
            <w:tcW w:type="dxa" w:w="4989"/>
            <w:tcBorders>
              <w:top w:val="single" w:sz="10" w:space="0" w:color="1A1814"/>
            </w:tcBorders>
          </w:tcPr>
          <w:p>
            <w:pPr>
              <w:pStyle w:val="ProgTableMuted"/>
              <w:keepNext/>
            </w:pPr>
          </w:p>
        </w:tc>
        <w:tc>
          <w:tcPr>
            <w:tcW w:type="dxa" w:w="1020"/>
            <w:tcBorders>
              <w:top w:val="single" w:sz="10" w:space="0" w:color="1A1814"/>
            </w:tcBorders>
          </w:tcPr>
          <w:p>
            <w:pPr>
              <w:pStyle w:val="ProgTableTotal"/>
              <w:keepNext/>
            </w:pPr>
            <w:r>
              <w:t>18 h</w:t>
            </w:r>
          </w:p>
        </w:tc>
      </w:tr>
    </w:tbl>
    <w:p>
      <w:pPr>
        <w:pStyle w:val="ProgBody"/>
      </w:pPr>
    </w:p>
    <w:p>
      <w:pPr>
        <w:pStyle w:val="Heading2"/>
      </w:pPr>
      <w:r>
        <w:t>Key facts</w:t>
      </w:r>
    </w:p>
    <w:tbl>
      <w:tblPr>
        <w:tblStyle w:val="ProgTable"/>
        <w:tblW w:type="auto" w:w="0"/>
        <w:jc w:val="center"/>
        <w:tblLayout w:type="fixed"/>
        <w:tblLook w:firstColumn="0" w:firstRow="0" w:lastColumn="0" w:lastRow="0" w:noHBand="1" w:noVBand="1" w:val="04A0"/>
      </w:tblPr>
      <w:tblGrid>
        <w:gridCol w:w="2381"/>
        <w:gridCol w:w="7257"/>
      </w:tblGrid>
      <w:tr>
        <w:tc>
          <w:tcPr>
            <w:tcW w:type="dxa" w:w="2381"/>
          </w:tcPr>
          <w:p>
            <w:pPr>
              <w:pStyle w:val="ProgTableKey"/>
            </w:pPr>
            <w:r>
              <w:t>Audience</w:t>
            </w:r>
          </w:p>
        </w:tc>
        <w:tc>
          <w:tcPr>
            <w:tcW w:type="dxa" w:w="7257"/>
          </w:tcPr>
          <w:p>
            <w:pPr>
              <w:pStyle w:val="ProgTableText"/>
            </w:pPr>
            <w:r>
              <w:t>Engineers with AWS architecture basics who want hands-on portfolio projects</w:t>
            </w:r>
          </w:p>
        </w:tc>
      </w:tr>
      <w:tr>
        <w:tc>
          <w:tcPr>
            <w:tcW w:type="dxa" w:w="2381"/>
          </w:tcPr>
          <w:p>
            <w:pPr>
              <w:pStyle w:val="ProgTableKey"/>
            </w:pPr>
            <w:r>
              <w:t>Prerequisites</w:t>
            </w:r>
          </w:p>
        </w:tc>
        <w:tc>
          <w:tcPr>
            <w:tcW w:type="dxa" w:w="7257"/>
          </w:tcPr>
          <w:p>
            <w:pPr>
              <w:pStyle w:val="ProgTableText"/>
            </w:pPr>
            <w:r>
              <w:t>AWS Solutions Architect Associate (course), plus Terraform and GitHub Actions basics (as taught in DevOps Engineering). These are used, not taught</w:t>
            </w:r>
          </w:p>
        </w:tc>
      </w:tr>
      <w:tr>
        <w:tc>
          <w:tcPr>
            <w:tcW w:type="dxa" w:w="2381"/>
          </w:tcPr>
          <w:p>
            <w:pPr>
              <w:pStyle w:val="ProgTableKey"/>
            </w:pPr>
            <w:r>
              <w:t>Duration</w:t>
            </w:r>
          </w:p>
        </w:tc>
        <w:tc>
          <w:tcPr>
            <w:tcW w:type="dxa" w:w="7257"/>
          </w:tcPr>
          <w:p>
            <w:pPr>
              <w:pStyle w:val="ProgTableText"/>
            </w:pPr>
            <w:r>
              <w:t>18 h: 15 h of chapters + 3 h buffer</w:t>
            </w:r>
          </w:p>
        </w:tc>
      </w:tr>
      <w:tr>
        <w:tc>
          <w:tcPr>
            <w:tcW w:type="dxa" w:w="2381"/>
          </w:tcPr>
          <w:p>
            <w:pPr>
              <w:pStyle w:val="ProgTableKey"/>
            </w:pPr>
            <w:r>
              <w:t>Format</w:t>
            </w:r>
          </w:p>
        </w:tc>
        <w:tc>
          <w:tcPr>
            <w:tcW w:type="dxa" w:w="7257"/>
          </w:tcPr>
          <w:p>
            <w:pPr>
              <w:pStyle w:val="ProgTableText"/>
            </w:pPr>
            <w:r>
              <w:t>Project labs from provided starter repositories, each with a short design briefing</w:t>
            </w:r>
          </w:p>
        </w:tc>
      </w:tr>
      <w:tr>
        <w:tc>
          <w:tcPr>
            <w:tcW w:type="dxa" w:w="2381"/>
          </w:tcPr>
          <w:p>
            <w:pPr>
              <w:pStyle w:val="ProgTableKey"/>
            </w:pPr>
            <w:r>
              <w:t>Lab environment</w:t>
            </w:r>
          </w:p>
        </w:tc>
        <w:tc>
          <w:tcPr>
            <w:tcW w:type="dxa" w:w="7257"/>
          </w:tcPr>
          <w:p>
            <w:pPr>
              <w:pStyle w:val="ProgTableText"/>
            </w:pPr>
            <w:r>
              <w:t>One laptop per participant (Terraform, AWS CLI, Git, Docker); a GitHub repository and an AWS sandbox account per team, provided by the organiser, with a budget alert; every project destroyed with terraform destroy at the end of the lab to control cost</w:t>
            </w:r>
          </w:p>
        </w:tc>
      </w:tr>
      <w:tr>
        <w:tc>
          <w:tcPr>
            <w:tcW w:type="dxa" w:w="2381"/>
          </w:tcPr>
          <w:p>
            <w:pPr>
              <w:pStyle w:val="ProgTableKey"/>
            </w:pPr>
            <w:r>
              <w:t>Assessment</w:t>
            </w:r>
          </w:p>
        </w:tc>
        <w:tc>
          <w:tcPr>
            <w:tcW w:type="dxa" w:w="7257"/>
          </w:tcPr>
          <w:p>
            <w:pPr>
              <w:pStyle w:val="ProgTableText"/>
            </w:pPr>
            <w:r>
              <w:t>Each project validated when it runs, and a final portfolio project presented to the group; certificate of completion for participants who complete both</w:t>
            </w:r>
          </w:p>
        </w:tc>
      </w:tr>
      <w:tr>
        <w:tc>
          <w:tcPr>
            <w:tcW w:type="dxa" w:w="2381"/>
          </w:tcPr>
          <w:p>
            <w:pPr>
              <w:pStyle w:val="ProgTableKey"/>
            </w:pPr>
            <w:r>
              <w:t>Outcome</w:t>
            </w:r>
          </w:p>
        </w:tc>
        <w:tc>
          <w:tcPr>
            <w:tcW w:type="dxa" w:w="7257"/>
          </w:tcPr>
          <w:p>
            <w:pPr>
              <w:pStyle w:val="ProgTableText"/>
            </w:pPr>
            <w:r>
              <w:t>Participants leave with six working AWS projects in Git, combined into one documented architecture they can explain, rebuild and cost</w:t>
            </w:r>
          </w:p>
        </w:tc>
      </w:tr>
    </w:tbl>
    <w:p>
      <w:pPr>
        <w:pStyle w:val="ProgKicker"/>
      </w:pPr>
      <w:r>
        <w:t>Phase 01</w:t>
        <w:tab/>
        <w:t>6 h</w:t>
      </w:r>
    </w:p>
    <w:p>
      <w:pPr>
        <w:pStyle w:val="Heading1"/>
      </w:pPr>
      <w:r>
        <w:t>Containers &amp; Infrastructure as Code</w:t>
      </w:r>
    </w:p>
    <w:p>
      <w:pPr>
        <w:pStyle w:val="ProgIntro"/>
      </w:pPr>
      <w:r>
        <w:t>Participants provision a scalable web stack with Terraform from a starter repository, then deliver a containerised version through GitHub Actions to ECS Fargate, authenticating to AWS with OIDC instead of stored keys. Validated projects: the web stack answering behind its load balancer, and a commit that reaches Fargate through the pipeline.</w:t>
      </w:r>
    </w:p>
    <w:tbl>
      <w:tblPr>
        <w:tblStyle w:val="ProgTable"/>
        <w:tblW w:type="auto" w:w="0"/>
        <w:jc w:val="center"/>
        <w:tblLayout w:type="fixed"/>
        <w:tblLook w:firstColumn="0" w:firstRow="1" w:lastColumn="0" w:lastRow="0" w:noHBand="1" w:noVBand="1" w:val="04A0"/>
      </w:tblPr>
      <w:tblGrid>
        <w:gridCol w:w="567"/>
        <w:gridCol w:w="2211"/>
        <w:gridCol w:w="4876"/>
        <w:gridCol w:w="1134"/>
        <w:gridCol w:w="850"/>
      </w:tblGrid>
      <w:tr>
        <w:tc>
          <w:tcPr>
            <w:tcW w:type="dxa" w:w="567"/>
          </w:tcPr>
          <w:p>
            <w:pPr>
              <w:pStyle w:val="ProgTableHead"/>
            </w:pPr>
            <w:r>
              <w:t>#</w:t>
            </w:r>
          </w:p>
        </w:tc>
        <w:tc>
          <w:tcPr>
            <w:tcW w:type="dxa" w:w="2211"/>
          </w:tcPr>
          <w:p>
            <w:pPr>
              <w:pStyle w:val="ProgTableHead"/>
            </w:pPr>
            <w:r>
              <w:t>Chapter</w:t>
            </w:r>
          </w:p>
        </w:tc>
        <w:tc>
          <w:tcPr>
            <w:tcW w:type="dxa" w:w="4876"/>
          </w:tcPr>
          <w:p>
            <w:pPr>
              <w:pStyle w:val="ProgTableHead"/>
            </w:pPr>
            <w:r>
              <w:t>Content</w:t>
            </w:r>
          </w:p>
        </w:tc>
        <w:tc>
          <w:tcPr>
            <w:tcW w:type="dxa" w:w="1134"/>
          </w:tcPr>
          <w:p>
            <w:pPr>
              <w:pStyle w:val="ProgTableHead"/>
            </w:pPr>
            <w:r>
              <w:t>Format</w:t>
            </w:r>
          </w:p>
        </w:tc>
        <w:tc>
          <w:tcPr>
            <w:tcW w:type="dxa" w:w="850"/>
          </w:tcPr>
          <w:p>
            <w:pPr>
              <w:pStyle w:val="ProgTableHead"/>
              <w:jc w:val="right"/>
            </w:pPr>
            <w:r>
              <w:t>Hours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1.1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Scalable Web App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Terraform: VPC, Application Load Balancer, Auto Scaling, RDS, from a provided starter repository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1.2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CI/CD to ECS Fargate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GitHub Actions with OIDC, Amazon ECR, Amazon ECS on Fargate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</w:tbl>
    <w:p>
      <w:pPr>
        <w:pStyle w:val="ProgKicker"/>
      </w:pPr>
      <w:r>
        <w:t>Phase 02</w:t>
        <w:tab/>
        <w:t>6 h</w:t>
      </w:r>
    </w:p>
    <w:p>
      <w:pPr>
        <w:pStyle w:val="Heading1"/>
      </w:pPr>
      <w:r>
        <w:t>Serverless &amp; Security Automation</w:t>
      </w:r>
    </w:p>
    <w:p>
      <w:pPr>
        <w:pStyle w:val="ProgIntro"/>
      </w:pPr>
      <w:r>
        <w:t>Participants build serverless and event-driven systems: an API on Lambda, API Gateway and DynamoDB, an image processing pipeline triggered by S3 events, automated incident response from GuardDuty and CloudWatch through EventBridge, and a container pipeline that stops on critical vulnerabilities. Validated projects: each of the four running and demonstrated with a test event.</w:t>
      </w:r>
    </w:p>
    <w:tbl>
      <w:tblPr>
        <w:tblStyle w:val="ProgTable"/>
        <w:tblW w:type="auto" w:w="0"/>
        <w:jc w:val="center"/>
        <w:tblLayout w:type="fixed"/>
        <w:tblLook w:firstColumn="0" w:firstRow="1" w:lastColumn="0" w:lastRow="0" w:noHBand="1" w:noVBand="1" w:val="04A0"/>
      </w:tblPr>
      <w:tblGrid>
        <w:gridCol w:w="567"/>
        <w:gridCol w:w="2211"/>
        <w:gridCol w:w="4876"/>
        <w:gridCol w:w="1134"/>
        <w:gridCol w:w="850"/>
      </w:tblGrid>
      <w:tr>
        <w:tc>
          <w:tcPr>
            <w:tcW w:type="dxa" w:w="567"/>
          </w:tcPr>
          <w:p>
            <w:pPr>
              <w:pStyle w:val="ProgTableHead"/>
            </w:pPr>
            <w:r>
              <w:t>#</w:t>
            </w:r>
          </w:p>
        </w:tc>
        <w:tc>
          <w:tcPr>
            <w:tcW w:type="dxa" w:w="2211"/>
          </w:tcPr>
          <w:p>
            <w:pPr>
              <w:pStyle w:val="ProgTableHead"/>
            </w:pPr>
            <w:r>
              <w:t>Chapter</w:t>
            </w:r>
          </w:p>
        </w:tc>
        <w:tc>
          <w:tcPr>
            <w:tcW w:type="dxa" w:w="4876"/>
          </w:tcPr>
          <w:p>
            <w:pPr>
              <w:pStyle w:val="ProgTableHead"/>
            </w:pPr>
            <w:r>
              <w:t>Content</w:t>
            </w:r>
          </w:p>
        </w:tc>
        <w:tc>
          <w:tcPr>
            <w:tcW w:type="dxa" w:w="1134"/>
          </w:tcPr>
          <w:p>
            <w:pPr>
              <w:pStyle w:val="ProgTableHead"/>
            </w:pPr>
            <w:r>
              <w:t>Format</w:t>
            </w:r>
          </w:p>
        </w:tc>
        <w:tc>
          <w:tcPr>
            <w:tcW w:type="dxa" w:w="850"/>
          </w:tcPr>
          <w:p>
            <w:pPr>
              <w:pStyle w:val="ProgTableHead"/>
              <w:jc w:val="right"/>
            </w:pPr>
            <w:r>
              <w:t>Hours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2.1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Serverless API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Lambda, API Gateway, DynamoDB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1.5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2.2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Image Processing Pipeline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S3 events, Lambda, notifications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1.5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2.3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Incident Response Automation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GuardDuty and CloudWatch to EventBridge to Lambda and SNS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1.5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2.4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Container Security Pipeline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ECR scanning, Amazon Inspector, build gates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1.5 h</w:t>
            </w:r>
          </w:p>
        </w:tc>
      </w:tr>
    </w:tbl>
    <w:p>
      <w:pPr>
        <w:pStyle w:val="ProgKicker"/>
      </w:pPr>
      <w:r>
        <w:t>Phase 03</w:t>
        <w:tab/>
        <w:t>3 h</w:t>
      </w:r>
    </w:p>
    <w:p>
      <w:pPr>
        <w:pStyle w:val="Heading1"/>
      </w:pPr>
      <w:r>
        <w:t>Final Project</w:t>
      </w:r>
    </w:p>
    <w:p>
      <w:pPr>
        <w:pStyle w:val="ProgIntro"/>
      </w:pPr>
      <w:r>
        <w:t>Each participant combines the six projects into one portfolio architecture, documented so that another engineer could rebuild it, and presents it to the group.</w:t>
      </w:r>
    </w:p>
    <w:tbl>
      <w:tblPr>
        <w:tblStyle w:val="ProgTable"/>
        <w:tblW w:type="auto" w:w="0"/>
        <w:jc w:val="center"/>
        <w:tblLayout w:type="fixed"/>
        <w:tblLook w:firstColumn="0" w:firstRow="1" w:lastColumn="0" w:lastRow="0" w:noHBand="1" w:noVBand="1" w:val="04A0"/>
      </w:tblPr>
      <w:tblGrid>
        <w:gridCol w:w="567"/>
        <w:gridCol w:w="2211"/>
        <w:gridCol w:w="4876"/>
        <w:gridCol w:w="1134"/>
        <w:gridCol w:w="850"/>
      </w:tblGrid>
      <w:tr>
        <w:tc>
          <w:tcPr>
            <w:tcW w:type="dxa" w:w="567"/>
          </w:tcPr>
          <w:p>
            <w:pPr>
              <w:pStyle w:val="ProgTableHead"/>
            </w:pPr>
            <w:r>
              <w:t>#</w:t>
            </w:r>
          </w:p>
        </w:tc>
        <w:tc>
          <w:tcPr>
            <w:tcW w:type="dxa" w:w="2211"/>
          </w:tcPr>
          <w:p>
            <w:pPr>
              <w:pStyle w:val="ProgTableHead"/>
            </w:pPr>
            <w:r>
              <w:t>Chapter</w:t>
            </w:r>
          </w:p>
        </w:tc>
        <w:tc>
          <w:tcPr>
            <w:tcW w:type="dxa" w:w="4876"/>
          </w:tcPr>
          <w:p>
            <w:pPr>
              <w:pStyle w:val="ProgTableHead"/>
            </w:pPr>
            <w:r>
              <w:t>Content</w:t>
            </w:r>
          </w:p>
        </w:tc>
        <w:tc>
          <w:tcPr>
            <w:tcW w:type="dxa" w:w="1134"/>
          </w:tcPr>
          <w:p>
            <w:pPr>
              <w:pStyle w:val="ProgTableHead"/>
            </w:pPr>
            <w:r>
              <w:t>Format</w:t>
            </w:r>
          </w:p>
        </w:tc>
        <w:tc>
          <w:tcPr>
            <w:tcW w:type="dxa" w:w="850"/>
          </w:tcPr>
          <w:p>
            <w:pPr>
              <w:pStyle w:val="ProgTableHead"/>
              <w:jc w:val="right"/>
            </w:pPr>
            <w:r>
              <w:t>Hours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3.1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Integrate &amp; Document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Combine the projects in one repository with infrastructure as code, architecture diagram and README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Project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1.5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3.2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Cost Review, Demo &amp; Teardown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Cost review, live demo, full teardown; questions and feedback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Project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1.5 h</w:t>
            </w:r>
          </w:p>
        </w:tc>
      </w:tr>
    </w:tbl>
    <w:p>
      <w:pPr>
        <w:pStyle w:val="ProgBody"/>
      </w:pPr>
    </w:p>
    <w:p>
      <w:pPr>
        <w:pStyle w:val="ProgBoxTag"/>
      </w:pPr>
      <w:r>
        <w:t>Final project</w:t>
      </w:r>
    </w:p>
    <w:p>
      <w:pPr>
        <w:pStyle w:val="ProgBoxTitle"/>
      </w:pPr>
      <w:r>
        <w:t>AWS Portfolio Architecture</w:t>
      </w:r>
    </w:p>
    <w:p>
      <w:pPr>
        <w:pStyle w:val="ProgBoxText"/>
      </w:pPr>
      <w:r>
        <w:t>The six projects combined into one documented architecture: a web tier and containers on Fargate, a serverless API and event pipeline, incident automation and image scanning gates, all rebuilt from code and reviewed for cost.</w:t>
      </w:r>
    </w:p>
    <w:p>
      <w:pPr>
        <w:pStyle w:val="ProgBoxText"/>
      </w:pPr>
      <w:r>
        <w:rPr>
          <w:rStyle w:val="ProgLabel"/>
        </w:rPr>
        <w:t>Stack</w:t>
      </w:r>
      <w:r>
        <w:t xml:space="preserve">  AWS: VPC, ALB, Auto Scaling, RDS, ECR, ECS Fargate, Lambda, API Gateway, DynamoDB, S3, EventBridge, SNS, GuardDuty, Inspector; Terraform, GitHub Actions</w:t>
      </w:r>
    </w:p>
    <w:p>
      <w:pPr>
        <w:pStyle w:val="ProgBoxText"/>
        <w:keepNext w:val="0"/>
      </w:pPr>
      <w:r>
        <w:rPr>
          <w:rStyle w:val="ProgLabel"/>
        </w:rPr>
        <w:t>Deliverable</w:t>
      </w:r>
      <w:r>
        <w:t xml:space="preserve">  Git repository with IaC and pipelines, architecture diagram, cost review, live demo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drawing>
        <wp:inline xmlns:a="http://schemas.openxmlformats.org/drawingml/2006/main" xmlns:pic="http://schemas.openxmlformats.org/drawingml/2006/picture">
          <wp:extent cx="114811" cy="10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811" cy="108000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Style w:val="ProgStrong"/>
      </w:rPr>
      <w:t>Mohamed Aziz BEN HAHA</w:t>
    </w:r>
    <w:r>
      <w:t xml:space="preserve">  ·  mohamedazizbenhaha.netlify.app</w:t>
      <w:tab/>
      <w:t xml:space="preserve">Page </w:t>
    </w:r>
    <w:r>
      <w:fldChar w:fldCharType="begin"/>
      <w:instrText xml:space="preserve">PAGE</w:instrText>
      <w:fldChar w:fldCharType="separate"/>
      <w:t xml:space="preserve">1</w:t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Style w:val="ProgLabel"/>
      </w:rPr>
      <w:t>Training programme</w:t>
    </w:r>
    <w:r>
      <w:tab/>
      <w:t>AWS Serverless &amp; Automation Projects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rogCoverLine"/>
    </w:pPr>
    <w:r>
      <w:drawing>
        <wp:anchor xmlns:a="http://schemas.openxmlformats.org/drawingml/2006/main" xmlns:pic="http://schemas.openxmlformats.org/drawingml/2006/picture" distT="0" distB="0" distL="0" distR="0" simplePos="0" relativeHeight="1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Cover black"/>
          <wp:cNvGraphicFramePr/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Calibri" w:hAnsi="Calibri" w:eastAsia="Calibri"/>
      <w:color w:val="1A18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9638" w:val="right"/>
      </w:tabs>
      <w:spacing w:after="0" w:line="240" w:lineRule="auto"/>
      <w:pBdr>
        <w:bottom w:val="single" w:sz="6" w:space="4" w:color="D4A024"/>
      </w:pBdr>
    </w:pPr>
    <w:rPr>
      <w:rFonts w:ascii="Calibri" w:hAnsi="Calibri"/>
      <w:color w:val="6B665C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9638" w:val="right"/>
      </w:tabs>
      <w:spacing w:after="0" w:line="240" w:lineRule="auto"/>
      <w:pBdr>
        <w:top w:val="single" w:sz="4" w:space="6" w:color="E6DECB"/>
      </w:pBdr>
    </w:pPr>
    <w:rPr>
      <w:rFonts w:ascii="Calibri" w:hAnsi="Calibri"/>
      <w:color w:val="6B665C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  <w:pBdr>
        <w:bottom w:val="single" w:sz="12" w:space="6" w:color="D4A024"/>
      </w:pBdr>
    </w:pPr>
    <w:rPr>
      <w:rFonts w:asciiTheme="majorHAnsi" w:eastAsiaTheme="majorEastAsia" w:hAnsiTheme="majorHAnsi" w:cstheme="majorBidi" w:ascii="Calibri" w:hAnsi="Calibri"/>
      <w:b/>
      <w:bCs/>
      <w:color w:val="1A181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A1814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gKicker">
    <w:name w:val="Prog Kicker"/>
    <w:basedOn w:val="Normal"/>
    <w:qFormat/>
    <w:pPr>
      <w:keepNext/>
      <w:pageBreakBefore/>
      <w:tabs>
        <w:tab w:pos="9638" w:val="right"/>
      </w:tabs>
      <w:spacing w:before="0" w:after="40"/>
    </w:pPr>
    <w:rPr>
      <w:rFonts w:ascii="Calibri" w:hAnsi="Calibri"/>
      <w:b/>
      <w:caps/>
      <w:color w:val="9A7413"/>
      <w:sz w:val="17"/>
      <w:spacing w:val="24"/>
    </w:rPr>
  </w:style>
  <w:style w:type="paragraph" w:customStyle="1" w:styleId="ProgCoverKicker">
    <w:name w:val="Prog Cover Kicker"/>
    <w:basedOn w:val="Normal"/>
    <w:qFormat/>
    <w:pPr>
      <w:spacing w:before="4900" w:after="160"/>
    </w:pPr>
    <w:rPr>
      <w:rFonts w:ascii="Calibri" w:hAnsi="Calibri"/>
      <w:b/>
      <w:caps/>
      <w:color w:val="D4A024"/>
      <w:sz w:val="18"/>
      <w:spacing w:val="40"/>
    </w:rPr>
  </w:style>
  <w:style w:type="paragraph" w:customStyle="1" w:styleId="ProgCoverTitle">
    <w:name w:val="Prog Cover Title"/>
    <w:basedOn w:val="Normal"/>
    <w:qFormat/>
    <w:pPr>
      <w:spacing w:before="0" w:after="160" w:line="228" w:lineRule="auto"/>
    </w:pPr>
    <w:rPr>
      <w:rFonts w:ascii="Calibri" w:hAnsi="Calibri"/>
      <w:b/>
      <w:color w:val="F3EFE6"/>
      <w:sz w:val="72"/>
    </w:rPr>
  </w:style>
  <w:style w:type="paragraph" w:customStyle="1" w:styleId="ProgCoverSub">
    <w:name w:val="Prog Cover Sub"/>
    <w:basedOn w:val="Normal"/>
    <w:qFormat/>
    <w:pPr>
      <w:spacing w:before="0" w:after="440"/>
      <w:pBdr>
        <w:bottom w:val="single" w:sz="12" w:space="18" w:color="D4A024"/>
      </w:pBdr>
    </w:pPr>
    <w:rPr>
      <w:rFonts w:ascii="Calibri" w:hAnsi="Calibri"/>
      <w:color w:val="A29D92"/>
      <w:sz w:val="26"/>
    </w:rPr>
  </w:style>
  <w:style w:type="paragraph" w:customStyle="1" w:styleId="ProgCoverLine">
    <w:name w:val="Prog Cover Line"/>
    <w:basedOn w:val="Normal"/>
    <w:qFormat/>
    <w:pPr>
      <w:spacing w:before="0" w:after="120" w:line="276" w:lineRule="auto"/>
    </w:pPr>
    <w:rPr>
      <w:rFonts w:ascii="Calibri" w:hAnsi="Calibri"/>
      <w:color w:val="F3EFE6"/>
      <w:sz w:val="21"/>
    </w:rPr>
  </w:style>
  <w:style w:type="paragraph" w:customStyle="1" w:styleId="ProgCoverStat">
    <w:name w:val="Prog Cover Stat"/>
    <w:basedOn w:val="Normal"/>
    <w:qFormat/>
    <w:pPr>
      <w:spacing w:before="40" w:after="320" w:line="240" w:lineRule="auto"/>
    </w:pPr>
    <w:rPr>
      <w:rFonts w:ascii="Calibri" w:hAnsi="Calibri"/>
      <w:b/>
      <w:color w:val="D4A024"/>
      <w:sz w:val="92"/>
    </w:rPr>
  </w:style>
  <w:style w:type="paragraph" w:customStyle="1" w:styleId="ProgCoverName">
    <w:name w:val="Prog Cover Name"/>
    <w:basedOn w:val="Normal"/>
    <w:qFormat/>
    <w:pPr>
      <w:spacing w:before="0" w:after="20"/>
    </w:pPr>
    <w:rPr>
      <w:rFonts w:ascii="Calibri" w:hAnsi="Calibri"/>
      <w:b/>
      <w:color w:val="F3EFE6"/>
      <w:sz w:val="24"/>
    </w:rPr>
  </w:style>
  <w:style w:type="paragraph" w:customStyle="1" w:styleId="ProgCoverSite">
    <w:name w:val="Prog Cover Site"/>
    <w:basedOn w:val="Normal"/>
    <w:qFormat/>
    <w:pPr>
      <w:spacing w:before="0" w:after="0"/>
    </w:pPr>
    <w:rPr>
      <w:rFonts w:ascii="Calibri" w:hAnsi="Calibri"/>
      <w:color w:val="A29D92"/>
      <w:sz w:val="18"/>
    </w:rPr>
  </w:style>
  <w:style w:type="paragraph" w:customStyle="1" w:styleId="ProgBody">
    <w:name w:val="Prog Body"/>
    <w:basedOn w:val="Normal"/>
    <w:qFormat/>
    <w:pPr>
      <w:spacing w:before="0" w:after="120" w:line="276" w:lineRule="auto"/>
    </w:pPr>
    <w:rPr>
      <w:rFonts w:ascii="Calibri" w:hAnsi="Calibri"/>
      <w:sz w:val="21"/>
    </w:rPr>
  </w:style>
  <w:style w:type="paragraph" w:customStyle="1" w:styleId="ProgIntro">
    <w:name w:val="Prog Intro"/>
    <w:basedOn w:val="Normal"/>
    <w:qFormat/>
    <w:pPr>
      <w:spacing w:before="0" w:after="120" w:line="276" w:lineRule="auto"/>
    </w:pPr>
    <w:rPr>
      <w:rFonts w:ascii="Calibri" w:hAnsi="Calibri"/>
      <w:color w:val="6B665C"/>
      <w:sz w:val="21"/>
    </w:rPr>
  </w:style>
  <w:style w:type="paragraph" w:customStyle="1" w:styleId="ProgNote">
    <w:name w:val="Prog Note"/>
    <w:basedOn w:val="Normal"/>
    <w:qFormat/>
    <w:pPr>
      <w:spacing w:before="0" w:after="160"/>
    </w:pPr>
    <w:rPr>
      <w:rFonts w:ascii="Calibri" w:hAnsi="Calibri"/>
      <w:color w:val="6B665C"/>
      <w:sz w:val="19"/>
    </w:rPr>
  </w:style>
  <w:style w:type="paragraph" w:customStyle="1" w:styleId="ProgTableHead">
    <w:name w:val="Prog Table Head"/>
    <w:basedOn w:val="Normal"/>
    <w:qFormat/>
    <w:pPr>
      <w:spacing w:before="0" w:after="0"/>
    </w:pPr>
    <w:rPr>
      <w:rFonts w:ascii="Calibri" w:hAnsi="Calibri"/>
      <w:b/>
      <w:caps/>
      <w:color w:val="9A7413"/>
      <w:sz w:val="16"/>
      <w:spacing w:val="8"/>
    </w:rPr>
  </w:style>
  <w:style w:type="paragraph" w:customStyle="1" w:styleId="ProgTableKey">
    <w:name w:val="Prog Table Key"/>
    <w:basedOn w:val="Normal"/>
    <w:qFormat/>
    <w:pPr>
      <w:spacing w:before="0" w:after="0"/>
    </w:pPr>
    <w:rPr>
      <w:rFonts w:ascii="Calibri" w:hAnsi="Calibri"/>
      <w:b/>
      <w:caps/>
      <w:color w:val="9A7413"/>
      <w:sz w:val="17"/>
      <w:spacing w:val="12"/>
    </w:rPr>
  </w:style>
  <w:style w:type="paragraph" w:customStyle="1" w:styleId="ProgTableText">
    <w:name w:val="Prog Table Text"/>
    <w:basedOn w:val="Normal"/>
    <w:qFormat/>
    <w:pPr>
      <w:spacing w:before="0" w:after="0"/>
    </w:pPr>
    <w:rPr>
      <w:rFonts w:ascii="Calibri" w:hAnsi="Calibri"/>
      <w:sz w:val="19"/>
    </w:rPr>
  </w:style>
  <w:style w:type="paragraph" w:customStyle="1" w:styleId="ProgTableStrong">
    <w:name w:val="Prog Table Strong"/>
    <w:basedOn w:val="Normal"/>
    <w:qFormat/>
    <w:pPr>
      <w:spacing w:before="0" w:after="0"/>
    </w:pPr>
    <w:rPr>
      <w:rFonts w:ascii="Calibri" w:hAnsi="Calibri"/>
      <w:b/>
      <w:sz w:val="19"/>
    </w:rPr>
  </w:style>
  <w:style w:type="paragraph" w:customStyle="1" w:styleId="ProgTableMuted">
    <w:name w:val="Prog Table Muted"/>
    <w:basedOn w:val="Normal"/>
    <w:qFormat/>
    <w:pPr>
      <w:spacing w:before="0" w:after="0"/>
    </w:pPr>
    <w:rPr>
      <w:rFonts w:ascii="Calibri" w:hAnsi="Calibri"/>
      <w:color w:val="6B665C"/>
      <w:sz w:val="17"/>
    </w:rPr>
  </w:style>
  <w:style w:type="paragraph" w:customStyle="1" w:styleId="ProgTableId">
    <w:name w:val="Prog Table Id"/>
    <w:basedOn w:val="Normal"/>
    <w:qFormat/>
    <w:pPr>
      <w:spacing w:before="0" w:after="0"/>
    </w:pPr>
    <w:rPr>
      <w:rFonts w:ascii="Calibri" w:hAnsi="Calibri"/>
      <w:b/>
      <w:color w:val="9A7413"/>
      <w:sz w:val="18"/>
    </w:rPr>
  </w:style>
  <w:style w:type="paragraph" w:customStyle="1" w:styleId="ProgTableNumber">
    <w:name w:val="Prog Table Number"/>
    <w:basedOn w:val="Normal"/>
    <w:qFormat/>
    <w:pPr>
      <w:spacing w:before="0" w:after="0"/>
    </w:pPr>
    <w:rPr>
      <w:rFonts w:ascii="Calibri" w:hAnsi="Calibri"/>
      <w:b/>
      <w:color w:val="D4A024"/>
      <w:sz w:val="22"/>
    </w:rPr>
  </w:style>
  <w:style w:type="paragraph" w:customStyle="1" w:styleId="ProgTableHours">
    <w:name w:val="Prog Table Hours"/>
    <w:basedOn w:val="Normal"/>
    <w:qFormat/>
    <w:pPr>
      <w:spacing w:before="0" w:after="0"/>
      <w:jc w:val="right"/>
    </w:pPr>
    <w:rPr>
      <w:rFonts w:ascii="Calibri" w:hAnsi="Calibri"/>
      <w:b/>
      <w:sz w:val="19"/>
    </w:rPr>
  </w:style>
  <w:style w:type="paragraph" w:customStyle="1" w:styleId="ProgTableTotal">
    <w:name w:val="Prog Table Total"/>
    <w:basedOn w:val="Normal"/>
    <w:qFormat/>
    <w:pPr>
      <w:spacing w:before="0" w:after="0"/>
      <w:jc w:val="right"/>
    </w:pPr>
    <w:rPr>
      <w:rFonts w:ascii="Calibri" w:hAnsi="Calibri"/>
      <w:b/>
      <w:color w:val="9A7413"/>
      <w:sz w:val="22"/>
    </w:rPr>
  </w:style>
  <w:style w:type="paragraph" w:customStyle="1" w:styleId="ProgBoxTag">
    <w:name w:val="Prog Box Tag"/>
    <w:basedOn w:val="Normal"/>
    <w:qFormat/>
    <w:pPr>
      <w:keepNext/>
      <w:spacing w:before="0" w:after="0" w:line="276" w:lineRule="auto"/>
      <w:ind w:left="260" w:right="210"/>
      <w:pBdr>
        <w:top w:val="single" w:sz="4" w:space="6" w:color="FBF4E2"/>
        <w:left w:val="single" w:sz="24" w:space="10" w:color="D4A024"/>
        <w:bottom w:val="single" w:sz="4" w:space="6" w:color="FBF4E2"/>
        <w:right w:val="single" w:sz="4" w:space="10" w:color="FBF4E2"/>
      </w:pBdr>
      <w:shd w:val="clear" w:color="auto" w:fill="FBF4E2"/>
    </w:pPr>
    <w:rPr>
      <w:rFonts w:ascii="Calibri" w:hAnsi="Calibri"/>
      <w:b/>
      <w:caps/>
      <w:color w:val="9A7413"/>
      <w:sz w:val="16"/>
      <w:spacing w:val="24"/>
    </w:rPr>
  </w:style>
  <w:style w:type="paragraph" w:customStyle="1" w:styleId="ProgBoxTitle">
    <w:name w:val="Prog Box Title"/>
    <w:basedOn w:val="Normal"/>
    <w:qFormat/>
    <w:pPr>
      <w:keepNext/>
      <w:spacing w:before="0" w:after="80" w:line="276" w:lineRule="auto"/>
      <w:ind w:left="260" w:right="210"/>
      <w:pBdr>
        <w:top w:val="single" w:sz="4" w:space="6" w:color="FBF4E2"/>
        <w:left w:val="single" w:sz="24" w:space="10" w:color="D4A024"/>
        <w:bottom w:val="single" w:sz="4" w:space="6" w:color="FBF4E2"/>
        <w:right w:val="single" w:sz="4" w:space="10" w:color="FBF4E2"/>
      </w:pBdr>
      <w:shd w:val="clear" w:color="auto" w:fill="FBF4E2"/>
    </w:pPr>
    <w:rPr>
      <w:rFonts w:ascii="Calibri" w:hAnsi="Calibri"/>
      <w:b/>
      <w:sz w:val="24"/>
    </w:rPr>
  </w:style>
  <w:style w:type="paragraph" w:customStyle="1" w:styleId="ProgBoxText">
    <w:name w:val="Prog Box Text"/>
    <w:basedOn w:val="Normal"/>
    <w:qFormat/>
    <w:pPr>
      <w:keepNext/>
      <w:spacing w:before="0" w:after="60" w:line="276" w:lineRule="auto"/>
      <w:ind w:left="260" w:right="210"/>
      <w:pBdr>
        <w:top w:val="single" w:sz="4" w:space="6" w:color="FBF4E2"/>
        <w:left w:val="single" w:sz="24" w:space="10" w:color="D4A024"/>
        <w:bottom w:val="single" w:sz="4" w:space="6" w:color="FBF4E2"/>
        <w:right w:val="single" w:sz="4" w:space="10" w:color="FBF4E2"/>
      </w:pBdr>
      <w:shd w:val="clear" w:color="auto" w:fill="FBF4E2"/>
    </w:pPr>
    <w:rPr>
      <w:rFonts w:ascii="Calibri" w:hAnsi="Calibri"/>
      <w:sz w:val="19"/>
    </w:rPr>
  </w:style>
  <w:style w:type="paragraph" w:customStyle="1" w:styleId="ProgBullet">
    <w:name w:val="Prog Bullet"/>
    <w:basedOn w:val="ListBullet"/>
    <w:qFormat/>
    <w:pPr>
      <w:spacing w:before="0" w:after="80" w:line="276" w:lineRule="auto"/>
    </w:pPr>
    <w:rPr>
      <w:rFonts w:ascii="Calibri" w:hAnsi="Calibri"/>
      <w:sz w:val="20"/>
    </w:rPr>
  </w:style>
  <w:style w:type="character" w:customStyle="1" w:styleId="ProgLabel">
    <w:name w:val="Prog Label"/>
    <w:qFormat/>
    <w:rPr>
      <w:rFonts w:ascii="Calibri" w:hAnsi="Calibri"/>
      <w:b/>
      <w:caps/>
      <w:color w:val="9A7413"/>
      <w:sz w:val="17"/>
      <w:spacing w:val="12"/>
    </w:rPr>
  </w:style>
  <w:style w:type="character" w:customStyle="1" w:styleId="ProgStrong">
    <w:name w:val="Prog Strong"/>
    <w:qFormat/>
    <w:rPr>
      <w:rFonts w:ascii="Calibri" w:hAnsi="Calibri"/>
      <w:b/>
      <w:color w:val="1A1814"/>
    </w:rPr>
  </w:style>
  <w:style w:type="character" w:customStyle="1" w:styleId="ProgCoverLabel">
    <w:name w:val="Prog Cover Label"/>
    <w:qFormat/>
    <w:rPr>
      <w:rFonts w:ascii="Calibri" w:hAnsi="Calibri"/>
      <w:b/>
      <w:caps/>
      <w:color w:val="D4A024"/>
      <w:sz w:val="17"/>
      <w:spacing w:val="16"/>
    </w:rPr>
  </w:style>
  <w:style w:type="character" w:customStyle="1" w:styleId="ProgCoverUnit">
    <w:name w:val="Prog Cover Unit"/>
    <w:qFormat/>
    <w:rPr>
      <w:rFonts w:ascii="Calibri" w:hAnsi="Calibri"/>
      <w:b/>
      <w:caps/>
      <w:color w:val="A29D92"/>
      <w:sz w:val="20"/>
      <w:spacing w:val="30"/>
    </w:rPr>
  </w:style>
  <w:style w:type="table" w:customStyle="1" w:styleId="ProgTable">
    <w:name w:val="Prog Table"/>
    <w:basedOn w:val="TableNormal"/>
    <w:uiPriority w:val="40"/>
    <w:qFormat/>
    <w:pPr>
      <w:spacing w:after="0"/>
    </w:pPr>
    <w:tblPr>
      <w:tblBorders>
        <w:bottom w:val="single" w:sz="4" w:space="0" w:color="E6DECB"/>
        <w:insideH w:val="single" w:sz="4" w:space="0" w:color="E6DECB"/>
      </w:tblBorders>
      <w:tblCellMar>
        <w:top w:w="70" w:type="dxa"/>
        <w:left w:w="90" w:type="dxa"/>
        <w:bottom w:w="70" w:type="dxa"/>
        <w:right w:w="90" w:type="dxa"/>
      </w:tblCellMar>
    </w:tblPr>
    <w:trPr>
      <w:cantSplit/>
    </w:trPr>
    <w:tblStylePr w:type="firstRow">
      <w:tblPr/>
      <w:trPr>
        <w:tblHeader/>
      </w:trPr>
      <w:tcPr>
        <w:tcBorders>
          <w:bottom w:val="single" w:sz="8" w:space="0" w:color="D4A024"/>
        </w:tcBorders>
        <w:shd w:val="clear" w:color="auto" w:fill="FBF4E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Serverless &amp; Automation Projects</dc:title>
  <dc:subject>Training programme</dc:subject>
  <dc:creator>Mohamed Aziz BEN HAHA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