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2: CYBER INCIDENT IMPACT MAPPING</w:t>
      </w:r>
    </w:p>
    <w:p>
      <w:pPr>
        <w:jc w:val="center"/>
      </w:pPr>
      <w:r>
        <w:rPr>
          <w:i/>
          <w:sz w:val="24"/>
        </w:rPr>
        <w:t>Completed Answer Document</w:t>
      </w:r>
    </w:p>
    <w:p>
      <w:pPr>
        <w:pStyle w:val="Heading1"/>
      </w:pPr>
      <w:r>
        <w:t>1. Objective</w:t>
      </w:r>
    </w:p>
    <w:p>
      <w:r>
        <w:t>To apply cyber incident impact-mapping concepts in an isolated, authorized training environment by analyzing a fictional university breach, identifying its effects, and proposing containment and recovery actions.</w:t>
      </w:r>
    </w:p>
    <w:p>
      <w:pPr>
        <w:pStyle w:val="Heading1"/>
      </w:pPr>
      <w:r>
        <w:t>2. Lab Setup and Safety</w:t>
      </w:r>
    </w:p>
    <w:p>
      <w:r>
        <w:t>• Instructor-provided virtual machine(s), Packet Tracer, or another approved training environment.</w:t>
      </w:r>
    </w:p>
    <w:p>
      <w:r>
        <w:t>• Use only fictional data and authorized systems.</w:t>
      </w:r>
    </w:p>
    <w:p>
      <w:r>
        <w:t>• Do not scan, attack, or modify real university systems.</w:t>
      </w:r>
    </w:p>
    <w:p>
      <w:r>
        <w:t>• Record observations clearly and preserve evidence without changing original files.</w:t>
      </w:r>
    </w:p>
    <w:p>
      <w:pPr>
        <w:pStyle w:val="Heading1"/>
      </w:pPr>
      <w:r>
        <w:t>3. Fictional Incident Scenario</w:t>
      </w:r>
    </w:p>
    <w:p>
      <w:r>
        <w:t>Nugaal University discovers that an attacker has gained unauthorized access to a student information system. The attacker may have accessed student names, identification numbers, contact details, examination records, and limited staff information. The attacker also modified several student grades and caused the student portal to become temporarily unavailable.</w:t>
      </w:r>
    </w:p>
    <w:p>
      <w:pPr>
        <w:pStyle w:val="Heading1"/>
      </w:pPr>
      <w:r>
        <w:t>4. Impact Map</w:t>
      </w:r>
    </w:p>
    <w:p>
      <w:r>
        <w:t>Immediate consequences occur directly after the breach; secondary consequences develop as a result of the original incident.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
              <w:rPr>
                <w:b/>
              </w:rPr>
              <w:t>Impact Area</w:t>
            </w:r>
          </w:p>
        </w:tc>
        <w:tc>
          <w:tcPr>
            <w:tcW w:type="dxa" w:w="2484"/>
            <w:shd w:fill="D9EAF7"/>
          </w:tcPr>
          <w:p>
            <w:r/>
            <w:r>
              <w:rPr>
                <w:b/>
              </w:rPr>
              <w:t>Immediate Consequences</w:t>
            </w:r>
          </w:p>
        </w:tc>
        <w:tc>
          <w:tcPr>
            <w:tcW w:type="dxa" w:w="2484"/>
            <w:shd w:fill="D9EAF7"/>
          </w:tcPr>
          <w:p>
            <w:r/>
            <w:r>
              <w:rPr>
                <w:b/>
              </w:rPr>
              <w:t>Secondary Consequences</w:t>
            </w:r>
          </w:p>
        </w:tc>
        <w:tc>
          <w:tcPr>
            <w:tcW w:type="dxa" w:w="2484"/>
            <w:shd w:fill="D9EAF7"/>
          </w:tcPr>
          <w:p>
            <w:r/>
            <w:r>
              <w:rPr>
                <w:b/>
              </w:rPr>
              <w:t>Severity</w:t>
            </w:r>
          </w:p>
        </w:tc>
      </w:tr>
      <w:tr>
        <w:tc>
          <w:tcPr>
            <w:tcW w:type="dxa" w:w="2484"/>
          </w:tcPr>
          <w:p>
            <w:r/>
            <w:r>
              <w:rPr>
                <w:b w:val="0"/>
              </w:rPr>
              <w:t>Confidentiality</w:t>
            </w:r>
          </w:p>
        </w:tc>
        <w:tc>
          <w:tcPr>
            <w:tcW w:type="dxa" w:w="2484"/>
          </w:tcPr>
          <w:p>
            <w:r/>
            <w:r>
              <w:rPr>
                <w:b w:val="0"/>
              </w:rPr>
              <w:t>Unauthorized access to student and staff records.</w:t>
            </w:r>
          </w:p>
        </w:tc>
        <w:tc>
          <w:tcPr>
            <w:tcW w:type="dxa" w:w="2484"/>
          </w:tcPr>
          <w:p>
            <w:r/>
            <w:r>
              <w:rPr>
                <w:b w:val="0"/>
              </w:rPr>
              <w:t>Privacy complaints, possible identity theft, loss of trust, and legal or regulatory concerns.</w:t>
            </w:r>
          </w:p>
        </w:tc>
        <w:tc>
          <w:tcPr>
            <w:tcW w:type="dxa" w:w="2484"/>
          </w:tcPr>
          <w:p>
            <w:r/>
            <w:r>
              <w:rPr>
                <w:b w:val="0"/>
              </w:rPr>
              <w:t>High</w:t>
            </w:r>
          </w:p>
        </w:tc>
      </w:tr>
      <w:tr>
        <w:tc>
          <w:tcPr>
            <w:tcW w:type="dxa" w:w="2484"/>
          </w:tcPr>
          <w:p>
            <w:r/>
            <w:r>
              <w:rPr>
                <w:b w:val="0"/>
              </w:rPr>
              <w:t>Integrity</w:t>
            </w:r>
          </w:p>
        </w:tc>
        <w:tc>
          <w:tcPr>
            <w:tcW w:type="dxa" w:w="2484"/>
          </w:tcPr>
          <w:p>
            <w:r/>
            <w:r>
              <w:rPr>
                <w:b w:val="0"/>
              </w:rPr>
              <w:t>Some examination grades and student records are changed.</w:t>
            </w:r>
          </w:p>
        </w:tc>
        <w:tc>
          <w:tcPr>
            <w:tcW w:type="dxa" w:w="2484"/>
          </w:tcPr>
          <w:p>
            <w:r/>
            <w:r>
              <w:rPr>
                <w:b w:val="0"/>
              </w:rPr>
              <w:t>Incorrect academic decisions, appeals, rechecking, and damage to academic credibility.</w:t>
            </w:r>
          </w:p>
        </w:tc>
        <w:tc>
          <w:tcPr>
            <w:tcW w:type="dxa" w:w="2484"/>
          </w:tcPr>
          <w:p>
            <w:r/>
            <w:r>
              <w:rPr>
                <w:b w:val="0"/>
              </w:rPr>
              <w:t>High</w:t>
            </w:r>
          </w:p>
        </w:tc>
      </w:tr>
      <w:tr>
        <w:tc>
          <w:tcPr>
            <w:tcW w:type="dxa" w:w="2484"/>
          </w:tcPr>
          <w:p>
            <w:r/>
            <w:r>
              <w:rPr>
                <w:b w:val="0"/>
              </w:rPr>
              <w:t>Availability</w:t>
            </w:r>
          </w:p>
        </w:tc>
        <w:tc>
          <w:tcPr>
            <w:tcW w:type="dxa" w:w="2484"/>
          </w:tcPr>
          <w:p>
            <w:r/>
            <w:r>
              <w:rPr>
                <w:b w:val="0"/>
              </w:rPr>
              <w:t>Student portal and registration services become unavailable.</w:t>
            </w:r>
          </w:p>
        </w:tc>
        <w:tc>
          <w:tcPr>
            <w:tcW w:type="dxa" w:w="2484"/>
          </w:tcPr>
          <w:p>
            <w:r/>
            <w:r>
              <w:rPr>
                <w:b w:val="0"/>
              </w:rPr>
              <w:t>Missed deadlines, delayed services, increased staff workload, and student frustration.</w:t>
            </w:r>
          </w:p>
        </w:tc>
        <w:tc>
          <w:tcPr>
            <w:tcW w:type="dxa" w:w="2484"/>
          </w:tcPr>
          <w:p>
            <w:r/>
            <w:r>
              <w:rPr>
                <w:b w:val="0"/>
              </w:rPr>
              <w:t>High</w:t>
            </w:r>
          </w:p>
        </w:tc>
      </w:tr>
      <w:tr>
        <w:tc>
          <w:tcPr>
            <w:tcW w:type="dxa" w:w="2484"/>
          </w:tcPr>
          <w:p>
            <w:r/>
            <w:r>
              <w:rPr>
                <w:b w:val="0"/>
              </w:rPr>
              <w:t>Financial</w:t>
            </w:r>
          </w:p>
        </w:tc>
        <w:tc>
          <w:tcPr>
            <w:tcW w:type="dxa" w:w="2484"/>
          </w:tcPr>
          <w:p>
            <w:r/>
            <w:r>
              <w:rPr>
                <w:b w:val="0"/>
              </w:rPr>
              <w:t>Emergency investigation and response costs arise.</w:t>
            </w:r>
          </w:p>
        </w:tc>
        <w:tc>
          <w:tcPr>
            <w:tcW w:type="dxa" w:w="2484"/>
          </w:tcPr>
          <w:p>
            <w:r/>
            <w:r>
              <w:rPr>
                <w:b w:val="0"/>
              </w:rPr>
              <w:t>Possible compensation, legal expenses, recovery costs, and reduced future enrollment.</w:t>
            </w:r>
          </w:p>
        </w:tc>
        <w:tc>
          <w:tcPr>
            <w:tcW w:type="dxa" w:w="2484"/>
          </w:tcPr>
          <w:p>
            <w:r/>
            <w:r>
              <w:rPr>
                <w:b w:val="0"/>
              </w:rPr>
              <w:t>Medium–High</w:t>
            </w:r>
          </w:p>
        </w:tc>
      </w:tr>
      <w:tr>
        <w:tc>
          <w:tcPr>
            <w:tcW w:type="dxa" w:w="2484"/>
          </w:tcPr>
          <w:p>
            <w:r/>
            <w:r>
              <w:rPr>
                <w:b w:val="0"/>
              </w:rPr>
              <w:t>Reputation</w:t>
            </w:r>
          </w:p>
        </w:tc>
        <w:tc>
          <w:tcPr>
            <w:tcW w:type="dxa" w:w="2484"/>
          </w:tcPr>
          <w:p>
            <w:r/>
            <w:r>
              <w:rPr>
                <w:b w:val="0"/>
              </w:rPr>
              <w:t>Students and staff learn that a breach occurred.</w:t>
            </w:r>
          </w:p>
        </w:tc>
        <w:tc>
          <w:tcPr>
            <w:tcW w:type="dxa" w:w="2484"/>
          </w:tcPr>
          <w:p>
            <w:r/>
            <w:r>
              <w:rPr>
                <w:b w:val="0"/>
              </w:rPr>
              <w:t>Negative public attention, reduced confidence, and damage to partnerships.</w:t>
            </w:r>
          </w:p>
        </w:tc>
        <w:tc>
          <w:tcPr>
            <w:tcW w:type="dxa" w:w="2484"/>
          </w:tcPr>
          <w:p>
            <w:r/>
            <w:r>
              <w:rPr>
                <w:b w:val="0"/>
              </w:rPr>
              <w:t>High</w:t>
            </w:r>
          </w:p>
        </w:tc>
      </w:tr>
      <w:tr>
        <w:tc>
          <w:tcPr>
            <w:tcW w:type="dxa" w:w="2484"/>
          </w:tcPr>
          <w:p>
            <w:r/>
            <w:r>
              <w:rPr>
                <w:b w:val="0"/>
              </w:rPr>
              <w:t>Operational</w:t>
            </w:r>
          </w:p>
        </w:tc>
        <w:tc>
          <w:tcPr>
            <w:tcW w:type="dxa" w:w="2484"/>
          </w:tcPr>
          <w:p>
            <w:r/>
            <w:r>
              <w:rPr>
                <w:b w:val="0"/>
              </w:rPr>
              <w:t>IT staff interrupt normal work to investigate and contain the incident.</w:t>
            </w:r>
          </w:p>
        </w:tc>
        <w:tc>
          <w:tcPr>
            <w:tcW w:type="dxa" w:w="2484"/>
          </w:tcPr>
          <w:p>
            <w:r/>
            <w:r>
              <w:rPr>
                <w:b w:val="0"/>
              </w:rPr>
              <w:t>Delayed projects, reduced productivity, and manual processing of services.</w:t>
            </w:r>
          </w:p>
        </w:tc>
        <w:tc>
          <w:tcPr>
            <w:tcW w:type="dxa" w:w="2484"/>
          </w:tcPr>
          <w:p>
            <w:r/>
            <w:r>
              <w:rPr>
                <w:b w:val="0"/>
              </w:rPr>
              <w:t>Medium–High</w:t>
            </w:r>
          </w:p>
        </w:tc>
      </w:tr>
    </w:tbl>
    <w:p>
      <w:pPr>
        <w:pStyle w:val="Heading1"/>
      </w:pPr>
      <w:r>
        <w:t>5. Affected Users and Stakeholders</w:t>
      </w:r>
    </w:p>
    <w:tbl>
      <w:tblPr>
        <w:tblStyle w:val="TableGrid"/>
        <w:tblW w:type="auto" w:w="0"/>
        <w:jc w:val="center"/>
        <w:tblLook w:firstColumn="1" w:firstRow="1" w:lastColumn="0" w:lastRow="0" w:noHBand="0" w:noVBand="1" w:val="04A0"/>
      </w:tblPr>
      <w:tblGrid>
        <w:gridCol w:w="4968"/>
        <w:gridCol w:w="4968"/>
      </w:tblGrid>
      <w:tr>
        <w:tc>
          <w:tcPr>
            <w:tcW w:type="dxa" w:w="4968"/>
            <w:shd w:fill="E2F0D9"/>
          </w:tcPr>
          <w:p>
            <w:r/>
            <w:r>
              <w:rPr>
                <w:b/>
              </w:rPr>
              <w:t>Affected User/Stakeholder</w:t>
            </w:r>
          </w:p>
        </w:tc>
        <w:tc>
          <w:tcPr>
            <w:tcW w:type="dxa" w:w="4968"/>
            <w:shd w:fill="E2F0D9"/>
          </w:tcPr>
          <w:p>
            <w:r/>
            <w:r>
              <w:rPr>
                <w:b/>
              </w:rPr>
              <w:t>Potential Effect</w:t>
            </w:r>
          </w:p>
        </w:tc>
      </w:tr>
      <w:tr>
        <w:tc>
          <w:tcPr>
            <w:tcW w:type="dxa" w:w="4968"/>
          </w:tcPr>
          <w:p>
            <w:r/>
            <w:r>
              <w:rPr>
                <w:b w:val="0"/>
              </w:rPr>
              <w:t>Students</w:t>
            </w:r>
          </w:p>
        </w:tc>
        <w:tc>
          <w:tcPr>
            <w:tcW w:type="dxa" w:w="4968"/>
          </w:tcPr>
          <w:p>
            <w:r/>
            <w:r>
              <w:rPr>
                <w:b w:val="0"/>
              </w:rPr>
              <w:t>Personal data may be exposed; grades or registration records may be incorrect; portal access may be interrupted.</w:t>
            </w:r>
          </w:p>
        </w:tc>
      </w:tr>
      <w:tr>
        <w:tc>
          <w:tcPr>
            <w:tcW w:type="dxa" w:w="4968"/>
          </w:tcPr>
          <w:p>
            <w:r/>
            <w:r>
              <w:rPr>
                <w:b w:val="0"/>
              </w:rPr>
              <w:t>Teaching staff</w:t>
            </w:r>
          </w:p>
        </w:tc>
        <w:tc>
          <w:tcPr>
            <w:tcW w:type="dxa" w:w="4968"/>
          </w:tcPr>
          <w:p>
            <w:r/>
            <w:r>
              <w:rPr>
                <w:b w:val="0"/>
              </w:rPr>
              <w:t>May need to verify grades and respond to student questions.</w:t>
            </w:r>
          </w:p>
        </w:tc>
      </w:tr>
      <w:tr>
        <w:tc>
          <w:tcPr>
            <w:tcW w:type="dxa" w:w="4968"/>
          </w:tcPr>
          <w:p>
            <w:r/>
            <w:r>
              <w:rPr>
                <w:b w:val="0"/>
              </w:rPr>
              <w:t>Registrar and academic administration</w:t>
            </w:r>
          </w:p>
        </w:tc>
        <w:tc>
          <w:tcPr>
            <w:tcW w:type="dxa" w:w="4968"/>
          </w:tcPr>
          <w:p>
            <w:r/>
            <w:r>
              <w:rPr>
                <w:b w:val="0"/>
              </w:rPr>
              <w:t>Must correct records, manage appeals, and confirm data accuracy.</w:t>
            </w:r>
          </w:p>
        </w:tc>
      </w:tr>
      <w:tr>
        <w:tc>
          <w:tcPr>
            <w:tcW w:type="dxa" w:w="4968"/>
          </w:tcPr>
          <w:p>
            <w:r/>
            <w:r>
              <w:rPr>
                <w:b w:val="0"/>
              </w:rPr>
              <w:t>Information Technology staff</w:t>
            </w:r>
          </w:p>
        </w:tc>
        <w:tc>
          <w:tcPr>
            <w:tcW w:type="dxa" w:w="4968"/>
          </w:tcPr>
          <w:p>
            <w:r/>
            <w:r>
              <w:rPr>
                <w:b w:val="0"/>
              </w:rPr>
              <w:t>Must investigate, contain, restore systems, reset credentials, and monitor activity.</w:t>
            </w:r>
          </w:p>
        </w:tc>
      </w:tr>
      <w:tr>
        <w:tc>
          <w:tcPr>
            <w:tcW w:type="dxa" w:w="4968"/>
          </w:tcPr>
          <w:p>
            <w:r/>
            <w:r>
              <w:rPr>
                <w:b w:val="0"/>
              </w:rPr>
              <w:t>University management</w:t>
            </w:r>
          </w:p>
        </w:tc>
        <w:tc>
          <w:tcPr>
            <w:tcW w:type="dxa" w:w="4968"/>
          </w:tcPr>
          <w:p>
            <w:r/>
            <w:r>
              <w:rPr>
                <w:b w:val="0"/>
              </w:rPr>
              <w:t>Must coordinate communication, risk decisions, legal responses, and public statements.</w:t>
            </w:r>
          </w:p>
        </w:tc>
      </w:tr>
      <w:tr>
        <w:tc>
          <w:tcPr>
            <w:tcW w:type="dxa" w:w="4968"/>
          </w:tcPr>
          <w:p>
            <w:r/>
            <w:r>
              <w:rPr>
                <w:b w:val="0"/>
              </w:rPr>
              <w:t>Finance and procurement teams</w:t>
            </w:r>
          </w:p>
        </w:tc>
        <w:tc>
          <w:tcPr>
            <w:tcW w:type="dxa" w:w="4968"/>
          </w:tcPr>
          <w:p>
            <w:r/>
            <w:r>
              <w:rPr>
                <w:b w:val="0"/>
              </w:rPr>
              <w:t>May handle response expenses, losses, and vendor coordination.</w:t>
            </w:r>
          </w:p>
        </w:tc>
      </w:tr>
      <w:tr>
        <w:tc>
          <w:tcPr>
            <w:tcW w:type="dxa" w:w="4968"/>
          </w:tcPr>
          <w:p>
            <w:r/>
            <w:r>
              <w:rPr>
                <w:b w:val="0"/>
              </w:rPr>
              <w:t>Parents or sponsors</w:t>
            </w:r>
          </w:p>
        </w:tc>
        <w:tc>
          <w:tcPr>
            <w:tcW w:type="dxa" w:w="4968"/>
          </w:tcPr>
          <w:p>
            <w:r/>
            <w:r>
              <w:rPr>
                <w:b w:val="0"/>
              </w:rPr>
              <w:t>May be affected indirectly if student progress, fees, or academic information is delayed.</w:t>
            </w:r>
          </w:p>
        </w:tc>
      </w:tr>
    </w:tbl>
    <w:p>
      <w:pPr>
        <w:pStyle w:val="Heading1"/>
      </w:pPr>
      <w:r>
        <w:t>6. Business Functions Affected</w:t>
      </w:r>
    </w:p>
    <w:tbl>
      <w:tblPr>
        <w:tblStyle w:val="TableGrid"/>
        <w:tblW w:type="auto" w:w="0"/>
        <w:jc w:val="center"/>
        <w:tblLook w:firstColumn="1" w:firstRow="1" w:lastColumn="0" w:lastRow="0" w:noHBand="0" w:noVBand="1" w:val="04A0"/>
      </w:tblPr>
      <w:tblGrid>
        <w:gridCol w:w="4968"/>
        <w:gridCol w:w="4968"/>
      </w:tblGrid>
      <w:tr>
        <w:tc>
          <w:tcPr>
            <w:tcW w:type="dxa" w:w="4968"/>
            <w:shd w:fill="FCE4D6"/>
          </w:tcPr>
          <w:p>
            <w:r/>
            <w:r>
              <w:rPr>
                <w:b/>
              </w:rPr>
              <w:t>Business Function</w:t>
            </w:r>
          </w:p>
        </w:tc>
        <w:tc>
          <w:tcPr>
            <w:tcW w:type="dxa" w:w="4968"/>
            <w:shd w:fill="FCE4D6"/>
          </w:tcPr>
          <w:p>
            <w:r/>
            <w:r>
              <w:rPr>
                <w:b/>
              </w:rPr>
              <w:t>Effect of the Incident</w:t>
            </w:r>
          </w:p>
        </w:tc>
      </w:tr>
      <w:tr>
        <w:tc>
          <w:tcPr>
            <w:tcW w:type="dxa" w:w="4968"/>
          </w:tcPr>
          <w:p>
            <w:r/>
            <w:r>
              <w:rPr>
                <w:b w:val="0"/>
              </w:rPr>
              <w:t>Student registration</w:t>
            </w:r>
          </w:p>
        </w:tc>
        <w:tc>
          <w:tcPr>
            <w:tcW w:type="dxa" w:w="4968"/>
          </w:tcPr>
          <w:p>
            <w:r/>
            <w:r>
              <w:rPr>
                <w:b w:val="0"/>
              </w:rPr>
              <w:t>Students may be unable to register, add courses, or update records.</w:t>
            </w:r>
          </w:p>
        </w:tc>
      </w:tr>
      <w:tr>
        <w:tc>
          <w:tcPr>
            <w:tcW w:type="dxa" w:w="4968"/>
          </w:tcPr>
          <w:p>
            <w:r/>
            <w:r>
              <w:rPr>
                <w:b w:val="0"/>
              </w:rPr>
              <w:t>Examination and grading</w:t>
            </w:r>
          </w:p>
        </w:tc>
        <w:tc>
          <w:tcPr>
            <w:tcW w:type="dxa" w:w="4968"/>
          </w:tcPr>
          <w:p>
            <w:r/>
            <w:r>
              <w:rPr>
                <w:b w:val="0"/>
              </w:rPr>
              <w:t>Changed or unavailable grades can affect progression, graduation, and appeals.</w:t>
            </w:r>
          </w:p>
        </w:tc>
      </w:tr>
      <w:tr>
        <w:tc>
          <w:tcPr>
            <w:tcW w:type="dxa" w:w="4968"/>
          </w:tcPr>
          <w:p>
            <w:r/>
            <w:r>
              <w:rPr>
                <w:b w:val="0"/>
              </w:rPr>
              <w:t>Student support services</w:t>
            </w:r>
          </w:p>
        </w:tc>
        <w:tc>
          <w:tcPr>
            <w:tcW w:type="dxa" w:w="4968"/>
          </w:tcPr>
          <w:p>
            <w:r/>
            <w:r>
              <w:rPr>
                <w:b w:val="0"/>
              </w:rPr>
              <w:t>Staff may be unable to access accurate records.</w:t>
            </w:r>
          </w:p>
        </w:tc>
      </w:tr>
      <w:tr>
        <w:tc>
          <w:tcPr>
            <w:tcW w:type="dxa" w:w="4968"/>
          </w:tcPr>
          <w:p>
            <w:r/>
            <w:r>
              <w:rPr>
                <w:b w:val="0"/>
              </w:rPr>
              <w:t>Admissions</w:t>
            </w:r>
          </w:p>
        </w:tc>
        <w:tc>
          <w:tcPr>
            <w:tcW w:type="dxa" w:w="4968"/>
          </w:tcPr>
          <w:p>
            <w:r/>
            <w:r>
              <w:rPr>
                <w:b w:val="0"/>
              </w:rPr>
              <w:t>Applications and applicant records may be delayed or exposed.</w:t>
            </w:r>
          </w:p>
        </w:tc>
      </w:tr>
      <w:tr>
        <w:tc>
          <w:tcPr>
            <w:tcW w:type="dxa" w:w="4968"/>
          </w:tcPr>
          <w:p>
            <w:r/>
            <w:r>
              <w:rPr>
                <w:b w:val="0"/>
              </w:rPr>
              <w:t>Finance and fee management</w:t>
            </w:r>
          </w:p>
        </w:tc>
        <w:tc>
          <w:tcPr>
            <w:tcW w:type="dxa" w:w="4968"/>
          </w:tcPr>
          <w:p>
            <w:r/>
            <w:r>
              <w:rPr>
                <w:b w:val="0"/>
              </w:rPr>
              <w:t>Billing, payment records, or student account services may be interrupted.</w:t>
            </w:r>
          </w:p>
        </w:tc>
      </w:tr>
      <w:tr>
        <w:tc>
          <w:tcPr>
            <w:tcW w:type="dxa" w:w="4968"/>
          </w:tcPr>
          <w:p>
            <w:r/>
            <w:r>
              <w:rPr>
                <w:b w:val="0"/>
              </w:rPr>
              <w:t>Reporting and compliance</w:t>
            </w:r>
          </w:p>
        </w:tc>
        <w:tc>
          <w:tcPr>
            <w:tcW w:type="dxa" w:w="4968"/>
          </w:tcPr>
          <w:p>
            <w:r/>
            <w:r>
              <w:rPr>
                <w:b w:val="0"/>
              </w:rPr>
              <w:t>Accurate reports may be unavailable until records are verified.</w:t>
            </w:r>
          </w:p>
        </w:tc>
      </w:tr>
      <w:tr>
        <w:tc>
          <w:tcPr>
            <w:tcW w:type="dxa" w:w="4968"/>
          </w:tcPr>
          <w:p>
            <w:r/>
            <w:r>
              <w:rPr>
                <w:b w:val="0"/>
              </w:rPr>
              <w:t>IT operations</w:t>
            </w:r>
          </w:p>
        </w:tc>
        <w:tc>
          <w:tcPr>
            <w:tcW w:type="dxa" w:w="4968"/>
          </w:tcPr>
          <w:p>
            <w:r/>
            <w:r>
              <w:rPr>
                <w:b w:val="0"/>
              </w:rPr>
              <w:t>Normal support work is replaced by investigation and recovery.</w:t>
            </w:r>
          </w:p>
        </w:tc>
      </w:tr>
    </w:tbl>
    <w:p>
      <w:pPr>
        <w:pStyle w:val="Heading1"/>
      </w:pPr>
      <w:r>
        <w:t>7. Three Containment Actions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DCF8"/>
          </w:tcPr>
          <w:p>
            <w:r/>
            <w:r>
              <w:rPr>
                <w:b/>
              </w:rPr>
              <w:t>Containment Action</w:t>
            </w:r>
          </w:p>
        </w:tc>
        <w:tc>
          <w:tcPr>
            <w:tcW w:type="dxa" w:w="3312"/>
            <w:shd w:fill="EADCF8"/>
          </w:tcPr>
          <w:p>
            <w:r/>
            <w:r>
              <w:rPr>
                <w:b/>
              </w:rPr>
              <w:t>What to Do</w:t>
            </w:r>
          </w:p>
        </w:tc>
        <w:tc>
          <w:tcPr>
            <w:tcW w:type="dxa" w:w="3312"/>
            <w:shd w:fill="EADCF8"/>
          </w:tcPr>
          <w:p>
            <w:r/>
            <w:r>
              <w:rPr>
                <w:b/>
              </w:rPr>
              <w:t>Purpose</w:t>
            </w:r>
          </w:p>
        </w:tc>
      </w:tr>
      <w:tr>
        <w:tc>
          <w:tcPr>
            <w:tcW w:type="dxa" w:w="3312"/>
          </w:tcPr>
          <w:p>
            <w:r/>
            <w:r>
              <w:rPr>
                <w:b w:val="0"/>
              </w:rPr>
              <w:t>Isolate affected systems</w:t>
            </w:r>
          </w:p>
        </w:tc>
        <w:tc>
          <w:tcPr>
            <w:tcW w:type="dxa" w:w="3312"/>
          </w:tcPr>
          <w:p>
            <w:r/>
            <w:r>
              <w:rPr>
                <w:b w:val="0"/>
              </w:rPr>
              <w:t>Disconnect the compromised server or place it in a controlled quarantine network.</w:t>
            </w:r>
          </w:p>
        </w:tc>
        <w:tc>
          <w:tcPr>
            <w:tcW w:type="dxa" w:w="3312"/>
          </w:tcPr>
          <w:p>
            <w:r/>
            <w:r>
              <w:rPr>
                <w:b w:val="0"/>
              </w:rPr>
              <w:t>Limits spread and prevents additional damage.</w:t>
            </w:r>
          </w:p>
        </w:tc>
      </w:tr>
      <w:tr>
        <w:tc>
          <w:tcPr>
            <w:tcW w:type="dxa" w:w="3312"/>
          </w:tcPr>
          <w:p>
            <w:r/>
            <w:r>
              <w:rPr>
                <w:b w:val="0"/>
              </w:rPr>
              <w:t>Disable and secure compromised accounts</w:t>
            </w:r>
          </w:p>
        </w:tc>
        <w:tc>
          <w:tcPr>
            <w:tcW w:type="dxa" w:w="3312"/>
          </w:tcPr>
          <w:p>
            <w:r/>
            <w:r>
              <w:rPr>
                <w:b w:val="0"/>
              </w:rPr>
              <w:t>Disable suspicious accounts, force password resets, revoke active sessions, and enable MFA where available.</w:t>
            </w:r>
          </w:p>
        </w:tc>
        <w:tc>
          <w:tcPr>
            <w:tcW w:type="dxa" w:w="3312"/>
          </w:tcPr>
          <w:p>
            <w:r/>
            <w:r>
              <w:rPr>
                <w:b w:val="0"/>
              </w:rPr>
              <w:t>Stops continued misuse of stolen credentials.</w:t>
            </w:r>
          </w:p>
        </w:tc>
      </w:tr>
      <w:tr>
        <w:tc>
          <w:tcPr>
            <w:tcW w:type="dxa" w:w="3312"/>
          </w:tcPr>
          <w:p>
            <w:r/>
            <w:r>
              <w:rPr>
                <w:b w:val="0"/>
              </w:rPr>
              <w:t>Preserve evidence and increase monitoring</w:t>
            </w:r>
          </w:p>
        </w:tc>
        <w:tc>
          <w:tcPr>
            <w:tcW w:type="dxa" w:w="3312"/>
          </w:tcPr>
          <w:p>
            <w:r/>
            <w:r>
              <w:rPr>
                <w:b w:val="0"/>
              </w:rPr>
              <w:t>Collect logs, suspicious files, timestamps, and authorized disk or memory images; monitor related systems.</w:t>
            </w:r>
          </w:p>
        </w:tc>
        <w:tc>
          <w:tcPr>
            <w:tcW w:type="dxa" w:w="3312"/>
          </w:tcPr>
          <w:p>
            <w:r/>
            <w:r>
              <w:rPr>
                <w:b w:val="0"/>
              </w:rPr>
              <w:t>Supports investigation and identifies related threats.</w:t>
            </w:r>
          </w:p>
        </w:tc>
      </w:tr>
    </w:tbl>
    <w:p>
      <w:pPr>
        <w:pStyle w:val="Heading1"/>
      </w:pPr>
      <w:r>
        <w:t>8. Student Questions: Model Answers</w:t>
      </w:r>
    </w:p>
    <w:p>
      <w:pPr>
        <w:pStyle w:val="Heading2"/>
      </w:pPr>
      <w:r>
        <w:t>Question 5: What information is sensitive?</w:t>
      </w:r>
    </w:p>
    <w:p>
      <w:r>
        <w:t>Sensitive information includes student names linked to identification numbers, contact details, academic grades, examination results, registration records, staff information, account credentials, financial or fee information, and any other data that could cause harm, fraud, embarrassment, or privacy violations if exposed or altered.</w:t>
      </w:r>
    </w:p>
    <w:p>
      <w:pPr>
        <w:pStyle w:val="Heading2"/>
      </w:pPr>
      <w:r>
        <w:t>Question 6: What service should be restored first?</w:t>
      </w:r>
    </w:p>
    <w:p>
      <w:r>
        <w:t>After containment and safety checks, the student information and registration portal should receive high priority because it supports essential university operations. If the grade database may be inaccurate, it must first be restored from a trusted and verified backup or copy before academic decisions are made. Recovery should prioritize integrity and availability, not simply bringing a system online quickly.</w:t>
      </w:r>
    </w:p>
    <w:p>
      <w:pPr>
        <w:pStyle w:val="Heading2"/>
      </w:pPr>
      <w:r>
        <w:t>Question 7: What evidence should be preserved?</w:t>
      </w:r>
    </w:p>
    <w:p>
      <w:r>
        <w:t>Preserve authentication and application logs, firewall and network-device logs, endpoint alerts, suspicious files, relevant emails, timestamps, affected database records, system configurations, access-control changes, and—when authorized—disk or memory images. Record who collected each item, when it was collected, how it was stored, and what actions were taken to maintain evidence integrity.</w:t>
      </w:r>
    </w:p>
    <w:p>
      <w:pPr>
        <w:pStyle w:val="Heading1"/>
      </w:pPr>
      <w:r>
        <w:t>9. Short Incident Summary</w:t>
      </w:r>
    </w:p>
    <w:p>
      <w:r>
        <w:t>Nugaal University experienced a fictional cyber incident involving unauthorized access to a student information system. Confidentiality was affected because personal and academic information may have been exposed; integrity was affected because some grades or records were modified; and availability was affected because the student portal became temporarily unavailable. Students, teaching staff, administrative offices, management, and IT personnel were affected. The recommended response is to isolate affected systems, secure compromised accounts, preserve evidence, and monitor related systems. Recovery should use trusted, verified services and accurate academic records, followed by clear communication and improved security controls.</w:t>
      </w:r>
    </w:p>
    <w:p>
      <w:pPr>
        <w:pStyle w:val="Heading1"/>
      </w:pPr>
      <w:r>
        <w:t>10. Deliverable Checklist</w:t>
      </w:r>
    </w:p>
    <w:p>
      <w:r>
        <w:t>☐ Impact map showing immediate and secondary consequences</w:t>
      </w:r>
    </w:p>
    <w:p>
      <w:r>
        <w:t>☐ Affected users and stakeholders</w:t>
      </w:r>
    </w:p>
    <w:p>
      <w:r>
        <w:t>☐ Affected business functions</w:t>
      </w:r>
    </w:p>
    <w:p>
      <w:r>
        <w:t>☐ Three containment actions</w:t>
      </w:r>
    </w:p>
    <w:p>
      <w:r>
        <w:t>☐ Sensitive information identification</w:t>
      </w:r>
    </w:p>
    <w:p>
      <w:r>
        <w:t>☐ Priority restoration service</w:t>
      </w:r>
    </w:p>
    <w:p>
      <w:r>
        <w:t>☐ Evidence-preservation list</w:t>
      </w:r>
    </w:p>
    <w:p>
      <w:r>
        <w:t>☐ Short incident summary</w:t>
      </w:r>
    </w:p>
    <w:p>
      <w:pPr>
        <w:pStyle w:val="Heading1"/>
      </w:pPr>
      <w:r>
        <w:t>11. Conclusion</w:t>
      </w:r>
    </w:p>
    <w:p>
      <w:r>
        <w:t>Impact mapping helps an organization understand how an incident affects people, services, data accuracy, finances, reputation, and operations. A strong response contains the incident, preserves reliable evidence, restores critical services carefully, and reduces the chance of recurrence.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