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  <w:jc w:val="center"/>
      </w:pPr>
      <w:r>
        <w:rPr>
          <w:b/>
          <w:bCs/>
          <w:color w:val="0F6E56"/>
          <w:sz w:val="56"/>
          <w:szCs w:val="56"/>
        </w:rPr>
        <w:t xml:space="preserve">Cahier des charges</w:t>
      </w:r>
    </w:p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Kwata Shop</w:t>
      </w:r>
    </w:p>
    <w:p>
      <w:pPr>
        <w:spacing w:after="1000"/>
        <w:jc w:val="center"/>
      </w:pPr>
      <w:r>
        <w:rPr>
          <w:color w:val="5F5E5A"/>
          <w:sz w:val="24"/>
          <w:szCs w:val="24"/>
        </w:rPr>
        <w:t xml:space="preserve">Marketplace multi-vendeurs — Cameroun et international</w:t>
      </w:r>
    </w:p>
    <w:p>
      <w:pPr>
        <w:jc w:val="center"/>
      </w:pPr>
      <w:r>
        <w:rPr>
          <w:color w:val="5F5E5A"/>
          <w:sz w:val="20"/>
          <w:szCs w:val="20"/>
        </w:rPr>
        <w:t xml:space="preserve">Version 1.0 — Septembre 2026</w:t>
      </w:r>
    </w:p>
    <w:p>
      <w:r>
        <w:br w:type="page"/>
      </w:r>
    </w:p>
    <w:p>
      <w:pPr>
        <w:pStyle w:val="Heading1"/>
        <w:spacing w:after="200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Contexte et objectifs du projet</w:t>
      </w:r>
    </w:p>
    <w:p>
      <w:pPr>
        <w:spacing w:after="140"/>
      </w:pPr>
      <w:r>
        <w:t xml:space="preserve">Kwata Shop est une marketplace multi-vendeurs destinee a connecter vendeurs, fabricants, grossistes, detaillants et acheteurs, au Cameroun puis a l'international. Le projet s'inspire des meilleures pratiques d'Alibaba, Made-in-China et Amazon, sans en etre une copie : il vise une identite visuelle, un modele economique et une experience utilisateur propres, adaptes aux realites du marche africain (Mobile Money, connectivite variable, confiance construite differemment selon les vendeurs).</w:t>
      </w:r>
    </w:p>
    <w:p>
      <w:pPr>
        <w:pStyle w:val="Heading2"/>
        <w:spacing w:after="120" w:before="280"/>
      </w:pPr>
      <w:r>
        <w:t xml:space="preserve">1.1 Objectifs principaux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Offrir une experience d'achat fluide et fiable pour le grand public, comme sur Amazon.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Permettre des echanges B2B (devis, negociation, vente en gros) comme sur Alibaba et Made-in-China.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Construire une identite de marque distincte et une experience optimisee pour le contexte camerounais et africain.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Poser une architecture technique solide, evolutive et securisee des la conception.</w:t>
      </w:r>
    </w:p>
    <w:p>
      <w:pPr>
        <w:pStyle w:val="Heading2"/>
        <w:spacing w:after="120" w:before="280"/>
      </w:pPr>
      <w:r>
        <w:t xml:space="preserve">1.2 Public cible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Acheteurs particuliers recherchant des produits au detail.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Grossistes et detaillants recherchant des fournisseurs et des prix de gros.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Fabricants et artisans locaux souhaitant vendre directement.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Vendeurs internationaux souhaitant toucher le marche camerounais et africain.</w:t>
      </w:r>
    </w:p>
    <w:p>
      <w:pPr>
        <w:pStyle w:val="Heading1"/>
        <w:spacing w:after="160" w:before="360"/>
      </w:pPr>
      <w:r>
        <w:t xml:space="preserve">2. Perimetre fonctionnel</w:t>
      </w:r>
    </w:p>
    <w:p>
      <w:pPr>
        <w:pStyle w:val="Heading2"/>
        <w:spacing w:after="120" w:before="280"/>
      </w:pPr>
      <w:r>
        <w:t xml:space="preserve">2.1 Fonctionnalites acheteurs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  <w:gridCol w:w="1600"/>
      </w:tblGrid>
      <w:tr>
        <w:trPr>
          <w:tblHeader/>
        </w:trPr>
        <w:tc>
          <w:tcPr>
            <w:tcW w:type="dxa" w:w="3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Fonctionnalite</w:t>
            </w:r>
          </w:p>
        </w:tc>
        <w:tc>
          <w:tcPr>
            <w:tcW w:type="dxa" w:w="5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Compte et connexion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Creation de compte, connexion securisee, recuperation de mot de passe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Recherche et filtres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Recherche par nom, categorie, marque, caracteristiques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Fiche produit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Photos, variantes, prix, stock, avis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Panier et liste de souhaits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Ajout au panier, sauvegarde pour plus tard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Commande et paiement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Commande unitaire, paiement Mobile Money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Suivi de commande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Statut de preparation, expedition, livraison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Avis et questions-reponses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Evaluation produits et vendeurs, messagerie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Devis et negociation B2B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Demande de devis, negociation de prix en gros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Commandes groupees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Achats collectifs a prix reduit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Comparateur de produits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Comparaison de plusieurs produits et vendeurs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Recherche par image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Recherche visuelle de produits similaires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</w:tr>
    </w:tbl>
    <w:p>
      <w:pPr>
        <w:pStyle w:val="Heading2"/>
        <w:spacing w:after="120" w:before="280"/>
      </w:pPr>
      <w:r>
        <w:t xml:space="preserve">2.2 Fonctionnalites vendeurs et fabricants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  <w:gridCol w:w="1600"/>
      </w:tblGrid>
      <w:tr>
        <w:trPr>
          <w:tblHeader/>
        </w:trPr>
        <w:tc>
          <w:tcPr>
            <w:tcW w:type="dxa" w:w="3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Fonctionnalite</w:t>
            </w:r>
          </w:p>
        </w:tc>
        <w:tc>
          <w:tcPr>
            <w:tcW w:type="dxa" w:w="5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Boutique personnalisee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Inscription, profil professionnel, informations entreprise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 catalogue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Ajout, modification, suppression de produits, variantes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 des stocks et prix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Suivi de stock, promotions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 des commandes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Traitement, expedition, historique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Statistiques de vente, commandes en attente, note moyenne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Verification flexible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Criteres de validation adaptes au type de vendeur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Messagerie acheteurs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Communication directe avec les clients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Vente au detail et en gros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Prix differencies selon la quantite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Devis et negociation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Reponse aux demandes de devis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Import/export catalogue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Chargement en masse des produits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Outils d'analyse avances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Recommandations pour ameliorer les ventes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</w:tr>
    </w:tbl>
    <w:p>
      <w:pPr>
        <w:pStyle w:val="Heading2"/>
        <w:spacing w:after="120" w:before="280"/>
      </w:pPr>
      <w:r>
        <w:t xml:space="preserve">2.3 Fonctionnalites administration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  <w:gridCol w:w="1600"/>
      </w:tblGrid>
      <w:tr>
        <w:trPr>
          <w:tblHeader/>
        </w:trPr>
        <w:tc>
          <w:tcPr>
            <w:tcW w:type="dxa" w:w="3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Fonctionnalite</w:t>
            </w:r>
          </w:p>
        </w:tc>
        <w:tc>
          <w:tcPr>
            <w:tcW w:type="dxa" w:w="5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 des utilisateurs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Validation, suspension, restriction des comptes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Moderation produits et avis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Controle des annonces, images, evaluations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 des categories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Creation et organisation des categories/sous-categories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 des commandes et paiements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Suivi des commissions, remboursements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 des litiges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Traitement des conflits acheteur-vendeur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Journal d'audit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Historique des actions administratives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 des roles et permissions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Administrateur, vendeur, acheteur, moderateur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Statistiques detaillees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Suivi des performances de la plateforme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 des publicites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Promotions et espaces sponsorises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</w:tr>
    </w:tbl>
    <w:p>
      <w:pPr>
        <w:pStyle w:val="Heading1"/>
        <w:spacing w:after="160" w:before="360"/>
      </w:pPr>
      <w:r>
        <w:t xml:space="preserve">3. Exigences non fonctionnelles</w:t>
      </w:r>
    </w:p>
    <w:p>
      <w:pPr>
        <w:pStyle w:val="Heading2"/>
        <w:spacing w:after="120" w:before="280"/>
      </w:pPr>
      <w:r>
        <w:t xml:space="preserve">3.1 Securite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Authentification securisee avec hachage des mots de passe (bcrypt ou argon2).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Authentification a deux facteurs pour les comptes sensibles (vendeurs, administrateurs).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Protection contre les injections SQL, XSS, CSRF et les tentatives de connexion automatisees.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 des roles et permissions appliquee au niveau de la base de donnees.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Validation stricte des donnees saisies et des fichiers envoyes.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Journal d'audit des actions administratives sensibles.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Sauvegardes regulieres et plan de restauration documente.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Mot de passe administrateur modifiable via l'interface, jamais expose dans le code source.</w:t>
      </w:r>
    </w:p>
    <w:p>
      <w:pPr>
        <w:pStyle w:val="Heading2"/>
        <w:spacing w:after="120" w:before="280"/>
      </w:pPr>
      <w:r>
        <w:t xml:space="preserve">3.2 Performance et disponibilite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Temps de chargement optimise, y compris sur connexion internet limitee.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Disponibilite continue avec sauvegardes automatisees.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Architecture evolutive capable d'absorber la croissance du nombre d'utilisateurs et de transactions.</w:t>
      </w:r>
    </w:p>
    <w:p>
      <w:pPr>
        <w:pStyle w:val="Heading2"/>
        <w:spacing w:after="120" w:before="280"/>
      </w:pPr>
      <w:r>
        <w:t xml:space="preserve">3.3 Utilisabilite et accessibilite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Interface responsive (smartphone, tablette, ordinateur).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Interface multilingue (francais et anglais au minimum).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 sombre et mode clair.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Accessibilite pour les personnes ayant des besoins particuliers.</w:t>
      </w:r>
    </w:p>
    <w:p>
      <w:pPr>
        <w:pStyle w:val="Heading1"/>
        <w:spacing w:after="160" w:before="360"/>
      </w:pPr>
      <w:r>
        <w:t xml:space="preserve">4. Paiements et logistique</w:t>
      </w:r>
    </w:p>
    <w:p>
      <w:pPr>
        <w:pStyle w:val="Heading2"/>
        <w:spacing w:after="120" w:before="280"/>
      </w:pPr>
      <w:r>
        <w:t xml:space="preserve">4.1 Paiements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Money (Orange Money, MTN MoMo) comme moyen de paiement principal.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Cartes bancaires et autres moyens de paiement selon les prestataires disponibles.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 des devises (franc CFA prioritaire, autres devises en V2).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Confirmation, suivi et remboursement des paiements.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Protection contre les paiements frauduleux.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Paiement securise avec conservation temporaire des fonds (escrow) : a evaluer selon le cadre juridique et le prestataire retenu.</w:t>
      </w:r>
    </w:p>
    <w:p>
      <w:pPr>
        <w:pStyle w:val="Heading2"/>
        <w:spacing w:after="120" w:before="280"/>
      </w:pPr>
      <w:r>
        <w:t xml:space="preserve">4.2 Livraison et logistique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 des adresses de livraison et calcul des frais.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Suivi des colis et gestion des livreurs partenaires.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Livraison a domicile ou en point relais.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 des commandes multi-vendeurs.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Evolution possible vers un reseau logistique propre a la plateforme.</w:t>
      </w:r>
    </w:p>
    <w:p>
      <w:pPr>
        <w:pStyle w:val="Heading1"/>
        <w:spacing w:after="160" w:before="360"/>
      </w:pPr>
      <w:r>
        <w:t xml:space="preserve">5. Architecture technique recommandee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200"/>
      </w:tblGrid>
      <w:tr>
        <w:trPr>
          <w:tblHeader/>
        </w:trPr>
        <w:tc>
          <w:tcPr>
            <w:tcW w:type="dxa" w:w="2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 recommandee</w:t>
            </w:r>
          </w:p>
        </w:tc>
        <w:tc>
          <w:tcPr>
            <w:tcW w:type="dxa" w:w="4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et base de donnees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(PostgreSQL, Auth, Storage)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Deja en place, reduit le temps de mise en oeuvre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Logique metier specifique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Fonctions Edge (Supabase Functions)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Calculs de commission, validation multi-vendeurs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web progressive (PWA)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Installable sur Android sans developpement natif separe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Paiement Mobile Money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Orange Money / MTN MoMo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Moyen de paiement principal du marche cible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Paiement carte / agregateur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CinetPay ou Notch Pay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Regroupe plusieurs moyens de paiement locaux et internationaux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Recherche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full-text search, puis Meilisearch si necessaire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Suffisant en V1, evolutif si le catalogue grandit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Hebergement frontend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Vercel ou Netlify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Gratuit au demarrage, deploiement continu</w:t>
            </w:r>
          </w:p>
        </w:tc>
      </w:tr>
    </w:tbl>
    <w:p>
      <w:pPr>
        <w:pStyle w:val="Heading1"/>
        <w:spacing w:after="160" w:before="360"/>
      </w:pPr>
      <w:r>
        <w:t xml:space="preserve">6. Feuille de route par etapes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600"/>
      </w:tblGrid>
      <w:tr>
        <w:trPr>
          <w:tblHeader/>
        </w:trPr>
        <w:tc>
          <w:tcPr>
            <w:tcW w:type="dxa" w:w="1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5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3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Analyse concurrentielle et cahier des charges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present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Concept et identite visuelle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Charte graphique, nom, logo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Maquettes des pages cles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Maquettes acheteur, vendeur, admin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technique detaillee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de base de donnees, choix techniques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Premiere version fonctionnelle (V1)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Catalogue, panier, commande, paiement Mobile Money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Espace vendeur et administration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Boutiques, validation, moderation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 de fonctionnement et de securite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Rapport de tests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Lancement pilote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Deploiement limite (une ville ou categorie)</w:t>
            </w:r>
          </w:p>
        </w:tc>
      </w:tr>
    </w:tbl>
    <w:p>
      <w:pPr>
        <w:pStyle w:val="Heading2"/>
        <w:spacing w:after="120" w:before="280"/>
      </w:pPr>
      <w:r>
        <w:t xml:space="preserve">6.1 Feuille de route V2 — consolidation B2B et confiance</w:t>
      </w:r>
    </w:p>
    <w:p>
      <w:pPr>
        <w:spacing w:after="140"/>
      </w:pPr>
      <w:r>
        <w:t xml:space="preserve">La table quotes existe deja dans le schema de base de donnees ; cette phase est surtout du code applicatif, pas une nouvelle architecture.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5600"/>
      </w:tblGrid>
      <w:tr>
        <w:trPr>
          <w:tblHeader/>
        </w:trPr>
        <w:tc>
          <w:tcPr>
            <w:tcW w:type="dxa" w:w="1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Priorite</w:t>
            </w:r>
          </w:p>
        </w:tc>
        <w:tc>
          <w:tcPr>
            <w:tcW w:type="dxa" w:w="3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Fonctionnalite</w:t>
            </w:r>
          </w:p>
        </w:tc>
        <w:tc>
          <w:tcPr>
            <w:tcW w:type="dxa" w:w="5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Devis et negociation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Demande de devis acheteur, reponse/contre-offre vendeur, conversion en commande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Vente en gros effective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Basculement automatique au prix de gros selon la quantite et min_wholesale_qty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Import/export catalogue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CSV traite par une fonction Edge, avec validation stricte des lignes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Commandes groupees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Nouvelle table group_orders ; declenchement de la commande a un seuil de participants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Comparateur de produits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Fonctionnalite frontend uniquement, sans nouvelle table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Multidevise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 exchange_rates mise a jour quotidiennement ; stockage toujours en XAF pour eviter les erreurs d'arrondi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Fidelite et affiliation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Tables loyalty_points et referrals ; calcul des points a la livraison d'une commande</w:t>
            </w:r>
          </w:p>
        </w:tc>
      </w:tr>
    </w:tbl>
    <w:p>
      <w:pPr>
        <w:pStyle w:val="Heading2"/>
        <w:spacing w:after="120" w:before="280"/>
      </w:pPr>
      <w:r>
        <w:t xml:space="preserve">6.2 Feuille de route V3 — passage a l'echelle et international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00"/>
      </w:tblGrid>
      <w:tr>
        <w:trPr>
          <w:tblHeader/>
        </w:trPr>
        <w:tc>
          <w:tcPr>
            <w:tcW w:type="dxa" w:w="3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Fonctionnalite</w:t>
            </w:r>
          </w:p>
        </w:tc>
        <w:tc>
          <w:tcPr>
            <w:tcW w:type="dxa" w:w="6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mobile native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Capacitor pour emballer la PWA existante en app Android/iOS plutot que reecrire en natif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Recherche par image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externe (embeddings visuels) ; independant du schema principal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Reseau logistique propre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Nouvelle table livreurs et affectation automatique des shipments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 traduit automatiquement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Appel a une API de traduction a l'envoi de chaque message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Recommandations intelligentes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Demarrer simple (produits populaires par categorie) avant d'introduire du machine learning, une fois un historique suffisant accumule en V1/V2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Expansion internationale reelle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Implique la conformite reglementaire du paiement escrow ; a valider avec un juriste ou partenaire local avant tout developpement</w:t>
            </w:r>
          </w:p>
        </w:tc>
      </w:tr>
    </w:tbl>
    <w:p>
      <w:pPr>
        <w:spacing w:after="140"/>
      </w:pPr>
      <w:r>
        <w:rPr>
          <w:i/>
          <w:iCs/>
        </w:rPr>
        <w:t xml:space="preserve">Ordre conseille a l'interieur de la V2 : devis/negociation, puis vente en gros, puis import/export catalogue. Le reste de la V2 et l'ensemble de la V3 sont a prioriser selon la demande reelle des utilisateurs une fois la V1 lancee, plutot que construits par anticipation avant le premier lancement.</w:t>
      </w:r>
    </w:p>
    <w:p>
      <w:pPr>
        <w:pStyle w:val="Heading1"/>
        <w:spacing w:after="160" w:before="360"/>
      </w:pPr>
      <w:r>
        <w:t xml:space="preserve">7. Contraintes et points a valider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 paiement avec conservation temporaire des fonds (escrow) depend de l'accord d'un prestataire de paiement agree et du cadre reglementaire applicable.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L'application mobile native (Android/iOS) est une evolution possible apres la PWA, selon les ressources disponibles.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 systeme de verification flexible des vendeurs doit respecter un socle minimal de conformite, meme lorsque les criteres varient selon le type d'activite.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Les couts d'hebergement et de services externes (paiement, recherche avancee) evolueront avec le volume d'utilisateurs (voir section 8).</w:t>
      </w:r>
    </w:p>
    <w:p>
      <w:pPr>
        <w:pStyle w:val="Heading1"/>
        <w:spacing w:after="160" w:before="360"/>
      </w:pPr>
      <w:r>
        <w:t xml:space="preserve">8. Estimation des couts d'infrastructure</w:t>
      </w:r>
    </w:p>
    <w:p>
      <w:pPr>
        <w:spacing w:after="140"/>
      </w:pPr>
      <w:r>
        <w:t xml:space="preserve">Ces chiffres sont des ordres de grandeur (tarifs internationaux courants, a verifier au moment de payer) plutot que des devis fermes : les couts reels dependent du volume effectif de trafic et de transactions. Le developpement et la maintenance humaine sont hors perimetre de cette estimation, qui ne couvre que l'infrastructure technique.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2200"/>
      </w:tblGrid>
      <w:tr>
        <w:trPr>
          <w:tblHeader/>
        </w:trPr>
        <w:tc>
          <w:tcPr>
            <w:tcW w:type="dxa" w:w="3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Demarrage (pilote)</w:t>
            </w:r>
          </w:p>
        </w:tc>
        <w:tc>
          <w:tcPr>
            <w:tcW w:type="dxa" w:w="2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Croissance</w:t>
            </w:r>
          </w:p>
        </w:tc>
        <w:tc>
          <w:tcPr>
            <w:tcW w:type="dxa" w:w="2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Echelle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(base de donnees)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FCFA (palier gratuit)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~15 000 FCFA/mois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~60 000 FCFA/mois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Hebergement frontend (Vercel/Netlify)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FCFA (palier gratuit)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~12 000 FCFA/mois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~30 000 FCFA/mois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Recherche avancee (Meilisearch)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FCFA (PostgreSQL suffit)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~9 000 FCFA/mois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~30 000 FCFA/mois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 de domaine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~1 250 FCFA/mois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~1 250 FCFA/mois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~1 250 FCFA/mois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mensuel estime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~1 250 FCFA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~37 250 FCFA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~121 250 FCFA</w:t>
            </w:r>
          </w:p>
        </w:tc>
      </w:tr>
    </w:tbl>
    <w:p>
      <w:pPr>
        <w:pStyle w:val="Heading2"/>
        <w:spacing w:after="120" w:before="280"/>
      </w:pPr>
      <w:r>
        <w:t xml:space="preserve">8.1 Couts variables (non inclus dans le tableau ci-dessus)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Commission de paiement CinetPay : generalement 2 a 3,5% par transaction Mobile Money, proportionnelle au chiffre d'affaires plutot qu'un forfait fixe.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 SSL : inclus gratuitement par Vercel/Netlify, donc 0 FCFA a tous les stades.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SMS transactionnels (optionnel, confirmation de commande par SMS) : environ 15 a 25 FCFA par SMS selon l'operateur choisi.</w:t>
      </w:r>
    </w:p>
    <w:p>
      <w:pPr>
        <w:spacing w:after="140"/>
      </w:pPr>
      <w:r>
        <w:rPr>
          <w:b/>
          <w:bCs/>
        </w:rPr>
        <w:t xml:space="preserve">Point cle : la V1 peut demarrer quasiment gratuitement grace aux paliers gratuits de Supabase et Vercel, et les couts n'augmentent que si la plateforme genere effectivement du trafic. Il n'y a donc pas de risque financier a lancer le pilote.</w:t>
      </w:r>
    </w:p>
    <w:p>
      <w:pPr>
        <w:spacing w:before="400"/>
      </w:pPr>
    </w:p>
    <w:p>
      <w:pPr>
        <w:spacing w:after="140"/>
      </w:pPr>
      <w:r>
        <w:rPr>
          <w:i/>
          <w:iCs/>
          <w:color w:val="5F5E5A"/>
          <w:sz w:val="20"/>
          <w:szCs w:val="20"/>
        </w:rPr>
        <w:t xml:space="preserve">Ce document sera mis a jour au fil des etapes du projet.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2026-09-14T06:19:19.740Z</dcterms:created>
  <dcterms:modified xsi:type="dcterms:W3CDTF">2026-09-14T06:19:19.750Z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