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erif" w:hAnsi="DejaVu Serif"/>
          <w:color w:val="1A1A1A"/>
          <w:sz w:val="22"/>
        </w:rPr>
        <w:t>Bahçeşehir University</w:t>
      </w:r>
    </w:p>
    <w:p>
      <w:pPr>
        <w:jc w:val="center"/>
      </w:pPr>
      <w:r>
        <w:rPr>
          <w:rFonts w:ascii="DejaVu Serif" w:hAnsi="DejaVu Serif"/>
          <w:color w:val="1A1A1A"/>
          <w:sz w:val="22"/>
        </w:rPr>
        <w:t>Faculty of Engineering &amp; Natural Sciences</w:t>
      </w:r>
    </w:p>
    <w:p>
      <w:pPr>
        <w:jc w:val="center"/>
      </w:pPr>
      <w:r>
        <w:rPr>
          <w:rFonts w:ascii="DejaVu Serif" w:hAnsi="DejaVu Serif"/>
          <w:color w:val="1A1A1A"/>
          <w:sz w:val="22"/>
        </w:rPr>
        <w:t>Department of Artificial Intelligence Engineering</w:t>
      </w:r>
    </w:p>
    <w:p/>
    <w:p/>
    <w:p>
      <w:pPr>
        <w:jc w:val="center"/>
      </w:pPr>
      <w:r>
        <w:rPr>
          <w:rFonts w:ascii="DejaVu Serif" w:hAnsi="DejaVu Serif"/>
          <w:b/>
          <w:color w:val="0B2A4A"/>
          <w:sz w:val="40"/>
        </w:rPr>
        <w:t>Development and Evaluation of an MLflow-based</w:t>
      </w:r>
    </w:p>
    <w:p>
      <w:pPr>
        <w:jc w:val="center"/>
      </w:pPr>
      <w:r>
        <w:rPr>
          <w:rFonts w:ascii="DejaVu Serif" w:hAnsi="DejaVu Serif"/>
          <w:b/>
          <w:color w:val="0B2A4A"/>
          <w:sz w:val="40"/>
        </w:rPr>
        <w:t>ML Lifecycle Management System</w:t>
      </w:r>
    </w:p>
    <w:p>
      <w:pPr>
        <w:jc w:val="center"/>
      </w:pPr>
      <w:r>
        <w:rPr>
          <w:rFonts w:ascii="DejaVu Serif" w:hAnsi="DejaVu Serif"/>
          <w:i/>
          <w:color w:val="1A1A1A"/>
          <w:sz w:val="26"/>
        </w:rPr>
        <w:t>Telco Customer Churn Prediction</w:t>
      </w:r>
    </w:p>
    <w:p/>
    <w:p>
      <w:pPr>
        <w:jc w:val="center"/>
      </w:pPr>
      <w:r>
        <w:rPr>
          <w:rFonts w:ascii="DejaVu Serif" w:hAnsi="DejaVu Serif"/>
          <w:color w:val="1A1A1A"/>
          <w:sz w:val="22"/>
        </w:rPr>
        <w:t>Course: AIN-3009 — MLOps (Term Project)</w:t>
      </w:r>
    </w:p>
    <w:p>
      <w:pPr>
        <w:jc w:val="center"/>
      </w:pPr>
      <w:r>
        <w:rPr>
          <w:rFonts w:ascii="DejaVu Serif" w:hAnsi="DejaVu Serif"/>
          <w:color w:val="1A1A1A"/>
          <w:sz w:val="22"/>
        </w:rPr>
        <w:t>Author: Mohamed Dribika</w:t>
      </w:r>
    </w:p>
    <w:p>
      <w:pPr>
        <w:jc w:val="center"/>
      </w:pPr>
      <w:r>
        <w:rPr>
          <w:rFonts w:ascii="DejaVu Serif" w:hAnsi="DejaVu Serif"/>
          <w:color w:val="1A1A1A"/>
          <w:sz w:val="22"/>
        </w:rPr>
        <w:t>Student number: 2280197</w:t>
      </w:r>
    </w:p>
    <w:p>
      <w:pPr>
        <w:jc w:val="center"/>
      </w:pPr>
      <w:r>
        <w:rPr>
          <w:rFonts w:ascii="DejaVu Serif" w:hAnsi="DejaVu Serif"/>
          <w:color w:val="1A1A1A"/>
          <w:sz w:val="22"/>
        </w:rPr>
        <w:t>Academic year: 2025–2026</w:t>
      </w:r>
    </w:p>
    <w:p/>
    <w:p/>
    <w:p>
      <w:pPr>
        <w:jc w:val="center"/>
      </w:pPr>
      <w:r>
        <w:rPr>
          <w:rFonts w:ascii="DejaVu Serif" w:hAnsi="DejaVu Serif"/>
          <w:b/>
          <w:color w:val="1A1A1A"/>
          <w:sz w:val="22"/>
        </w:rPr>
        <w:t>ABSTRACT</w:t>
      </w:r>
    </w:p>
    <w:p>
      <w:pPr>
        <w:spacing w:line="312" w:lineRule="auto"/>
        <w:ind w:left="680" w:right="680"/>
        <w:jc w:val="both"/>
      </w:pPr>
      <w:r>
        <w:rPr>
          <w:rFonts w:ascii="DejaVu Serif" w:hAnsi="DejaVu Serif"/>
          <w:color w:val="1A1A1A"/>
          <w:sz w:val="21"/>
        </w:rPr>
        <w:t>This project designs and implements an end-to-end machine-learning lifecycle management system on the IBM Telco Customer Churn dataset, using MLflow as the platform of record. The five lifecycle stages specified by the assignment — experiment tracking, model training and tuning, model deployment, performance monitoring, and the model registry — are each implemented as a separate Python module and verified end-to-end. Three baseline classifiers are compared, a tree-structured Parzen estimator search produces the best test ROC-AUC of 0.8457, the winning model is registered with staging → production alias transitions, served via MLflow's built-in scoring server, and monitored against three simulated production batches that demonstrate the limit of input-distribution drift detection when concept drift is present.</w:t>
      </w:r>
    </w:p>
    <w:p>
      <w:r>
        <w:br w:type="page"/>
      </w:r>
    </w:p>
    <w:p>
      <w:pPr>
        <w:keepNext/>
        <w:spacing w:before="360" w:after="120"/>
      </w:pPr>
      <w:r>
        <w:rPr>
          <w:rFonts w:ascii="DejaVu Serif" w:hAnsi="DejaVu Serif"/>
          <w:b/>
          <w:color w:val="0B2A4A"/>
          <w:sz w:val="30"/>
        </w:rPr>
        <w:t>1. Problem definition</w:t>
      </w:r>
    </w:p>
    <w:p>
      <w:pPr>
        <w:spacing w:after="120" w:line="312" w:lineRule="auto"/>
        <w:jc w:val="both"/>
      </w:pPr>
      <w:r>
        <w:rPr>
          <w:rFonts w:ascii="DejaVu Serif" w:hAnsi="DejaVu Serif"/>
          <w:color w:val="1A1A1A"/>
          <w:sz w:val="21"/>
        </w:rPr>
        <w:t xml:space="preserve">Telecommunications operators face high customer churn rates. Identifying customers likely to cancel within the next billing cycle lets the retention team intervene with targeted offers. We frame this as binary classification: predict </w:t>
      </w:r>
      <w:r>
        <w:rPr>
          <w:rFonts w:ascii="DejaVu Sans Mono" w:hAnsi="DejaVu Sans Mono"/>
          <w:color w:val="1A1A1A"/>
          <w:sz w:val="18"/>
          <w:shd w:val="clear" w:color="auto" w:fill="F1F1F1"/>
        </w:rPr>
        <w:t>Churn ∈ {0, 1}</w:t>
      </w:r>
      <w:r>
        <w:rPr>
          <w:rFonts w:ascii="DejaVu Serif" w:hAnsi="DejaVu Serif"/>
          <w:color w:val="1A1A1A"/>
          <w:sz w:val="21"/>
        </w:rPr>
        <w:t xml:space="preserve"> from a mix of demographic, contract, and billing features for each customer.</w:t>
      </w:r>
    </w:p>
    <w:p>
      <w:pPr>
        <w:spacing w:after="120" w:line="312" w:lineRule="auto"/>
        <w:jc w:val="both"/>
      </w:pPr>
      <w:r>
        <w:rPr>
          <w:rFonts w:ascii="DejaVu Serif" w:hAnsi="DejaVu Serif"/>
          <w:b/>
          <w:color w:val="1A1A1A"/>
          <w:sz w:val="21"/>
        </w:rPr>
        <w:t>Dataset:</w:t>
      </w:r>
      <w:r>
        <w:rPr>
          <w:rFonts w:ascii="DejaVu Serif" w:hAnsi="DejaVu Serif"/>
          <w:color w:val="1A1A1A"/>
          <w:sz w:val="21"/>
        </w:rPr>
        <w:t xml:space="preserve"> IBM "Telco Customer Churn" — 7,043 customers, 20 features (15 categorical + 4 numeric + 1 customer ID), prevalence ≈ 26.5 % positive class.</w:t>
      </w:r>
    </w:p>
    <w:p>
      <w:pPr>
        <w:spacing w:after="120" w:line="312" w:lineRule="auto"/>
        <w:jc w:val="both"/>
      </w:pPr>
      <w:r>
        <w:rPr>
          <w:rFonts w:ascii="DejaVu Serif" w:hAnsi="DejaVu Serif"/>
          <w:b/>
          <w:color w:val="1A1A1A"/>
          <w:sz w:val="21"/>
        </w:rPr>
        <w:t>Splits:</w:t>
      </w:r>
      <w:r>
        <w:rPr>
          <w:rFonts w:ascii="DejaVu Serif" w:hAnsi="DejaVu Serif"/>
          <w:color w:val="1A1A1A"/>
          <w:sz w:val="21"/>
        </w:rPr>
        <w:t xml:space="preserve"> stratified — 70 % train (4,929), 10 % validation (705), 20 % test (1,409).</w:t>
      </w:r>
    </w:p>
    <w:p>
      <w:pPr>
        <w:keepNext/>
        <w:spacing w:before="360" w:after="120"/>
      </w:pPr>
      <w:r>
        <w:rPr>
          <w:rFonts w:ascii="DejaVu Serif" w:hAnsi="DejaVu Serif"/>
          <w:b/>
          <w:color w:val="0B2A4A"/>
          <w:sz w:val="30"/>
        </w:rPr>
        <w:t>2. System overview</w:t>
      </w:r>
    </w:p>
    <w:p>
      <w:pPr>
        <w:spacing w:after="120" w:line="312" w:lineRule="auto"/>
        <w:jc w:val="both"/>
      </w:pPr>
      <w:r>
        <w:rPr>
          <w:rFonts w:ascii="DejaVu Serif" w:hAnsi="DejaVu Serif"/>
          <w:color w:val="1A1A1A"/>
          <w:sz w:val="21"/>
        </w:rPr>
        <w:t>The system is structured as six MLflow-managed stages:</w:t>
      </w:r>
    </w:p>
    <w:p>
      <w:pPr>
        <w:spacing w:after="160" w:before="40"/>
        <w:ind w:left="113"/>
        <w:shd w:val="clear" w:color="auto" w:fill="F4F4F4"/>
        <w:pBdr>
          <w:top w:val="single" w:sz="4" w:space="4" w:color="B0B7C3"/>
          <w:left w:val="single" w:sz="4" w:space="4" w:color="B0B7C3"/>
          <w:bottom w:val="single" w:sz="4" w:space="4" w:color="B0B7C3"/>
          <w:right w:val="single" w:sz="4" w:space="4" w:color="B0B7C3"/>
        </w:pBdr>
      </w:pPr>
      <w:r>
        <w:rPr>
          <w:rFonts w:ascii="DejaVu Sans Mono" w:hAnsi="DejaVu Sans Mono"/>
          <w:color w:val="1A1A1A"/>
          <w:sz w:val="18"/>
        </w:rPr>
        <w:t>┌──────────────┐     ┌──────────────┐     ┌──────────────┐</w:t>
        <w:br/>
        <w:t>│ data_loader  │ →   │  train.py    │ →   │  tune.py     │</w:t>
        <w:br/>
        <w:t>└──────────────┘     │ (3 baselines)│     │  (Hyperopt)  │</w:t>
        <w:br/>
        <w:t xml:space="preserve">                     └──────┬───────┘     └──────┬───────┘</w:t>
        <w:br/>
        <w:t xml:space="preserve">                            │                    │</w:t>
        <w:br/>
        <w:t xml:space="preserve">                            ▼                    ▼</w:t>
        <w:br/>
        <w:t xml:space="preserve">                     ┌──────────────────────────────────┐</w:t>
        <w:br/>
        <w:t xml:space="preserve">                     │   MLflow Tracking (SQLite + FS)  │</w:t>
        <w:br/>
        <w:t xml:space="preserve">                     └──────────────┬───────────────────┘</w:t>
        <w:br/>
        <w:t xml:space="preserve">                                    │</w:t>
        <w:br/>
        <w:t xml:space="preserve">                                    ▼</w:t>
        <w:br/>
        <w:t xml:space="preserve">                          ┌────────────────────┐</w:t>
        <w:br/>
        <w:t xml:space="preserve">                          │  Model Registry    │</w:t>
        <w:br/>
        <w:t xml:space="preserve">                          │  staging → prod    │</w:t>
        <w:br/>
        <w:t xml:space="preserve">                          └──────────┬─────────┘</w:t>
        <w:br/>
        <w:t xml:space="preserve">                                     │</w:t>
        <w:br/>
        <w:t xml:space="preserve">                          ┌──────────┴────────────┐</w:t>
        <w:br/>
        <w:t xml:space="preserve">                          ▼                       ▼</w:t>
        <w:br/>
        <w:t xml:space="preserve">                  ┌──────────────────┐    ┌──────────────┐</w:t>
        <w:br/>
        <w:t xml:space="preserve">                  │ mlflow models    │    │ monitor.py   │</w:t>
        <w:br/>
        <w:t xml:space="preserve">                  │ serve            │    │ (drift+perf) │</w:t>
        <w:br/>
        <w:t xml:space="preserve">                  └──────────────────┘    └──────────────┘</w:t>
      </w:r>
    </w:p>
    <w:p>
      <w:pPr>
        <w:keepNext/>
        <w:spacing w:before="360" w:after="120"/>
      </w:pPr>
      <w:r>
        <w:rPr>
          <w:rFonts w:ascii="DejaVu Serif" w:hAnsi="DejaVu Serif"/>
          <w:b/>
          <w:color w:val="0B2A4A"/>
          <w:sz w:val="30"/>
        </w:rPr>
        <w:t>3. Methodology and tooling</w:t>
      </w:r>
    </w:p>
    <w:tbl>
      <w:tblPr>
        <w:tblW w:type="auto" w:w="0"/>
        <w:jc w:val="left"/>
        <w:tblLayout w:type="autofit"/>
        <w:tblLook w:firstColumn="1" w:firstRow="1" w:lastColumn="0" w:lastRow="0" w:noHBand="0" w:noVBand="1" w:val="04A0"/>
      </w:tblPr>
      <w:tblGrid>
        <w:gridCol w:w="4703"/>
        <w:gridCol w:w="4703"/>
      </w:tblGrid>
      <w:tr>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Concern</w:t>
            </w:r>
          </w:p>
        </w:tc>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Tool</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Tracking server</w:t>
            </w:r>
          </w:p>
        </w:tc>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MLflow 3.12 with SQLite backend store, local artifact root</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ML framework</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scikit-learn 1.8 (Pipeline + ColumnTransformer)</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Tuning</w:t>
            </w:r>
          </w:p>
        </w:tc>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Hyperopt 0.2.7 (Tree-structured Parzen Estimator)</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Model packaging</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ans Mono" w:hAnsi="DejaVu Sans Mono"/>
                <w:color w:val="1A1A1A"/>
                <w:sz w:val="17"/>
                <w:shd w:val="clear" w:color="auto" w:fill="F1F1F1"/>
              </w:rPr>
              <w:t>mlflow.sklearn.log_model</w:t>
            </w:r>
            <w:r>
              <w:rPr>
                <w:rFonts w:ascii="DejaVu Serif" w:hAnsi="DejaVu Serif"/>
                <w:color w:val="1A1A1A"/>
                <w:sz w:val="20"/>
              </w:rPr>
              <w:t xml:space="preserve"> with inferred signature + input example</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Deployment</w:t>
            </w:r>
          </w:p>
        </w:tc>
        <w:tc>
          <w:tcPr>
            <w:tcW w:type="dxa" w:w="4703"/>
            <w:tcBorders>
              <w:top w:val="single" w:sz="4" w:color="B0B7C3"/>
              <w:left w:val="single" w:sz="4" w:color="B0B7C3"/>
              <w:bottom w:val="single" w:sz="4" w:color="B0B7C3"/>
              <w:right w:val="single" w:sz="4" w:color="B0B7C3"/>
            </w:tcBorders>
          </w:tcPr>
          <w:p>
            <w:pPr>
              <w:spacing w:after="0"/>
            </w:pPr>
            <w:r/>
            <w:r>
              <w:rPr>
                <w:rFonts w:ascii="DejaVu Sans Mono" w:hAnsi="DejaVu Sans Mono"/>
                <w:color w:val="1A1A1A"/>
                <w:sz w:val="17"/>
                <w:shd w:val="clear" w:color="auto" w:fill="F1F1F1"/>
              </w:rPr>
              <w:t>mlflow models serve</w:t>
            </w:r>
            <w:r>
              <w:rPr>
                <w:rFonts w:ascii="DejaVu Serif" w:hAnsi="DejaVu Serif"/>
                <w:color w:val="1A1A1A"/>
                <w:sz w:val="20"/>
              </w:rPr>
              <w:t xml:space="preserve"> loading </w:t>
            </w:r>
            <w:r>
              <w:rPr>
                <w:rFonts w:ascii="DejaVu Sans Mono" w:hAnsi="DejaVu Sans Mono"/>
                <w:color w:val="1A1A1A"/>
                <w:sz w:val="17"/>
                <w:shd w:val="clear" w:color="auto" w:fill="F1F1F1"/>
              </w:rPr>
              <w:t>models:/telco-churn-classifier@production</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Drift detection</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Population Stability Index + Kolmogorov–Smirnov + Evidently HTML reports</w:t>
            </w:r>
          </w:p>
        </w:tc>
      </w:tr>
    </w:tbl>
    <w:p>
      <w:pPr>
        <w:keepNext/>
        <w:spacing w:before="240" w:after="120"/>
      </w:pPr>
      <w:r>
        <w:rPr>
          <w:rFonts w:ascii="DejaVu Serif" w:hAnsi="DejaVu Serif"/>
          <w:b/>
          <w:color w:val="1A1A1A"/>
          <w:sz w:val="25"/>
        </w:rPr>
        <w:t>3.1 Preprocessing</w:t>
      </w:r>
    </w:p>
    <w:p>
      <w:pPr>
        <w:spacing w:after="120" w:line="312" w:lineRule="auto"/>
        <w:jc w:val="both"/>
      </w:pPr>
      <w:r>
        <w:rPr>
          <w:rFonts w:ascii="DejaVu Serif" w:hAnsi="DejaVu Serif"/>
          <w:color w:val="1A1A1A"/>
          <w:sz w:val="21"/>
        </w:rPr>
        <w:t xml:space="preserve">A single sklearn </w:t>
      </w:r>
      <w:r>
        <w:rPr>
          <w:rFonts w:ascii="DejaVu Sans Mono" w:hAnsi="DejaVu Sans Mono"/>
          <w:color w:val="1A1A1A"/>
          <w:sz w:val="18"/>
          <w:shd w:val="clear" w:color="auto" w:fill="F1F1F1"/>
        </w:rPr>
        <w:t>Pipeline</w:t>
      </w:r>
      <w:r>
        <w:rPr>
          <w:rFonts w:ascii="DejaVu Serif" w:hAnsi="DejaVu Serif"/>
          <w:color w:val="1A1A1A"/>
          <w:sz w:val="21"/>
        </w:rPr>
        <w:t xml:space="preserve"> wraps preprocessing + estimator so the model artifact stored by MLflow is end-to-end:</w:t>
      </w:r>
    </w:p>
    <w:p>
      <w:pPr>
        <w:pStyle w:val="ListBullet"/>
        <w:spacing w:after="60"/>
        <w:ind w:left="454"/>
        <w:jc w:val="both"/>
      </w:pPr>
      <w:r>
        <w:rPr>
          <w:rFonts w:ascii="DejaVu Serif" w:hAnsi="DejaVu Serif"/>
          <w:color w:val="1A1A1A"/>
          <w:sz w:val="21"/>
        </w:rPr>
        <w:t xml:space="preserve">numeric features → median imputation + </w:t>
      </w:r>
      <w:r>
        <w:rPr>
          <w:rFonts w:ascii="DejaVu Sans Mono" w:hAnsi="DejaVu Sans Mono"/>
          <w:color w:val="1A1A1A"/>
          <w:sz w:val="18"/>
          <w:shd w:val="clear" w:color="auto" w:fill="F1F1F1"/>
        </w:rPr>
        <w:t>StandardScaler</w:t>
      </w:r>
    </w:p>
    <w:p>
      <w:pPr>
        <w:pStyle w:val="ListBullet"/>
        <w:spacing w:after="60"/>
        <w:ind w:left="454"/>
        <w:jc w:val="both"/>
      </w:pPr>
      <w:r>
        <w:rPr>
          <w:rFonts w:ascii="DejaVu Serif" w:hAnsi="DejaVu Serif"/>
          <w:color w:val="1A1A1A"/>
          <w:sz w:val="21"/>
        </w:rPr>
        <w:t xml:space="preserve">categorical features → most-frequent imputation + </w:t>
      </w:r>
      <w:r>
        <w:rPr>
          <w:rFonts w:ascii="DejaVu Sans Mono" w:hAnsi="DejaVu Sans Mono"/>
          <w:color w:val="1A1A1A"/>
          <w:sz w:val="18"/>
          <w:shd w:val="clear" w:color="auto" w:fill="F1F1F1"/>
        </w:rPr>
        <w:t>OneHotEncoder(handle_unknown="ignore")</w:t>
      </w:r>
    </w:p>
    <w:p>
      <w:pPr>
        <w:spacing w:after="120" w:line="312" w:lineRule="auto"/>
        <w:jc w:val="both"/>
      </w:pPr>
      <w:r>
        <w:rPr>
          <w:rFonts w:ascii="DejaVu Serif" w:hAnsi="DejaVu Serif"/>
          <w:color w:val="1A1A1A"/>
          <w:sz w:val="21"/>
        </w:rPr>
        <w:t xml:space="preserve">The </w:t>
      </w:r>
      <w:r>
        <w:rPr>
          <w:rFonts w:ascii="DejaVu Sans Mono" w:hAnsi="DejaVu Sans Mono"/>
          <w:color w:val="1A1A1A"/>
          <w:sz w:val="18"/>
          <w:shd w:val="clear" w:color="auto" w:fill="F1F1F1"/>
        </w:rPr>
        <w:t>TotalCharges</w:t>
      </w:r>
      <w:r>
        <w:rPr>
          <w:rFonts w:ascii="DejaVu Serif" w:hAnsi="DejaVu Serif"/>
          <w:color w:val="1A1A1A"/>
          <w:sz w:val="21"/>
        </w:rPr>
        <w:t xml:space="preserve"> column ships with 11 blank strings (customers with </w:t>
      </w:r>
      <w:r>
        <w:rPr>
          <w:rFonts w:ascii="DejaVu Sans Mono" w:hAnsi="DejaVu Sans Mono"/>
          <w:color w:val="1A1A1A"/>
          <w:sz w:val="18"/>
          <w:shd w:val="clear" w:color="auto" w:fill="F1F1F1"/>
        </w:rPr>
        <w:t>tenure=0</w:t>
      </w:r>
      <w:r>
        <w:rPr>
          <w:rFonts w:ascii="DejaVu Serif" w:hAnsi="DejaVu Serif"/>
          <w:color w:val="1A1A1A"/>
          <w:sz w:val="21"/>
        </w:rPr>
        <w:t xml:space="preserve">); these are coerced to </w:t>
      </w:r>
      <w:r>
        <w:rPr>
          <w:rFonts w:ascii="DejaVu Sans Mono" w:hAnsi="DejaVu Sans Mono"/>
          <w:color w:val="1A1A1A"/>
          <w:sz w:val="18"/>
          <w:shd w:val="clear" w:color="auto" w:fill="F1F1F1"/>
        </w:rPr>
        <w:t>NaN</w:t>
      </w:r>
      <w:r>
        <w:rPr>
          <w:rFonts w:ascii="DejaVu Serif" w:hAnsi="DejaVu Serif"/>
          <w:color w:val="1A1A1A"/>
          <w:sz w:val="21"/>
        </w:rPr>
        <w:t xml:space="preserve"> and filled with </w:t>
      </w:r>
      <w:r>
        <w:rPr>
          <w:rFonts w:ascii="DejaVu Sans Mono" w:hAnsi="DejaVu Sans Mono"/>
          <w:color w:val="1A1A1A"/>
          <w:sz w:val="18"/>
          <w:shd w:val="clear" w:color="auto" w:fill="F1F1F1"/>
        </w:rPr>
        <w:t>0.0</w:t>
      </w:r>
      <w:r>
        <w:rPr>
          <w:rFonts w:ascii="DejaVu Serif" w:hAnsi="DejaVu Serif"/>
          <w:color w:val="1A1A1A"/>
          <w:sz w:val="21"/>
        </w:rPr>
        <w:t xml:space="preserve"> in </w:t>
      </w:r>
      <w:r>
        <w:rPr>
          <w:rFonts w:ascii="DejaVu Sans Mono" w:hAnsi="DejaVu Sans Mono"/>
          <w:color w:val="1A1A1A"/>
          <w:sz w:val="18"/>
          <w:shd w:val="clear" w:color="auto" w:fill="F1F1F1"/>
        </w:rPr>
        <w:t>data_loader.clean</w:t>
      </w:r>
      <w:r>
        <w:rPr>
          <w:rFonts w:ascii="DejaVu Serif" w:hAnsi="DejaVu Serif"/>
          <w:color w:val="1A1A1A"/>
          <w:sz w:val="21"/>
        </w:rPr>
        <w:t>.</w:t>
      </w:r>
    </w:p>
    <w:p>
      <w:pPr>
        <w:keepNext/>
        <w:spacing w:before="360" w:after="120"/>
      </w:pPr>
      <w:r>
        <w:rPr>
          <w:rFonts w:ascii="DejaVu Serif" w:hAnsi="DejaVu Serif"/>
          <w:b/>
          <w:color w:val="0B2A4A"/>
          <w:sz w:val="30"/>
        </w:rPr>
        <w:t>4. Experiments</w:t>
      </w:r>
    </w:p>
    <w:p>
      <w:pPr>
        <w:keepNext/>
        <w:spacing w:before="240" w:after="120"/>
      </w:pPr>
      <w:r>
        <w:rPr>
          <w:rFonts w:ascii="DejaVu Serif" w:hAnsi="DejaVu Serif"/>
          <w:b/>
          <w:color w:val="1A1A1A"/>
          <w:sz w:val="25"/>
        </w:rPr>
        <w:t>4.1 Baselines (Objective 1)</w:t>
      </w:r>
    </w:p>
    <w:p>
      <w:pPr>
        <w:spacing w:after="120" w:line="312" w:lineRule="auto"/>
        <w:jc w:val="both"/>
      </w:pPr>
      <w:r>
        <w:rPr>
          <w:rFonts w:ascii="DejaVu Serif" w:hAnsi="DejaVu Serif"/>
          <w:color w:val="1A1A1A"/>
          <w:sz w:val="21"/>
        </w:rPr>
        <w:t>Three model families with default-ish parameters, each producing one MLflow run with parameters, train/val/test metrics, a confusion matrix and ROC curve as artifacts, and the fitted pipeline as a model artifact with signature.</w:t>
      </w:r>
    </w:p>
    <w:tbl>
      <w:tblPr>
        <w:tblW w:type="auto" w:w="0"/>
        <w:jc w:val="left"/>
        <w:tblLayout w:type="autofit"/>
        <w:tblLook w:firstColumn="1" w:firstRow="1" w:lastColumn="0" w:lastRow="0" w:noHBand="0" w:noVBand="1" w:val="04A0"/>
      </w:tblPr>
      <w:tblGrid>
        <w:gridCol w:w="2351"/>
        <w:gridCol w:w="2351"/>
        <w:gridCol w:w="2351"/>
        <w:gridCol w:w="2351"/>
      </w:tblGrid>
      <w:tr>
        <w:tc>
          <w:tcPr>
            <w:tcW w:type="dxa" w:w="235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Model</w:t>
            </w:r>
          </w:p>
        </w:tc>
        <w:tc>
          <w:tcPr>
            <w:tcW w:type="dxa" w:w="235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Test ROC-AUC</w:t>
            </w:r>
          </w:p>
        </w:tc>
        <w:tc>
          <w:tcPr>
            <w:tcW w:type="dxa" w:w="235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Test F1</w:t>
            </w:r>
          </w:p>
        </w:tc>
        <w:tc>
          <w:tcPr>
            <w:tcW w:type="dxa" w:w="235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Test Accuracy</w:t>
            </w:r>
          </w:p>
        </w:tc>
      </w:tr>
      <w:tr>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LogisticRegression</w:t>
            </w:r>
          </w:p>
        </w:tc>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b/>
                <w:color w:val="1A1A1A"/>
                <w:sz w:val="20"/>
              </w:rPr>
              <w:t>0.8426</w:t>
            </w:r>
          </w:p>
        </w:tc>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0.6049</w:t>
            </w:r>
          </w:p>
        </w:tc>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0.8062</w:t>
            </w:r>
          </w:p>
        </w:tc>
      </w:tr>
      <w:tr>
        <w:tc>
          <w:tcPr>
            <w:tcW w:type="dxa" w:w="235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GradientBoostingClassifier</w:t>
            </w:r>
          </w:p>
        </w:tc>
        <w:tc>
          <w:tcPr>
            <w:tcW w:type="dxa" w:w="235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0.8390</w:t>
            </w:r>
          </w:p>
        </w:tc>
        <w:tc>
          <w:tcPr>
            <w:tcW w:type="dxa" w:w="235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0.5710</w:t>
            </w:r>
          </w:p>
        </w:tc>
        <w:tc>
          <w:tcPr>
            <w:tcW w:type="dxa" w:w="235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0.7963</w:t>
            </w:r>
          </w:p>
        </w:tc>
      </w:tr>
      <w:tr>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RandomForestClassifier</w:t>
            </w:r>
          </w:p>
        </w:tc>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0.8223</w:t>
            </w:r>
          </w:p>
        </w:tc>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0.5392</w:t>
            </w:r>
          </w:p>
        </w:tc>
        <w:tc>
          <w:tcPr>
            <w:tcW w:type="dxa" w:w="235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0.7828</w:t>
            </w:r>
          </w:p>
        </w:tc>
      </w:tr>
    </w:tbl>
    <w:p>
      <w:pPr>
        <w:spacing w:after="120" w:line="312" w:lineRule="auto"/>
        <w:jc w:val="both"/>
      </w:pPr>
      <w:r>
        <w:rPr>
          <w:rFonts w:ascii="DejaVu Serif" w:hAnsi="DejaVu Serif"/>
          <w:color w:val="1A1A1A"/>
          <w:sz w:val="21"/>
        </w:rPr>
        <w:t>The Logistic Regression baseline is the strongest of the three out-of-the-box. This is typical for the Telco churn dataset — the predictive signal is predominantly linear (tenure, contract type, monthly charges) and the dataset is small enough that high-capacity models tend to overfit before they out-perform a regularized linear model.</w:t>
      </w:r>
    </w:p>
    <w:p>
      <w:pPr>
        <w:keepNext/>
        <w:spacing w:before="240" w:after="120"/>
      </w:pPr>
      <w:r>
        <w:rPr>
          <w:rFonts w:ascii="DejaVu Serif" w:hAnsi="DejaVu Serif"/>
          <w:b/>
          <w:color w:val="1A1A1A"/>
          <w:sz w:val="25"/>
        </w:rPr>
        <w:t>4.2 Hyperparameter tuning (Objective 2)</w:t>
      </w:r>
    </w:p>
    <w:p>
      <w:pPr>
        <w:spacing w:after="120" w:line="312" w:lineRule="auto"/>
        <w:jc w:val="both"/>
      </w:pPr>
      <w:r>
        <w:rPr>
          <w:rFonts w:ascii="DejaVu Serif" w:hAnsi="DejaVu Serif"/>
          <w:color w:val="1A1A1A"/>
          <w:sz w:val="21"/>
        </w:rPr>
        <w:t xml:space="preserve">Hyperopt TPE search over Gradient Boosting (20 trials). Each trial is a nested MLflow run under one parent </w:t>
      </w:r>
      <w:r>
        <w:rPr>
          <w:rFonts w:ascii="DejaVu Sans Mono" w:hAnsi="DejaVu Sans Mono"/>
          <w:color w:val="1A1A1A"/>
          <w:sz w:val="18"/>
          <w:shd w:val="clear" w:color="auto" w:fill="F1F1F1"/>
        </w:rPr>
        <w:t>hyperopt_gradient_boosting</w:t>
      </w:r>
      <w:r>
        <w:rPr>
          <w:rFonts w:ascii="DejaVu Serif" w:hAnsi="DejaVu Serif"/>
          <w:color w:val="1A1A1A"/>
          <w:sz w:val="21"/>
        </w:rPr>
        <w:t xml:space="preserve"> run, so the search history is browseable in the UI.</w:t>
      </w:r>
    </w:p>
    <w:p>
      <w:pPr>
        <w:spacing w:after="120" w:line="312" w:lineRule="auto"/>
        <w:jc w:val="both"/>
      </w:pPr>
      <w:r>
        <w:rPr>
          <w:rFonts w:ascii="DejaVu Serif" w:hAnsi="DejaVu Serif"/>
          <w:color w:val="1A1A1A"/>
          <w:sz w:val="21"/>
        </w:rPr>
        <w:t>Search space:</w:t>
      </w:r>
    </w:p>
    <w:tbl>
      <w:tblPr>
        <w:tblW w:type="auto" w:w="0"/>
        <w:jc w:val="left"/>
        <w:tblLayout w:type="autofit"/>
        <w:tblLook w:firstColumn="1" w:firstRow="1" w:lastColumn="0" w:lastRow="0" w:noHBand="0" w:noVBand="1" w:val="04A0"/>
      </w:tblPr>
      <w:tblGrid>
        <w:gridCol w:w="4703"/>
        <w:gridCol w:w="4703"/>
      </w:tblGrid>
      <w:tr>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Parameter</w:t>
            </w:r>
          </w:p>
        </w:tc>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Distribution</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n_estimators</w:t>
            </w:r>
          </w:p>
        </w:tc>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quniform(50, 400, step=25)</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learning_rate</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loguniform(0.01, 0.3)</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max_depth</w:t>
            </w:r>
          </w:p>
        </w:tc>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quniform(2, 6)</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min_samples_split</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quniform(2, 20)</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min_samples_leaf</w:t>
            </w:r>
          </w:p>
        </w:tc>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quniform(1, 20)</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subsample</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uniform(0.6, 1.0)</w:t>
            </w:r>
          </w:p>
        </w:tc>
      </w:tr>
    </w:tbl>
    <w:p>
      <w:pPr>
        <w:spacing w:after="120" w:line="312" w:lineRule="auto"/>
        <w:jc w:val="both"/>
      </w:pPr>
      <w:r>
        <w:rPr>
          <w:rFonts w:ascii="DejaVu Serif" w:hAnsi="DejaVu Serif"/>
          <w:b/>
          <w:color w:val="1A1A1A"/>
          <w:sz w:val="21"/>
        </w:rPr>
        <w:t>Best configuration found:</w:t>
      </w:r>
    </w:p>
    <w:p>
      <w:pPr>
        <w:spacing w:after="160" w:before="40"/>
        <w:ind w:left="113"/>
        <w:shd w:val="clear" w:color="auto" w:fill="F4F4F4"/>
        <w:pBdr>
          <w:top w:val="single" w:sz="4" w:space="4" w:color="B0B7C3"/>
          <w:left w:val="single" w:sz="4" w:space="4" w:color="B0B7C3"/>
          <w:bottom w:val="single" w:sz="4" w:space="4" w:color="B0B7C3"/>
          <w:right w:val="single" w:sz="4" w:space="4" w:color="B0B7C3"/>
        </w:pBdr>
      </w:pPr>
      <w:r>
        <w:rPr>
          <w:rFonts w:ascii="DejaVu Sans Mono" w:hAnsi="DejaVu Sans Mono"/>
          <w:color w:val="1A1A1A"/>
          <w:sz w:val="18"/>
        </w:rPr>
        <w:t>learning_rate     = 0.0180</w:t>
        <w:br/>
        <w:t>max_depth         = 5</w:t>
        <w:br/>
        <w:t>min_samples_leaf  = 18</w:t>
        <w:br/>
        <w:t>min_samples_split = 4</w:t>
        <w:br/>
        <w:t>n_estimators      = 225</w:t>
        <w:br/>
        <w:t>subsample         = 0.627</w:t>
      </w:r>
    </w:p>
    <w:p>
      <w:pPr>
        <w:spacing w:after="120" w:line="312" w:lineRule="auto"/>
        <w:jc w:val="both"/>
      </w:pPr>
      <w:r>
        <w:rPr>
          <w:rFonts w:ascii="DejaVu Serif" w:hAnsi="DejaVu Serif"/>
          <w:b/>
          <w:color w:val="1A1A1A"/>
          <w:sz w:val="21"/>
        </w:rPr>
        <w:t>Best metrics:</w:t>
      </w:r>
      <w:r>
        <w:rPr>
          <w:rFonts w:ascii="DejaVu Serif" w:hAnsi="DejaVu Serif"/>
          <w:color w:val="1A1A1A"/>
          <w:sz w:val="21"/>
        </w:rPr>
        <w:t xml:space="preserve"> val ROC-AUC = 0.8672, </w:t>
      </w:r>
      <w:r>
        <w:rPr>
          <w:rFonts w:ascii="DejaVu Serif" w:hAnsi="DejaVu Serif"/>
          <w:b/>
          <w:color w:val="1A1A1A"/>
          <w:sz w:val="21"/>
        </w:rPr>
        <w:t>test ROC-AUC = 0.8457</w:t>
      </w:r>
      <w:r>
        <w:rPr>
          <w:rFonts w:ascii="DejaVu Serif" w:hAnsi="DejaVu Serif"/>
          <w:color w:val="1A1A1A"/>
          <w:sz w:val="21"/>
        </w:rPr>
        <w:t xml:space="preserve"> — the tuned GB model now beats every baseline including LogReg. The dominant gain relative to the GB baseline (0.8390 → 0.8457) comes from a lower learning rate combined with stronger regularization (</w:t>
      </w:r>
      <w:r>
        <w:rPr>
          <w:rFonts w:ascii="DejaVu Sans Mono" w:hAnsi="DejaVu Sans Mono"/>
          <w:color w:val="1A1A1A"/>
          <w:sz w:val="18"/>
          <w:shd w:val="clear" w:color="auto" w:fill="F1F1F1"/>
        </w:rPr>
        <w:t>min_samples_leaf=18</w:t>
      </w:r>
      <w:r>
        <w:rPr>
          <w:rFonts w:ascii="DejaVu Serif" w:hAnsi="DejaVu Serif"/>
          <w:color w:val="1A1A1A"/>
          <w:sz w:val="21"/>
        </w:rPr>
        <w:t xml:space="preserve">, </w:t>
      </w:r>
      <w:r>
        <w:rPr>
          <w:rFonts w:ascii="DejaVu Sans Mono" w:hAnsi="DejaVu Sans Mono"/>
          <w:color w:val="1A1A1A"/>
          <w:sz w:val="18"/>
          <w:shd w:val="clear" w:color="auto" w:fill="F1F1F1"/>
        </w:rPr>
        <w:t>subsample=0.63</w:t>
      </w:r>
      <w:r>
        <w:rPr>
          <w:rFonts w:ascii="DejaVu Serif" w:hAnsi="DejaVu Serif"/>
          <w:color w:val="1A1A1A"/>
          <w:sz w:val="21"/>
        </w:rPr>
        <w:t>).</w:t>
      </w:r>
    </w:p>
    <w:p>
      <w:pPr>
        <w:keepNext/>
        <w:spacing w:before="240" w:after="120"/>
      </w:pPr>
      <w:r>
        <w:rPr>
          <w:rFonts w:ascii="DejaVu Serif" w:hAnsi="DejaVu Serif"/>
          <w:b/>
          <w:color w:val="1A1A1A"/>
          <w:sz w:val="25"/>
        </w:rPr>
        <w:t>4.3 Model packaging and registry (Objective 5)</w:t>
      </w:r>
    </w:p>
    <w:p>
      <w:pPr>
        <w:spacing w:after="120" w:line="312" w:lineRule="auto"/>
        <w:jc w:val="both"/>
      </w:pPr>
      <w:r>
        <w:rPr>
          <w:rFonts w:ascii="DejaVu Sans Mono" w:hAnsi="DejaVu Sans Mono"/>
          <w:color w:val="1A1A1A"/>
          <w:sz w:val="18"/>
          <w:shd w:val="clear" w:color="auto" w:fill="F1F1F1"/>
        </w:rPr>
        <w:t>src/registry.py</w:t>
      </w:r>
      <w:r>
        <w:rPr>
          <w:rFonts w:ascii="DejaVu Serif" w:hAnsi="DejaVu Serif"/>
          <w:color w:val="1A1A1A"/>
          <w:sz w:val="21"/>
        </w:rPr>
        <w:t xml:space="preserve"> implements three operations:</w:t>
      </w:r>
    </w:p>
    <w:p>
      <w:pPr>
        <w:pStyle w:val="ListBullet"/>
        <w:spacing w:after="60"/>
        <w:ind w:left="454"/>
        <w:jc w:val="both"/>
      </w:pPr>
      <w:r>
        <w:rPr>
          <w:rFonts w:ascii="DejaVu Sans Mono" w:hAnsi="DejaVu Sans Mono"/>
          <w:color w:val="1A1A1A"/>
          <w:sz w:val="18"/>
          <w:shd w:val="clear" w:color="auto" w:fill="F1F1F1"/>
        </w:rPr>
        <w:t>register-best</w:t>
      </w:r>
      <w:r>
        <w:rPr>
          <w:rFonts w:ascii="DejaVu Serif" w:hAnsi="DejaVu Serif"/>
          <w:color w:val="1A1A1A"/>
          <w:sz w:val="21"/>
        </w:rPr>
        <w:t xml:space="preserve"> — scans the </w:t>
      </w:r>
      <w:r>
        <w:rPr>
          <w:rFonts w:ascii="DejaVu Sans Mono" w:hAnsi="DejaVu Sans Mono"/>
          <w:color w:val="1A1A1A"/>
          <w:sz w:val="18"/>
          <w:shd w:val="clear" w:color="auto" w:fill="F1F1F1"/>
        </w:rPr>
        <w:t>telco_churn</w:t>
      </w:r>
      <w:r>
        <w:rPr>
          <w:rFonts w:ascii="DejaVu Serif" w:hAnsi="DejaVu Serif"/>
          <w:color w:val="1A1A1A"/>
          <w:sz w:val="21"/>
        </w:rPr>
        <w:t xml:space="preserve"> experiment, picks the run with the highest </w:t>
      </w:r>
      <w:r>
        <w:rPr>
          <w:rFonts w:ascii="DejaVu Sans Mono" w:hAnsi="DejaVu Sans Mono"/>
          <w:color w:val="1A1A1A"/>
          <w:sz w:val="18"/>
          <w:shd w:val="clear" w:color="auto" w:fill="F1F1F1"/>
        </w:rPr>
        <w:t>test_roc_auc</w:t>
      </w:r>
      <w:r>
        <w:rPr>
          <w:rFonts w:ascii="DejaVu Serif" w:hAnsi="DejaVu Serif"/>
          <w:color w:val="1A1A1A"/>
          <w:sz w:val="21"/>
        </w:rPr>
        <w:t xml:space="preserve"> (or </w:t>
      </w:r>
      <w:r>
        <w:rPr>
          <w:rFonts w:ascii="DejaVu Sans Mono" w:hAnsi="DejaVu Sans Mono"/>
          <w:color w:val="1A1A1A"/>
          <w:sz w:val="18"/>
          <w:shd w:val="clear" w:color="auto" w:fill="F1F1F1"/>
        </w:rPr>
        <w:t>best_test_roc_auc</w:t>
      </w:r>
      <w:r>
        <w:rPr>
          <w:rFonts w:ascii="DejaVu Serif" w:hAnsi="DejaVu Serif"/>
          <w:color w:val="1A1A1A"/>
          <w:sz w:val="21"/>
        </w:rPr>
        <w:t xml:space="preserve"> for tuning parent runs), resolves the MLflow 3 "Logged Model" UUID, and creates a new version of the registered model </w:t>
      </w:r>
      <w:r>
        <w:rPr>
          <w:rFonts w:ascii="DejaVu Sans Mono" w:hAnsi="DejaVu Sans Mono"/>
          <w:color w:val="1A1A1A"/>
          <w:sz w:val="18"/>
          <w:shd w:val="clear" w:color="auto" w:fill="F1F1F1"/>
        </w:rPr>
        <w:t>telco-churn-classifier</w:t>
      </w:r>
      <w:r>
        <w:rPr>
          <w:rFonts w:ascii="DejaVu Serif" w:hAnsi="DejaVu Serif"/>
          <w:color w:val="1A1A1A"/>
          <w:sz w:val="21"/>
        </w:rPr>
        <w:t>.</w:t>
      </w:r>
    </w:p>
    <w:p>
      <w:pPr>
        <w:pStyle w:val="ListBullet"/>
        <w:spacing w:after="60"/>
        <w:ind w:left="454"/>
        <w:jc w:val="both"/>
      </w:pPr>
      <w:r>
        <w:rPr>
          <w:rFonts w:ascii="DejaVu Sans Mono" w:hAnsi="DejaVu Sans Mono"/>
          <w:color w:val="1A1A1A"/>
          <w:sz w:val="18"/>
          <w:shd w:val="clear" w:color="auto" w:fill="F1F1F1"/>
        </w:rPr>
        <w:t>transition &lt;version&gt; &lt;stage&gt;</w:t>
      </w:r>
      <w:r>
        <w:rPr>
          <w:rFonts w:ascii="DejaVu Serif" w:hAnsi="DejaVu Serif"/>
          <w:color w:val="1A1A1A"/>
          <w:sz w:val="21"/>
        </w:rPr>
        <w:t xml:space="preserve"> — sets the modern MLflow alias (</w:t>
      </w:r>
      <w:r>
        <w:rPr>
          <w:rFonts w:ascii="DejaVu Sans Mono" w:hAnsi="DejaVu Sans Mono"/>
          <w:color w:val="1A1A1A"/>
          <w:sz w:val="18"/>
          <w:shd w:val="clear" w:color="auto" w:fill="F1F1F1"/>
        </w:rPr>
        <w:t>@staging</w:t>
      </w:r>
      <w:r>
        <w:rPr>
          <w:rFonts w:ascii="DejaVu Serif" w:hAnsi="DejaVu Serif"/>
          <w:color w:val="1A1A1A"/>
          <w:sz w:val="21"/>
        </w:rPr>
        <w:t xml:space="preserve">, </w:t>
      </w:r>
      <w:r>
        <w:rPr>
          <w:rFonts w:ascii="DejaVu Sans Mono" w:hAnsi="DejaVu Sans Mono"/>
          <w:color w:val="1A1A1A"/>
          <w:sz w:val="18"/>
          <w:shd w:val="clear" w:color="auto" w:fill="F1F1F1"/>
        </w:rPr>
        <w:t>@production</w:t>
      </w:r>
      <w:r>
        <w:rPr>
          <w:rFonts w:ascii="DejaVu Serif" w:hAnsi="DejaVu Serif"/>
          <w:color w:val="1A1A1A"/>
          <w:sz w:val="21"/>
        </w:rPr>
        <w:t xml:space="preserve">) </w:t>
      </w:r>
      <w:r>
        <w:rPr>
          <w:rFonts w:ascii="DejaVu Serif" w:hAnsi="DejaVu Serif"/>
          <w:b/>
          <w:color w:val="1A1A1A"/>
          <w:sz w:val="21"/>
        </w:rPr>
        <w:t>and</w:t>
      </w:r>
      <w:r>
        <w:rPr>
          <w:rFonts w:ascii="DejaVu Serif" w:hAnsi="DejaVu Serif"/>
          <w:color w:val="1A1A1A"/>
          <w:sz w:val="21"/>
        </w:rPr>
        <w:t xml:space="preserve"> writes a legacy </w:t>
      </w:r>
      <w:r>
        <w:rPr>
          <w:rFonts w:ascii="DejaVu Sans Mono" w:hAnsi="DejaVu Sans Mono"/>
          <w:color w:val="1A1A1A"/>
          <w:sz w:val="18"/>
          <w:shd w:val="clear" w:color="auto" w:fill="F1F1F1"/>
        </w:rPr>
        <w:t>stage</w:t>
      </w:r>
      <w:r>
        <w:rPr>
          <w:rFonts w:ascii="DejaVu Serif" w:hAnsi="DejaVu Serif"/>
          <w:color w:val="1A1A1A"/>
          <w:sz w:val="21"/>
        </w:rPr>
        <w:t xml:space="preserve"> tag so the lifecycle stages the brief asks for are visible in both APIs and the UI.</w:t>
      </w:r>
    </w:p>
    <w:p>
      <w:pPr>
        <w:pStyle w:val="ListBullet"/>
        <w:spacing w:after="60"/>
        <w:ind w:left="454"/>
        <w:jc w:val="both"/>
      </w:pPr>
      <w:r>
        <w:rPr>
          <w:rFonts w:ascii="DejaVu Sans Mono" w:hAnsi="DejaVu Sans Mono"/>
          <w:color w:val="1A1A1A"/>
          <w:sz w:val="18"/>
          <w:shd w:val="clear" w:color="auto" w:fill="F1F1F1"/>
        </w:rPr>
        <w:t>list</w:t>
      </w:r>
      <w:r>
        <w:rPr>
          <w:rFonts w:ascii="DejaVu Serif" w:hAnsi="DejaVu Serif"/>
          <w:color w:val="1A1A1A"/>
          <w:sz w:val="21"/>
        </w:rPr>
        <w:t xml:space="preserve"> — prints the current versions, their stage tags, aliases, source run IDs, and selection metrics.</w:t>
      </w:r>
    </w:p>
    <w:p>
      <w:pPr>
        <w:spacing w:after="120" w:line="312" w:lineRule="auto"/>
        <w:jc w:val="both"/>
      </w:pPr>
      <w:r>
        <w:rPr>
          <w:rFonts w:ascii="DejaVu Serif" w:hAnsi="DejaVu Serif"/>
          <w:color w:val="1A1A1A"/>
          <w:sz w:val="21"/>
        </w:rPr>
        <w:t>After running these commands the registered model has one version:</w:t>
      </w:r>
    </w:p>
    <w:p>
      <w:pPr>
        <w:spacing w:after="160" w:before="40"/>
        <w:ind w:left="113"/>
        <w:shd w:val="clear" w:color="auto" w:fill="F4F4F4"/>
        <w:pBdr>
          <w:top w:val="single" w:sz="4" w:space="4" w:color="B0B7C3"/>
          <w:left w:val="single" w:sz="4" w:space="4" w:color="B0B7C3"/>
          <w:bottom w:val="single" w:sz="4" w:space="4" w:color="B0B7C3"/>
          <w:right w:val="single" w:sz="4" w:space="4" w:color="B0B7C3"/>
        </w:pBdr>
      </w:pPr>
      <w:r>
        <w:rPr>
          <w:rFonts w:ascii="DejaVu Sans Mono" w:hAnsi="DejaVu Sans Mono"/>
          <w:color w:val="1A1A1A"/>
          <w:sz w:val="18"/>
        </w:rPr>
        <w:t>{version: 2, stage_tag: 'production', aliases: 'production,staging',</w:t>
        <w:br/>
        <w:t xml:space="preserve"> run_id: b9596f10..., score: 0.845687}</w:t>
      </w:r>
    </w:p>
    <w:p>
      <w:pPr>
        <w:keepNext/>
        <w:spacing w:before="240" w:after="120"/>
      </w:pPr>
      <w:r>
        <w:rPr>
          <w:rFonts w:ascii="DejaVu Serif" w:hAnsi="DejaVu Serif"/>
          <w:b/>
          <w:color w:val="1A1A1A"/>
          <w:sz w:val="25"/>
        </w:rPr>
        <w:t>4.4 Deployment (Objective 3)</w:t>
      </w:r>
    </w:p>
    <w:p>
      <w:pPr>
        <w:spacing w:after="120" w:line="312" w:lineRule="auto"/>
        <w:jc w:val="both"/>
      </w:pPr>
      <w:r>
        <w:rPr>
          <w:rFonts w:ascii="DejaVu Serif" w:hAnsi="DejaVu Serif"/>
          <w:color w:val="1A1A1A"/>
          <w:sz w:val="21"/>
        </w:rPr>
        <w:t>The production model is exposed via MLflow's built-in scoring server, as called out in Solution Guide step 5 ("MLflow's model serving capabilities"):</w:t>
      </w:r>
    </w:p>
    <w:p>
      <w:pPr>
        <w:spacing w:after="160" w:before="40"/>
        <w:ind w:left="113"/>
        <w:shd w:val="clear" w:color="auto" w:fill="F4F4F4"/>
        <w:pBdr>
          <w:top w:val="single" w:sz="4" w:space="4" w:color="B0B7C3"/>
          <w:left w:val="single" w:sz="4" w:space="4" w:color="B0B7C3"/>
          <w:bottom w:val="single" w:sz="4" w:space="4" w:color="B0B7C3"/>
          <w:right w:val="single" w:sz="4" w:space="4" w:color="B0B7C3"/>
        </w:pBdr>
      </w:pPr>
      <w:r>
        <w:rPr>
          <w:rFonts w:ascii="DejaVu Sans Mono" w:hAnsi="DejaVu Sans Mono"/>
          <w:color w:val="1A1A1A"/>
          <w:sz w:val="18"/>
        </w:rPr>
        <w:t>mlflow models serve \</w:t>
        <w:br/>
        <w:t xml:space="preserve">    --model-uri "models:/telco-churn-classifier@production" \</w:t>
        <w:br/>
        <w:t xml:space="preserve">    --port 5001 --no-conda</w:t>
      </w:r>
    </w:p>
    <w:p>
      <w:pPr>
        <w:spacing w:after="120" w:line="312" w:lineRule="auto"/>
        <w:jc w:val="both"/>
      </w:pPr>
      <w:r>
        <w:rPr>
          <w:rFonts w:ascii="DejaVu Serif" w:hAnsi="DejaVu Serif"/>
          <w:color w:val="1A1A1A"/>
          <w:sz w:val="21"/>
        </w:rPr>
        <w:t xml:space="preserve">The launch script </w:t>
      </w:r>
      <w:r>
        <w:rPr>
          <w:rFonts w:ascii="DejaVu Sans Mono" w:hAnsi="DejaVu Sans Mono"/>
          <w:color w:val="1A1A1A"/>
          <w:sz w:val="18"/>
          <w:shd w:val="clear" w:color="auto" w:fill="F1F1F1"/>
        </w:rPr>
        <w:t>scripts/start_mlflow_serve.sh</w:t>
      </w:r>
      <w:r>
        <w:rPr>
          <w:rFonts w:ascii="DejaVu Serif" w:hAnsi="DejaVu Serif"/>
          <w:color w:val="1A1A1A"/>
          <w:sz w:val="21"/>
        </w:rPr>
        <w:t xml:space="preserve"> wraps that command and activates the project venv so the spawned gunicorn / uvicorn subprocesses inherit the right Python interpreter on PATH.</w:t>
      </w:r>
    </w:p>
    <w:p>
      <w:pPr>
        <w:spacing w:after="120" w:line="312" w:lineRule="auto"/>
        <w:jc w:val="both"/>
      </w:pPr>
      <w:r>
        <w:rPr>
          <w:rFonts w:ascii="DejaVu Serif" w:hAnsi="DejaVu Serif"/>
          <w:color w:val="1A1A1A"/>
          <w:sz w:val="21"/>
        </w:rPr>
        <w:t>Endpoints exposed:</w:t>
      </w:r>
    </w:p>
    <w:tbl>
      <w:tblPr>
        <w:tblW w:type="auto" w:w="0"/>
        <w:jc w:val="left"/>
        <w:tblLayout w:type="autofit"/>
        <w:tblLook w:firstColumn="1" w:firstRow="1" w:lastColumn="0" w:lastRow="0" w:noHBand="0" w:noVBand="1" w:val="04A0"/>
      </w:tblPr>
      <w:tblGrid>
        <w:gridCol w:w="4703"/>
        <w:gridCol w:w="4703"/>
      </w:tblGrid>
      <w:tr>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Endpoint</w:t>
            </w:r>
          </w:p>
        </w:tc>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Use case</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ans Mono" w:hAnsi="DejaVu Sans Mono"/>
                <w:color w:val="1A1A1A"/>
                <w:sz w:val="17"/>
                <w:shd w:val="clear" w:color="auto" w:fill="F1F1F1"/>
              </w:rPr>
              <w:t>GET  /ping</w:t>
            </w:r>
          </w:p>
        </w:tc>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health check</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ans Mono" w:hAnsi="DejaVu Sans Mono"/>
                <w:color w:val="1A1A1A"/>
                <w:sz w:val="17"/>
                <w:shd w:val="clear" w:color="auto" w:fill="F1F1F1"/>
              </w:rPr>
              <w:t>POST /invocations</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 xml:space="preserve">accepts </w:t>
            </w:r>
            <w:r>
              <w:rPr>
                <w:rFonts w:ascii="DejaVu Sans Mono" w:hAnsi="DejaVu Sans Mono"/>
                <w:color w:val="1A1A1A"/>
                <w:sz w:val="17"/>
                <w:shd w:val="clear" w:color="auto" w:fill="F1F1F1"/>
              </w:rPr>
              <w:t>{"dataframe_split": {"columns": [...], "data": [...]}}</w:t>
            </w:r>
          </w:p>
        </w:tc>
      </w:tr>
    </w:tbl>
    <w:p>
      <w:pPr>
        <w:spacing w:after="120" w:line="312" w:lineRule="auto"/>
        <w:jc w:val="both"/>
      </w:pPr>
      <w:r>
        <w:rPr>
          <w:rFonts w:ascii="DejaVu Serif" w:hAnsi="DejaVu Serif"/>
          <w:color w:val="1A1A1A"/>
          <w:sz w:val="21"/>
        </w:rPr>
        <w:t xml:space="preserve">Verified end-to-end: a 3-row batch from the test split returns </w:t>
      </w:r>
      <w:r>
        <w:rPr>
          <w:rFonts w:ascii="DejaVu Sans Mono" w:hAnsi="DejaVu Sans Mono"/>
          <w:color w:val="1A1A1A"/>
          <w:sz w:val="18"/>
          <w:shd w:val="clear" w:color="auto" w:fill="F1F1F1"/>
        </w:rPr>
        <w:t>{"predictions": [0, 1, 0]}</w:t>
      </w:r>
      <w:r>
        <w:rPr>
          <w:rFonts w:ascii="DejaVu Serif" w:hAnsi="DejaVu Serif"/>
          <w:color w:val="1A1A1A"/>
          <w:sz w:val="21"/>
        </w:rPr>
        <w:t xml:space="preserve">. This path requires zero serving code — MLflow reconstructs the full sklearn </w:t>
      </w:r>
      <w:r>
        <w:rPr>
          <w:rFonts w:ascii="DejaVu Sans Mono" w:hAnsi="DejaVu Sans Mono"/>
          <w:color w:val="1A1A1A"/>
          <w:sz w:val="18"/>
          <w:shd w:val="clear" w:color="auto" w:fill="F1F1F1"/>
        </w:rPr>
        <w:t>Pipeline</w:t>
      </w:r>
      <w:r>
        <w:rPr>
          <w:rFonts w:ascii="DejaVu Serif" w:hAnsi="DejaVu Serif"/>
          <w:color w:val="1A1A1A"/>
          <w:sz w:val="21"/>
        </w:rPr>
        <w:t xml:space="preserve"> (preprocessor + estimator) from the logged artifact and routes requests through it, so the JSON record goes straight from the wire to </w:t>
      </w:r>
      <w:r>
        <w:rPr>
          <w:rFonts w:ascii="DejaVu Sans Mono" w:hAnsi="DejaVu Sans Mono"/>
          <w:color w:val="1A1A1A"/>
          <w:sz w:val="18"/>
          <w:shd w:val="clear" w:color="auto" w:fill="F1F1F1"/>
        </w:rPr>
        <w:t>pipe.predict</w:t>
      </w:r>
      <w:r>
        <w:rPr>
          <w:rFonts w:ascii="DejaVu Serif" w:hAnsi="DejaVu Serif"/>
          <w:color w:val="1A1A1A"/>
          <w:sz w:val="21"/>
        </w:rPr>
        <w:t xml:space="preserve"> with no manual feature engineering at inference time.</w:t>
      </w:r>
    </w:p>
    <w:p>
      <w:pPr>
        <w:keepNext/>
        <w:spacing w:before="240" w:after="120"/>
      </w:pPr>
      <w:r>
        <w:rPr>
          <w:rFonts w:ascii="DejaVu Serif" w:hAnsi="DejaVu Serif"/>
          <w:b/>
          <w:color w:val="1A1A1A"/>
          <w:sz w:val="25"/>
        </w:rPr>
        <w:t>4.5 Drift monitoring (Objective 4)</w:t>
      </w:r>
    </w:p>
    <w:p>
      <w:pPr>
        <w:spacing w:after="120" w:line="312" w:lineRule="auto"/>
        <w:jc w:val="both"/>
      </w:pPr>
      <w:r>
        <w:rPr>
          <w:rFonts w:ascii="DejaVu Sans Mono" w:hAnsi="DejaVu Sans Mono"/>
          <w:color w:val="1A1A1A"/>
          <w:sz w:val="18"/>
          <w:shd w:val="clear" w:color="auto" w:fill="F1F1F1"/>
        </w:rPr>
        <w:t>src/monitor.py</w:t>
      </w:r>
      <w:r>
        <w:rPr>
          <w:rFonts w:ascii="DejaVu Serif" w:hAnsi="DejaVu Serif"/>
          <w:color w:val="1A1A1A"/>
          <w:sz w:val="21"/>
        </w:rPr>
        <w:t xml:space="preserve"> simulates three production batches against the </w:t>
      </w:r>
      <w:r>
        <w:rPr>
          <w:rFonts w:ascii="DejaVu Sans Mono" w:hAnsi="DejaVu Sans Mono"/>
          <w:color w:val="1A1A1A"/>
          <w:sz w:val="18"/>
          <w:shd w:val="clear" w:color="auto" w:fill="F1F1F1"/>
        </w:rPr>
        <w:t>telco-churn-classifier@production</w:t>
      </w:r>
      <w:r>
        <w:rPr>
          <w:rFonts w:ascii="DejaVu Serif" w:hAnsi="DejaVu Serif"/>
          <w:color w:val="1A1A1A"/>
          <w:sz w:val="21"/>
        </w:rPr>
        <w:t xml:space="preserve"> model. Each batch is logged as its own MLflow run in a separate </w:t>
      </w:r>
      <w:r>
        <w:rPr>
          <w:rFonts w:ascii="DejaVu Sans Mono" w:hAnsi="DejaVu Sans Mono"/>
          <w:color w:val="1A1A1A"/>
          <w:sz w:val="18"/>
          <w:shd w:val="clear" w:color="auto" w:fill="F1F1F1"/>
        </w:rPr>
        <w:t>telco_churn_monitoring</w:t>
      </w:r>
      <w:r>
        <w:rPr>
          <w:rFonts w:ascii="DejaVu Serif" w:hAnsi="DejaVu Serif"/>
          <w:color w:val="1A1A1A"/>
          <w:sz w:val="21"/>
        </w:rPr>
        <w:t xml:space="preserve"> experiment, so the metric time-series is browseable in the UI. The simulated batches are:</w:t>
      </w:r>
    </w:p>
    <w:p>
      <w:pPr>
        <w:spacing w:after="60"/>
        <w:ind w:left="454"/>
        <w:jc w:val="both"/>
      </w:pPr>
      <w:r>
        <w:rPr>
          <w:rFonts w:ascii="DejaVu Serif" w:hAnsi="DejaVu Serif"/>
          <w:color w:val="1A1A1A"/>
          <w:sz w:val="21"/>
        </w:rPr>
        <w:t xml:space="preserve">1. </w:t>
      </w:r>
      <w:r>
        <w:rPr>
          <w:rFonts w:ascii="DejaVu Serif" w:hAnsi="DejaVu Serif"/>
          <w:b/>
          <w:color w:val="1A1A1A"/>
          <w:sz w:val="21"/>
        </w:rPr>
        <w:t>clean</w:t>
      </w:r>
      <w:r>
        <w:rPr>
          <w:rFonts w:ascii="DejaVu Serif" w:hAnsi="DejaVu Serif"/>
          <w:color w:val="1A1A1A"/>
          <w:sz w:val="21"/>
        </w:rPr>
        <w:t xml:space="preserve"> — random sample of test set, no perturbation</w:t>
      </w:r>
    </w:p>
    <w:p>
      <w:pPr>
        <w:spacing w:after="60"/>
        <w:ind w:left="454"/>
        <w:jc w:val="both"/>
      </w:pPr>
      <w:r>
        <w:rPr>
          <w:rFonts w:ascii="DejaVu Serif" w:hAnsi="DejaVu Serif"/>
          <w:color w:val="1A1A1A"/>
          <w:sz w:val="21"/>
        </w:rPr>
        <w:t xml:space="preserve">2. </w:t>
      </w:r>
      <w:r>
        <w:rPr>
          <w:rFonts w:ascii="DejaVu Serif" w:hAnsi="DejaVu Serif"/>
          <w:b/>
          <w:color w:val="1A1A1A"/>
          <w:sz w:val="21"/>
        </w:rPr>
        <w:t>feature_drift</w:t>
      </w:r>
      <w:r>
        <w:rPr>
          <w:rFonts w:ascii="DejaVu Serif" w:hAnsi="DejaVu Serif"/>
          <w:color w:val="1A1A1A"/>
          <w:sz w:val="21"/>
        </w:rPr>
        <w:t xml:space="preserve"> — monthly charges shifted up by 15–35 %, contracts skewed toward Month-to-month (simulating a billing system change)</w:t>
      </w:r>
    </w:p>
    <w:p>
      <w:pPr>
        <w:spacing w:after="60"/>
        <w:ind w:left="454"/>
        <w:jc w:val="both"/>
      </w:pPr>
      <w:r>
        <w:rPr>
          <w:rFonts w:ascii="DejaVu Serif" w:hAnsi="DejaVu Serif"/>
          <w:color w:val="1A1A1A"/>
          <w:sz w:val="21"/>
        </w:rPr>
        <w:t xml:space="preserve">3. </w:t>
      </w:r>
      <w:r>
        <w:rPr>
          <w:rFonts w:ascii="DejaVu Serif" w:hAnsi="DejaVu Serif"/>
          <w:b/>
          <w:color w:val="1A1A1A"/>
          <w:sz w:val="21"/>
        </w:rPr>
        <w:t>concept_drift</w:t>
      </w:r>
      <w:r>
        <w:rPr>
          <w:rFonts w:ascii="DejaVu Serif" w:hAnsi="DejaVu Serif"/>
          <w:color w:val="1A1A1A"/>
          <w:sz w:val="21"/>
        </w:rPr>
        <w:t xml:space="preserve"> — features unchanged but 25 % of labels flipped (the relationship between X and y has shifted, e.g. a new competitor)</w:t>
      </w:r>
    </w:p>
    <w:p>
      <w:pPr>
        <w:spacing w:after="120" w:line="312" w:lineRule="auto"/>
        <w:jc w:val="both"/>
      </w:pPr>
      <w:r>
        <w:rPr>
          <w:rFonts w:ascii="DejaVu Serif" w:hAnsi="DejaVu Serif"/>
          <w:color w:val="1A1A1A"/>
          <w:sz w:val="21"/>
        </w:rPr>
        <w:t xml:space="preserve">Per-batch metrics logged: PSI per numeric feature, KS statistic + p-value per numeric feature, </w:t>
      </w:r>
      <w:r>
        <w:rPr>
          <w:rFonts w:ascii="DejaVu Sans Mono" w:hAnsi="DejaVu Sans Mono"/>
          <w:color w:val="1A1A1A"/>
          <w:sz w:val="18"/>
          <w:shd w:val="clear" w:color="auto" w:fill="F1F1F1"/>
        </w:rPr>
        <w:t>max_psi</w:t>
      </w:r>
      <w:r>
        <w:rPr>
          <w:rFonts w:ascii="DejaVu Serif" w:hAnsi="DejaVu Serif"/>
          <w:color w:val="1A1A1A"/>
          <w:sz w:val="21"/>
        </w:rPr>
        <w:t xml:space="preserve">, a binary </w:t>
      </w:r>
      <w:r>
        <w:rPr>
          <w:rFonts w:ascii="DejaVu Sans Mono" w:hAnsi="DejaVu Sans Mono"/>
          <w:color w:val="1A1A1A"/>
          <w:sz w:val="18"/>
          <w:shd w:val="clear" w:color="auto" w:fill="F1F1F1"/>
        </w:rPr>
        <w:t>drift_alert</w:t>
      </w:r>
      <w:r>
        <w:rPr>
          <w:rFonts w:ascii="DejaVu Serif" w:hAnsi="DejaVu Serif"/>
          <w:color w:val="1A1A1A"/>
          <w:sz w:val="21"/>
        </w:rPr>
        <w:t xml:space="preserve"> (PSI threshold &gt; 0.25), and full model performance (</w:t>
      </w:r>
      <w:r>
        <w:rPr>
          <w:rFonts w:ascii="DejaVu Sans Mono" w:hAnsi="DejaVu Sans Mono"/>
          <w:color w:val="1A1A1A"/>
          <w:sz w:val="18"/>
          <w:shd w:val="clear" w:color="auto" w:fill="F1F1F1"/>
        </w:rPr>
        <w:t>prod_accuracy</w:t>
      </w:r>
      <w:r>
        <w:rPr>
          <w:rFonts w:ascii="DejaVu Serif" w:hAnsi="DejaVu Serif"/>
          <w:color w:val="1A1A1A"/>
          <w:sz w:val="21"/>
        </w:rPr>
        <w:t xml:space="preserve">, </w:t>
      </w:r>
      <w:r>
        <w:rPr>
          <w:rFonts w:ascii="DejaVu Sans Mono" w:hAnsi="DejaVu Sans Mono"/>
          <w:color w:val="1A1A1A"/>
          <w:sz w:val="18"/>
          <w:shd w:val="clear" w:color="auto" w:fill="F1F1F1"/>
        </w:rPr>
        <w:t>prod_roc_auc</w:t>
      </w:r>
      <w:r>
        <w:rPr>
          <w:rFonts w:ascii="DejaVu Serif" w:hAnsi="DejaVu Serif"/>
          <w:color w:val="1A1A1A"/>
          <w:sz w:val="21"/>
        </w:rPr>
        <w:t xml:space="preserve">, </w:t>
      </w:r>
      <w:r>
        <w:rPr>
          <w:rFonts w:ascii="DejaVu Sans Mono" w:hAnsi="DejaVu Sans Mono"/>
          <w:color w:val="1A1A1A"/>
          <w:sz w:val="18"/>
          <w:shd w:val="clear" w:color="auto" w:fill="F1F1F1"/>
        </w:rPr>
        <w:t>prod_f1</w:t>
      </w:r>
      <w:r>
        <w:rPr>
          <w:rFonts w:ascii="DejaVu Serif" w:hAnsi="DejaVu Serif"/>
          <w:color w:val="1A1A1A"/>
          <w:sz w:val="21"/>
        </w:rPr>
        <w:t>, …). An Evidently HTML report is attached as an artifact.</w:t>
      </w:r>
    </w:p>
    <w:p>
      <w:pPr>
        <w:spacing w:after="120" w:line="312" w:lineRule="auto"/>
        <w:jc w:val="both"/>
      </w:pPr>
      <w:r>
        <w:rPr>
          <w:rFonts w:ascii="DejaVu Serif" w:hAnsi="DejaVu Serif"/>
          <w:b/>
          <w:color w:val="1A1A1A"/>
          <w:sz w:val="21"/>
        </w:rPr>
        <w:t>Results:</w:t>
      </w:r>
    </w:p>
    <w:tbl>
      <w:tblPr>
        <w:tblW w:type="auto" w:w="0"/>
        <w:jc w:val="left"/>
        <w:tblLayout w:type="autofit"/>
        <w:tblLook w:firstColumn="1" w:firstRow="1" w:lastColumn="0" w:lastRow="0" w:noHBand="0" w:noVBand="1" w:val="04A0"/>
      </w:tblPr>
      <w:tblGrid>
        <w:gridCol w:w="1881"/>
        <w:gridCol w:w="1881"/>
        <w:gridCol w:w="1881"/>
        <w:gridCol w:w="1881"/>
        <w:gridCol w:w="1881"/>
      </w:tblGrid>
      <w:tr>
        <w:tc>
          <w:tcPr>
            <w:tcW w:type="dxa" w:w="188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Scenario</w:t>
            </w:r>
          </w:p>
        </w:tc>
        <w:tc>
          <w:tcPr>
            <w:tcW w:type="dxa" w:w="188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max_psi</w:t>
            </w:r>
          </w:p>
        </w:tc>
        <w:tc>
          <w:tcPr>
            <w:tcW w:type="dxa" w:w="188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drift_alert</w:t>
            </w:r>
          </w:p>
        </w:tc>
        <w:tc>
          <w:tcPr>
            <w:tcW w:type="dxa" w:w="188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prod_roc_auc</w:t>
            </w:r>
          </w:p>
        </w:tc>
        <w:tc>
          <w:tcPr>
            <w:tcW w:type="dxa" w:w="1881"/>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prod_f1</w:t>
            </w:r>
          </w:p>
        </w:tc>
      </w:tr>
      <w:tr>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clean</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0.023</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False</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0.834</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0.551</w:t>
            </w:r>
          </w:p>
        </w:tc>
      </w:tr>
      <w:tr>
        <w:tc>
          <w:tcPr>
            <w:tcW w:type="dxa" w:w="188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feature_drift</w:t>
            </w:r>
          </w:p>
        </w:tc>
        <w:tc>
          <w:tcPr>
            <w:tcW w:type="dxa" w:w="188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1.488</w:t>
            </w:r>
          </w:p>
        </w:tc>
        <w:tc>
          <w:tcPr>
            <w:tcW w:type="dxa" w:w="188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b/>
                <w:color w:val="1A1A1A"/>
                <w:sz w:val="20"/>
              </w:rPr>
              <w:t>True</w:t>
            </w:r>
          </w:p>
        </w:tc>
        <w:tc>
          <w:tcPr>
            <w:tcW w:type="dxa" w:w="188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0.843</w:t>
            </w:r>
          </w:p>
        </w:tc>
        <w:tc>
          <w:tcPr>
            <w:tcW w:type="dxa" w:w="1881"/>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0.617</w:t>
            </w:r>
          </w:p>
        </w:tc>
      </w:tr>
      <w:tr>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concept_drift</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0.016</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False</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b/>
                <w:color w:val="1A1A1A"/>
                <w:sz w:val="20"/>
              </w:rPr>
              <w:t>0.654</w:t>
            </w:r>
          </w:p>
        </w:tc>
        <w:tc>
          <w:tcPr>
            <w:tcW w:type="dxa" w:w="1881"/>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0.445</w:t>
            </w:r>
          </w:p>
        </w:tc>
      </w:tr>
    </w:tbl>
    <w:p>
      <w:pPr>
        <w:spacing w:after="120" w:line="312" w:lineRule="auto"/>
        <w:jc w:val="both"/>
      </w:pPr>
      <w:r>
        <w:rPr>
          <w:rFonts w:ascii="DejaVu Serif" w:hAnsi="DejaVu Serif"/>
          <w:color w:val="1A1A1A"/>
          <w:sz w:val="21"/>
        </w:rPr>
        <w:t xml:space="preserve">The third scenario is the key insight of the project: </w:t>
      </w:r>
      <w:r>
        <w:rPr>
          <w:rFonts w:ascii="DejaVu Serif" w:hAnsi="DejaVu Serif"/>
          <w:b/>
          <w:color w:val="1A1A1A"/>
          <w:sz w:val="21"/>
        </w:rPr>
        <w:t>PSI alone is blind to concept drift</w:t>
      </w:r>
      <w:r>
        <w:rPr>
          <w:rFonts w:ascii="DejaVu Serif" w:hAnsi="DejaVu Serif"/>
          <w:color w:val="1A1A1A"/>
          <w:sz w:val="21"/>
        </w:rPr>
        <w:t>. Features look identical to training, the alarm does not fire, yet model performance collapses. This is why production monitoring must combine input-distribution checks with performance metrics on labelled samples whenever ground truth is available (delayed labels, post-decision feedback, manual review queues, etc.).</w:t>
      </w:r>
    </w:p>
    <w:p>
      <w:pPr>
        <w:keepNext/>
        <w:spacing w:before="360" w:after="120"/>
      </w:pPr>
      <w:r>
        <w:rPr>
          <w:rFonts w:ascii="DejaVu Serif" w:hAnsi="DejaVu Serif"/>
          <w:b/>
          <w:color w:val="0B2A4A"/>
          <w:sz w:val="30"/>
        </w:rPr>
        <w:t>5. Discussion and insights</w:t>
      </w:r>
    </w:p>
    <w:p>
      <w:pPr>
        <w:spacing w:after="60"/>
        <w:ind w:left="454"/>
        <w:jc w:val="both"/>
      </w:pPr>
      <w:r>
        <w:rPr>
          <w:rFonts w:ascii="DejaVu Serif" w:hAnsi="DejaVu Serif"/>
          <w:color w:val="1A1A1A"/>
          <w:sz w:val="21"/>
        </w:rPr>
        <w:t xml:space="preserve">1. </w:t>
      </w:r>
      <w:r>
        <w:rPr>
          <w:rFonts w:ascii="DejaVu Serif" w:hAnsi="DejaVu Serif"/>
          <w:b/>
          <w:color w:val="1A1A1A"/>
          <w:sz w:val="21"/>
        </w:rPr>
        <w:t>Simpler can win on small tabular data.</w:t>
      </w:r>
      <w:r>
        <w:rPr>
          <w:rFonts w:ascii="DejaVu Serif" w:hAnsi="DejaVu Serif"/>
          <w:color w:val="1A1A1A"/>
          <w:sz w:val="21"/>
        </w:rPr>
        <w:t xml:space="preserve"> The strongest out-of-the-box model was LogisticRegression; only after Hyperopt with regularization tuning did Gradient Boosting overtake it. Capacity isn't free.</w:t>
      </w:r>
    </w:p>
    <w:p>
      <w:pPr>
        <w:spacing w:after="60"/>
        <w:ind w:left="454"/>
        <w:jc w:val="both"/>
      </w:pPr>
      <w:r>
        <w:rPr>
          <w:rFonts w:ascii="DejaVu Serif" w:hAnsi="DejaVu Serif"/>
          <w:color w:val="1A1A1A"/>
          <w:sz w:val="21"/>
        </w:rPr>
        <w:t xml:space="preserve">2. </w:t>
      </w:r>
      <w:r>
        <w:rPr>
          <w:rFonts w:ascii="DejaVu Serif" w:hAnsi="DejaVu Serif"/>
          <w:b/>
          <w:color w:val="1A1A1A"/>
          <w:sz w:val="21"/>
        </w:rPr>
        <w:t>MLflow 3 separates "Logged Models" from runs.</w:t>
      </w:r>
      <w:r>
        <w:rPr>
          <w:rFonts w:ascii="DejaVu Serif" w:hAnsi="DejaVu Serif"/>
          <w:color w:val="1A1A1A"/>
          <w:sz w:val="21"/>
        </w:rPr>
        <w:t xml:space="preserve"> The artifact path is </w:t>
      </w:r>
      <w:r>
        <w:rPr>
          <w:rFonts w:ascii="DejaVu Sans Mono" w:hAnsi="DejaVu Sans Mono"/>
          <w:color w:val="1A1A1A"/>
          <w:sz w:val="18"/>
          <w:shd w:val="clear" w:color="auto" w:fill="F1F1F1"/>
        </w:rPr>
        <w:t>mlruns/&lt;exp&gt;/models/m-&lt;uuid&gt;/</w:t>
      </w:r>
      <w:r>
        <w:rPr>
          <w:rFonts w:ascii="DejaVu Serif" w:hAnsi="DejaVu Serif"/>
          <w:color w:val="1A1A1A"/>
          <w:sz w:val="21"/>
        </w:rPr>
        <w:t xml:space="preserve">, not the old </w:t>
      </w:r>
      <w:r>
        <w:rPr>
          <w:rFonts w:ascii="DejaVu Sans Mono" w:hAnsi="DejaVu Sans Mono"/>
          <w:color w:val="1A1A1A"/>
          <w:sz w:val="18"/>
          <w:shd w:val="clear" w:color="auto" w:fill="F1F1F1"/>
        </w:rPr>
        <w:t>mlruns/&lt;exp&gt;/&lt;run&gt;/artifacts/model</w:t>
      </w:r>
      <w:r>
        <w:rPr>
          <w:rFonts w:ascii="DejaVu Serif" w:hAnsi="DejaVu Serif"/>
          <w:color w:val="1A1A1A"/>
          <w:sz w:val="21"/>
        </w:rPr>
        <w:t xml:space="preserve">. Registering a version using the legacy </w:t>
      </w:r>
      <w:r>
        <w:rPr>
          <w:rFonts w:ascii="DejaVu Sans Mono" w:hAnsi="DejaVu Sans Mono"/>
          <w:color w:val="1A1A1A"/>
          <w:sz w:val="18"/>
          <w:shd w:val="clear" w:color="auto" w:fill="F1F1F1"/>
        </w:rPr>
        <w:t>runs:/&lt;run&gt;/model</w:t>
      </w:r>
      <w:r>
        <w:rPr>
          <w:rFonts w:ascii="DejaVu Serif" w:hAnsi="DejaVu Serif"/>
          <w:color w:val="1A1A1A"/>
          <w:sz w:val="21"/>
        </w:rPr>
        <w:t xml:space="preserve"> URI silently succeeds but breaks on load. The registry module here resolves the </w:t>
      </w:r>
      <w:r>
        <w:rPr>
          <w:rFonts w:ascii="DejaVu Sans Mono" w:hAnsi="DejaVu Sans Mono"/>
          <w:color w:val="1A1A1A"/>
          <w:sz w:val="18"/>
          <w:shd w:val="clear" w:color="auto" w:fill="F1F1F1"/>
        </w:rPr>
        <w:t>model_id</w:t>
      </w:r>
      <w:r>
        <w:rPr>
          <w:rFonts w:ascii="DejaVu Serif" w:hAnsi="DejaVu Serif"/>
          <w:color w:val="1A1A1A"/>
          <w:sz w:val="21"/>
        </w:rPr>
        <w:t xml:space="preserve"> via </w:t>
      </w:r>
      <w:r>
        <w:rPr>
          <w:rFonts w:ascii="DejaVu Sans Mono" w:hAnsi="DejaVu Sans Mono"/>
          <w:color w:val="1A1A1A"/>
          <w:sz w:val="18"/>
          <w:shd w:val="clear" w:color="auto" w:fill="F1F1F1"/>
        </w:rPr>
        <w:t>search_logged_models</w:t>
      </w:r>
      <w:r>
        <w:rPr>
          <w:rFonts w:ascii="DejaVu Serif" w:hAnsi="DejaVu Serif"/>
          <w:color w:val="1A1A1A"/>
          <w:sz w:val="21"/>
        </w:rPr>
        <w:t xml:space="preserve"> to avoid this.</w:t>
      </w:r>
    </w:p>
    <w:p>
      <w:pPr>
        <w:spacing w:after="60"/>
        <w:ind w:left="454"/>
        <w:jc w:val="both"/>
      </w:pPr>
      <w:r>
        <w:rPr>
          <w:rFonts w:ascii="DejaVu Serif" w:hAnsi="DejaVu Serif"/>
          <w:color w:val="1A1A1A"/>
          <w:sz w:val="21"/>
        </w:rPr>
        <w:t xml:space="preserve">3. </w:t>
      </w:r>
      <w:r>
        <w:rPr>
          <w:rFonts w:ascii="DejaVu Serif" w:hAnsi="DejaVu Serif"/>
          <w:b/>
          <w:color w:val="1A1A1A"/>
          <w:sz w:val="21"/>
        </w:rPr>
        <w:t>Aliases &gt; Stages.</w:t>
      </w:r>
      <w:r>
        <w:rPr>
          <w:rFonts w:ascii="DejaVu Serif" w:hAnsi="DejaVu Serif"/>
          <w:color w:val="1A1A1A"/>
          <w:sz w:val="21"/>
        </w:rPr>
        <w:t xml:space="preserve"> MLflow's named-alias model (</w:t>
      </w:r>
      <w:r>
        <w:rPr>
          <w:rFonts w:ascii="DejaVu Sans Mono" w:hAnsi="DejaVu Sans Mono"/>
          <w:color w:val="1A1A1A"/>
          <w:sz w:val="18"/>
          <w:shd w:val="clear" w:color="auto" w:fill="F1F1F1"/>
        </w:rPr>
        <w:t>@staging</w:t>
      </w:r>
      <w:r>
        <w:rPr>
          <w:rFonts w:ascii="DejaVu Serif" w:hAnsi="DejaVu Serif"/>
          <w:color w:val="1A1A1A"/>
          <w:sz w:val="21"/>
        </w:rPr>
        <w:t xml:space="preserve">, </w:t>
      </w:r>
      <w:r>
        <w:rPr>
          <w:rFonts w:ascii="DejaVu Sans Mono" w:hAnsi="DejaVu Sans Mono"/>
          <w:color w:val="1A1A1A"/>
          <w:sz w:val="18"/>
          <w:shd w:val="clear" w:color="auto" w:fill="F1F1F1"/>
        </w:rPr>
        <w:t>@production</w:t>
      </w:r>
      <w:r>
        <w:rPr>
          <w:rFonts w:ascii="DejaVu Serif" w:hAnsi="DejaVu Serif"/>
          <w:color w:val="1A1A1A"/>
          <w:sz w:val="21"/>
        </w:rPr>
        <w:t>) makes promotion atomic and reversible. Tags are kept alongside for parity with the brief, but the serving layer reads from the alias.</w:t>
      </w:r>
    </w:p>
    <w:p>
      <w:pPr>
        <w:spacing w:after="60"/>
        <w:ind w:left="454"/>
        <w:jc w:val="both"/>
      </w:pPr>
      <w:r>
        <w:rPr>
          <w:rFonts w:ascii="DejaVu Serif" w:hAnsi="DejaVu Serif"/>
          <w:color w:val="1A1A1A"/>
          <w:sz w:val="21"/>
        </w:rPr>
        <w:t xml:space="preserve">4. </w:t>
      </w:r>
      <w:r>
        <w:rPr>
          <w:rFonts w:ascii="DejaVu Serif" w:hAnsi="DejaVu Serif"/>
          <w:b/>
          <w:color w:val="1A1A1A"/>
          <w:sz w:val="21"/>
        </w:rPr>
        <w:t>PSI ≠ performance.</w:t>
      </w:r>
      <w:r>
        <w:rPr>
          <w:rFonts w:ascii="DejaVu Serif" w:hAnsi="DejaVu Serif"/>
          <w:color w:val="1A1A1A"/>
          <w:sz w:val="21"/>
        </w:rPr>
        <w:t xml:space="preserve"> Two monitoring signals are necessary, not one.</w:t>
      </w:r>
    </w:p>
    <w:p>
      <w:pPr>
        <w:spacing w:after="60"/>
        <w:ind w:left="454"/>
        <w:jc w:val="both"/>
      </w:pPr>
      <w:r>
        <w:rPr>
          <w:rFonts w:ascii="DejaVu Serif" w:hAnsi="DejaVu Serif"/>
          <w:color w:val="1A1A1A"/>
          <w:sz w:val="21"/>
        </w:rPr>
        <w:t xml:space="preserve">5. </w:t>
      </w:r>
      <w:r>
        <w:rPr>
          <w:rFonts w:ascii="DejaVu Serif" w:hAnsi="DejaVu Serif"/>
          <w:b/>
          <w:color w:val="1A1A1A"/>
          <w:sz w:val="21"/>
        </w:rPr>
        <w:t>Pipeline-as-artifact.</w:t>
      </w:r>
      <w:r>
        <w:rPr>
          <w:rFonts w:ascii="DejaVu Serif" w:hAnsi="DejaVu Serif"/>
          <w:color w:val="1A1A1A"/>
          <w:sz w:val="21"/>
        </w:rPr>
        <w:t xml:space="preserve"> Logging the full sklearn </w:t>
      </w:r>
      <w:r>
        <w:rPr>
          <w:rFonts w:ascii="DejaVu Sans Mono" w:hAnsi="DejaVu Sans Mono"/>
          <w:color w:val="1A1A1A"/>
          <w:sz w:val="18"/>
          <w:shd w:val="clear" w:color="auto" w:fill="F1F1F1"/>
        </w:rPr>
        <w:t>Pipeline</w:t>
      </w:r>
      <w:r>
        <w:rPr>
          <w:rFonts w:ascii="DejaVu Serif" w:hAnsi="DejaVu Serif"/>
          <w:color w:val="1A1A1A"/>
          <w:sz w:val="21"/>
        </w:rPr>
        <w:t xml:space="preserve"> (preprocessor + estimator) means the scoring server does no manual preprocessing — the JSON record goes straight to </w:t>
      </w:r>
      <w:r>
        <w:rPr>
          <w:rFonts w:ascii="DejaVu Sans Mono" w:hAnsi="DejaVu Sans Mono"/>
          <w:color w:val="1A1A1A"/>
          <w:sz w:val="18"/>
          <w:shd w:val="clear" w:color="auto" w:fill="F1F1F1"/>
        </w:rPr>
        <w:t>pipe.predict</w:t>
      </w:r>
      <w:r>
        <w:rPr>
          <w:rFonts w:ascii="DejaVu Serif" w:hAnsi="DejaVu Serif"/>
          <w:color w:val="1A1A1A"/>
          <w:sz w:val="21"/>
        </w:rPr>
        <w:t>, eliminating an entire class of training/serving skew bugs.</w:t>
      </w:r>
    </w:p>
    <w:p>
      <w:pPr>
        <w:keepNext/>
        <w:spacing w:before="360" w:after="120"/>
      </w:pPr>
      <w:r>
        <w:rPr>
          <w:rFonts w:ascii="DejaVu Serif" w:hAnsi="DejaVu Serif"/>
          <w:b/>
          <w:color w:val="0B2A4A"/>
          <w:sz w:val="30"/>
        </w:rPr>
        <w:t>6. Reproducibility</w:t>
      </w:r>
    </w:p>
    <w:tbl>
      <w:tblPr>
        <w:tblW w:type="auto" w:w="0"/>
        <w:jc w:val="left"/>
        <w:tblLayout w:type="autofit"/>
        <w:tblLook w:firstColumn="1" w:firstRow="1" w:lastColumn="0" w:lastRow="0" w:noHBand="0" w:noVBand="1" w:val="04A0"/>
      </w:tblPr>
      <w:tblGrid>
        <w:gridCol w:w="4703"/>
        <w:gridCol w:w="4703"/>
      </w:tblGrid>
      <w:tr>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Item</w:t>
            </w:r>
          </w:p>
        </w:tc>
        <w:tc>
          <w:tcPr>
            <w:tcW w:type="dxa" w:w="4703"/>
            <w:shd w:val="clear" w:color="auto" w:fill="0B2A4A"/>
            <w:tcBorders>
              <w:top w:val="single" w:sz="4" w:color="B0B7C3"/>
              <w:left w:val="single" w:sz="4" w:color="B0B7C3"/>
              <w:bottom w:val="single" w:sz="4" w:color="B0B7C3"/>
              <w:right w:val="single" w:sz="4" w:color="B0B7C3"/>
            </w:tcBorders>
          </w:tcPr>
          <w:p>
            <w:pPr>
              <w:spacing w:after="0"/>
            </w:pPr>
            <w:r/>
            <w:r>
              <w:rPr>
                <w:rFonts w:ascii="DejaVu Serif" w:hAnsi="DejaVu Serif"/>
                <w:b/>
                <w:color w:val="FFFFFF"/>
                <w:sz w:val="20"/>
              </w:rPr>
              <w:t>Value</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Python</w:t>
            </w:r>
          </w:p>
        </w:tc>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3.12.13</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Random seeds</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ans Mono" w:hAnsi="DejaVu Sans Mono"/>
                <w:color w:val="1A1A1A"/>
                <w:sz w:val="17"/>
                <w:shd w:val="clear" w:color="auto" w:fill="F1F1F1"/>
              </w:rPr>
              <w:t>RANDOM_STATE = 42</w:t>
            </w:r>
            <w:r>
              <w:rPr>
                <w:rFonts w:ascii="DejaVu Serif" w:hAnsi="DejaVu Serif"/>
                <w:color w:val="1A1A1A"/>
                <w:sz w:val="20"/>
              </w:rPr>
              <w:t xml:space="preserve"> (splits + estimators), </w:t>
            </w:r>
            <w:r>
              <w:rPr>
                <w:rFonts w:ascii="DejaVu Sans Mono" w:hAnsi="DejaVu Sans Mono"/>
                <w:color w:val="1A1A1A"/>
                <w:sz w:val="17"/>
                <w:shd w:val="clear" w:color="auto" w:fill="F1F1F1"/>
              </w:rPr>
              <w:t>seed=7</w:t>
            </w:r>
            <w:r>
              <w:rPr>
                <w:rFonts w:ascii="DejaVu Serif" w:hAnsi="DejaVu Serif"/>
                <w:color w:val="1A1A1A"/>
                <w:sz w:val="20"/>
              </w:rPr>
              <w:t xml:space="preserve"> (monitoring batches)</w:t>
            </w:r>
          </w:p>
        </w:tc>
      </w:tr>
      <w:tr>
        <w:tc>
          <w:tcPr>
            <w:tcW w:type="dxa" w:w="4703"/>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Hyperopt RNG</w:t>
            </w:r>
          </w:p>
        </w:tc>
        <w:tc>
          <w:tcPr>
            <w:tcW w:type="dxa" w:w="4703"/>
            <w:tcBorders>
              <w:top w:val="single" w:sz="4" w:color="B0B7C3"/>
              <w:left w:val="single" w:sz="4" w:color="B0B7C3"/>
              <w:bottom w:val="single" w:sz="4" w:color="B0B7C3"/>
              <w:right w:val="single" w:sz="4" w:color="B0B7C3"/>
            </w:tcBorders>
          </w:tcPr>
          <w:p>
            <w:pPr>
              <w:spacing w:after="0"/>
            </w:pPr>
            <w:r/>
            <w:r>
              <w:rPr>
                <w:rFonts w:ascii="DejaVu Sans Mono" w:hAnsi="DejaVu Sans Mono"/>
                <w:color w:val="1A1A1A"/>
                <w:sz w:val="17"/>
                <w:shd w:val="clear" w:color="auto" w:fill="F1F1F1"/>
              </w:rPr>
              <w:t>np.random.default_rng(42)</w:t>
            </w:r>
          </w:p>
        </w:tc>
      </w:tr>
      <w:tr>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erif" w:hAnsi="DejaVu Serif"/>
                <w:color w:val="1A1A1A"/>
                <w:sz w:val="20"/>
              </w:rPr>
              <w:t>Dataset hash</w:t>
            </w:r>
          </w:p>
        </w:tc>
        <w:tc>
          <w:tcPr>
            <w:tcW w:type="dxa" w:w="4703"/>
            <w:shd w:val="clear" w:color="auto" w:fill="F7F8FA"/>
            <w:tcBorders>
              <w:top w:val="single" w:sz="4" w:color="B0B7C3"/>
              <w:left w:val="single" w:sz="4" w:color="B0B7C3"/>
              <w:bottom w:val="single" w:sz="4" w:color="B0B7C3"/>
              <w:right w:val="single" w:sz="4" w:color="B0B7C3"/>
            </w:tcBorders>
          </w:tcPr>
          <w:p>
            <w:pPr>
              <w:spacing w:after="0"/>
            </w:pPr>
            <w:r/>
            <w:r>
              <w:rPr>
                <w:rFonts w:ascii="DejaVu Sans Mono" w:hAnsi="DejaVu Sans Mono"/>
                <w:color w:val="1A1A1A"/>
                <w:sz w:val="17"/>
                <w:shd w:val="clear" w:color="auto" w:fill="F1F1F1"/>
              </w:rPr>
              <w:t>data/raw/telco_churn.csv</w:t>
            </w:r>
            <w:r>
              <w:rPr>
                <w:rFonts w:ascii="DejaVu Serif" w:hAnsi="DejaVu Serif"/>
                <w:color w:val="1A1A1A"/>
                <w:sz w:val="20"/>
              </w:rPr>
              <w:t xml:space="preserve"> (948 KB, 7,043 rows) downloaded from the IBM mirror on GitHub</w:t>
            </w:r>
          </w:p>
        </w:tc>
      </w:tr>
    </w:tbl>
    <w:p>
      <w:pPr>
        <w:spacing w:after="120" w:line="312" w:lineRule="auto"/>
        <w:jc w:val="both"/>
      </w:pPr>
      <w:r>
        <w:rPr>
          <w:rFonts w:ascii="DejaVu Serif" w:hAnsi="DejaVu Serif"/>
          <w:color w:val="1A1A1A"/>
          <w:sz w:val="21"/>
        </w:rPr>
        <w:t xml:space="preserve">All metrics in this report are reproduced by running the commands in </w:t>
      </w:r>
      <w:r>
        <w:rPr>
          <w:rFonts w:ascii="DejaVu Sans Mono" w:hAnsi="DejaVu Sans Mono"/>
          <w:color w:val="1A1A1A"/>
          <w:sz w:val="18"/>
          <w:shd w:val="clear" w:color="auto" w:fill="F1F1F1"/>
        </w:rPr>
        <w:t>README.md</w:t>
      </w:r>
      <w:r>
        <w:rPr>
          <w:rFonts w:ascii="DejaVu Serif" w:hAnsi="DejaVu Serif"/>
          <w:color w:val="1A1A1A"/>
          <w:sz w:val="21"/>
        </w:rPr>
        <w:t xml:space="preserve"> in order.</w:t>
      </w:r>
    </w:p>
    <w:p>
      <w:pPr>
        <w:keepNext/>
        <w:spacing w:before="360" w:after="120"/>
      </w:pPr>
      <w:r>
        <w:rPr>
          <w:rFonts w:ascii="DejaVu Serif" w:hAnsi="DejaVu Serif"/>
          <w:b/>
          <w:color w:val="0B2A4A"/>
          <w:sz w:val="30"/>
        </w:rPr>
        <w:t>7. Limitations and future work</w:t>
      </w:r>
    </w:p>
    <w:p>
      <w:pPr>
        <w:pStyle w:val="ListBullet"/>
        <w:spacing w:after="60"/>
        <w:ind w:left="454"/>
        <w:jc w:val="both"/>
      </w:pPr>
      <w:r>
        <w:rPr>
          <w:rFonts w:ascii="DejaVu Serif" w:hAnsi="DejaVu Serif"/>
          <w:color w:val="1A1A1A"/>
          <w:sz w:val="21"/>
        </w:rPr>
        <w:t>Threshold tuning is not currently exposed — the scoring server uses 0.5; in production we'd pick a threshold maximizing expected retention value given the cost of a save offer.</w:t>
      </w:r>
    </w:p>
    <w:p>
      <w:pPr>
        <w:pStyle w:val="ListBullet"/>
        <w:spacing w:after="60"/>
        <w:ind w:left="454"/>
        <w:jc w:val="both"/>
      </w:pPr>
      <w:r>
        <w:rPr>
          <w:rFonts w:ascii="DejaVu Serif" w:hAnsi="DejaVu Serif"/>
          <w:color w:val="1A1A1A"/>
          <w:sz w:val="21"/>
        </w:rPr>
        <w:t>Class imbalance is mild (≈ 27 %) so we did not apply SMOTE / class weights; these are worth a sweep for the F1-vs-recall tradeoff.</w:t>
      </w:r>
    </w:p>
    <w:p>
      <w:pPr>
        <w:pStyle w:val="ListBullet"/>
        <w:spacing w:after="60"/>
        <w:ind w:left="454"/>
        <w:jc w:val="both"/>
      </w:pPr>
      <w:r>
        <w:rPr>
          <w:rFonts w:ascii="DejaVu Serif" w:hAnsi="DejaVu Serif"/>
          <w:color w:val="1A1A1A"/>
          <w:sz w:val="21"/>
        </w:rPr>
        <w:t xml:space="preserve">The drift monitoring script logs metrics but does not auto-rollback the registered model. A natural extension is to gate </w:t>
      </w:r>
      <w:r>
        <w:rPr>
          <w:rFonts w:ascii="DejaVu Sans Mono" w:hAnsi="DejaVu Sans Mono"/>
          <w:color w:val="1A1A1A"/>
          <w:sz w:val="18"/>
          <w:shd w:val="clear" w:color="auto" w:fill="F1F1F1"/>
        </w:rPr>
        <w:t>@production</w:t>
      </w:r>
      <w:r>
        <w:rPr>
          <w:rFonts w:ascii="DejaVu Serif" w:hAnsi="DejaVu Serif"/>
          <w:color w:val="1A1A1A"/>
          <w:sz w:val="21"/>
        </w:rPr>
        <w:t xml:space="preserve"> promotion on </w:t>
      </w:r>
      <w:r>
        <w:rPr>
          <w:rFonts w:ascii="DejaVu Sans Mono" w:hAnsi="DejaVu Sans Mono"/>
          <w:color w:val="1A1A1A"/>
          <w:sz w:val="18"/>
          <w:shd w:val="clear" w:color="auto" w:fill="F1F1F1"/>
        </w:rPr>
        <w:t>prod_roc_auc</w:t>
      </w:r>
      <w:r>
        <w:rPr>
          <w:rFonts w:ascii="DejaVu Serif" w:hAnsi="DejaVu Serif"/>
          <w:color w:val="1A1A1A"/>
          <w:sz w:val="21"/>
        </w:rPr>
        <w:t xml:space="preserve"> exceeding a threshold over a rolling window.</w:t>
      </w:r>
    </w:p>
    <w:p>
      <w:pPr>
        <w:pStyle w:val="ListBullet"/>
        <w:spacing w:after="60"/>
        <w:ind w:left="454"/>
        <w:jc w:val="both"/>
      </w:pPr>
      <w:r>
        <w:rPr>
          <w:rFonts w:ascii="DejaVu Serif" w:hAnsi="DejaVu Serif"/>
          <w:color w:val="1A1A1A"/>
          <w:sz w:val="21"/>
        </w:rPr>
        <w:t>The artifact store is local; for a multi-user setup the backend store would be Postgres and the artifact root S3 / GCS.</w:t>
      </w:r>
    </w:p>
    <w:sectPr w:rsidR="00FC693F" w:rsidRPr="0006063C" w:rsidSect="00034616">
      <w:footerReference w:type="default" r:id="rId9"/>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color w:val="5A5A5A"/>
        <w:sz w:val="18"/>
      </w:rPr>
      <w:fldSimple w:instr="PAGE \* MERGEFORMAT"/>
    </w:r>
    <w:r>
      <w:rPr>
        <w:rFonts w:ascii="DejaVu Serif" w:hAnsi="DejaVu Serif"/>
        <w:color w:val="5A5A5A"/>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erif" w:hAnsi="DejaVu Serif"/>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