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7F7F7F"/>
          <w:sz w:val="22"/>
          <w:szCs w:val="22"/>
        </w:rPr>
        <w:t xml:space="preserve">SMART CONSEILS MALI</w:t>
      </w:r>
    </w:p>
    <w:p>
      <w:pPr>
        <w:pBdr>
          <w:bottom w:val="single" w:color="1F4E79" w:sz="12" w:space="4"/>
        </w:pBdr>
        <w:spacing w:after="80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Proposition commerciale et devis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Gestion des réseaux sociaux et création du site web · Établi le 07/10/2026 · Validité : 30 jours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Informations générales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Client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Smart Conseils Mali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Prestataire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Mohamede PANKOLO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Objet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Stratégie et animation des réseaux sociaux (Facebook, LinkedIn, X, Instagram en option) ; création et mise à jour du site web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Monnaie</w:t>
            </w:r>
          </w:p>
        </w:tc>
        <w:tc>
          <w:tcPr>
            <w:tcW w:type="dxa" w:w="74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Francs CFA (FCFA)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1. Contexte</w:t>
      </w:r>
    </w:p>
    <w:p>
      <w:pPr>
        <w:spacing w:after="120"/>
      </w:pPr>
      <w:r>
        <w:rPr>
          <w:rFonts w:ascii="Calibri" w:cs="Calibri" w:eastAsia="Calibri" w:hAnsi="Calibri"/>
        </w:rPr>
        <w:t xml:space="preserve">Smart Conseils Mali ouvre des formations de façon ponctuelle et ne dispose pas de service communication. Les pages Facebook et X existent depuis juillet 2026 mais restent peu alimentées ; la page LinkedIn est à créer ; le site web est à construire (le nom de domaine existe). Cette proposition permet de confier la communication digitale à un prestataire unique, à coût maîtrisé.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2. Réseaux sociaux : deux formules mensuelles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170"/>
        <w:gridCol w:w="3170"/>
      </w:tblGrid>
      <w:tr>
        <w:trPr>
          <w:tblHeader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Prestation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Formule BASIC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Formule STANDARD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Tarif mensuel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25 000 FCFA / mois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40 000 FCFA / mois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Réseaux gérés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Facebook, LinkedIn, X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Facebook, LinkedIn, X + Instagram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Création de la page LinkedIn et mise à niveau des profils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Incluse (une fois)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Incluse (une fois)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Calendrier éditorial mensuel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Oui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Oui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Publications par mois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 (2 par semaine)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 à 16 (3 à 4 par semaine)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Visuels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Modèles simples aux couleurs de la marque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Visuels personnalisés selon la charte, carrousels, infographies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Quiz et interactions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par mois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par mois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Publication « retour de formation »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Selon les photos fournies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Sous 48 h après chaque formation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Boost des publications (publicité payante)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 inclus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Paramétrage et suivi de 2 campagnes par mois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Réponses aux messages et commentaires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 incluses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Incluses (jours ouvrés, sous 24 h)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Mises à jour du site (offres de formation)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 par mois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 par mois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Rapport de résultats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Synthèse mensuelle d’une page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F2F2F2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Rapport détaillé + point de 30 min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Soutien en cas de formation (affiches, annonces)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Hors forfait, sur devis</w:t>
            </w:r>
          </w:p>
        </w:tc>
        <w:tc>
          <w:tcPr>
            <w:tcW w:type="dxa" w:w="317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Inclus dans la limite de 2 par mois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Budget publicitaire : </w:t>
      </w:r>
      <w:r>
        <w:rPr>
          <w:rFonts w:ascii="Calibri" w:cs="Calibri" w:eastAsia="Calibri" w:hAnsi="Calibri"/>
        </w:rPr>
        <w:t xml:space="preserve">les sommes dépensées pour le boost (Meta, LinkedIn) sont payées directement par Smart Conseils Mali et ne sont pas comprises dans les tarifs ci-dessus.</w:t>
      </w:r>
    </w:p>
    <w:p>
      <w:pPr>
        <w:spacing w:after="120"/>
      </w:pPr>
      <w:r>
        <w:rPr>
          <w:rFonts w:ascii="Calibri" w:cs="Calibri" w:eastAsia="Calibri" w:hAnsi="Calibri"/>
          <w:b/>
          <w:bCs/>
        </w:rPr>
        <w:t xml:space="preserve">Coût annuel : </w:t>
      </w:r>
      <w:r>
        <w:rPr>
          <w:rFonts w:ascii="Calibri" w:cs="Calibri" w:eastAsia="Calibri" w:hAnsi="Calibri"/>
        </w:rPr>
        <w:t xml:space="preserve">Basic 300 000 FCFA, Standard 480 000 FCFA.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3. Création du site web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638"/>
      </w:tblGrid>
      <w:tr>
        <w:trPr>
          <w:tblHeader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Tarif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150 000 FCFA (paiement unique)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Délai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 jours ouvrables après réception des contenus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Pages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Accueil, À propos, Formations (catalogue et offres ouvertes), Réalisations, Actualités, Contact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Gestion des offres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Espace simple pour ajouter, modifier ou retirer une formation sans compétence technique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Inscription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Formulaire de demande d’inscription / d’information, avec envoi par mail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Compatibilité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Ordinateur, tablette et téléphone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Référencement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Bases de référencement naturel, liens vers les réseaux sociaux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Corrections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Deux séries de corrections incluses avant la mise en ligne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Mises à jour après livraison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Comprises dans la formule mensuelle choisie, dans les limites du tableau ci-dessus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Non compris</w:t>
            </w:r>
          </w:p>
        </w:tc>
        <w:tc>
          <w:tcPr>
            <w:tcW w:type="dxa" w:w="5638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Hébergement et nom de domaine (domaine déjà acquis chez LWS, hébergement à vérifier), rédaction de gros volumes de contenu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4. Récapitulatif financier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2620"/>
        <w:gridCol w:w="2620"/>
      </w:tblGrid>
      <w:tr>
        <w:trPr>
          <w:tblHeader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Poste</w:t>
            </w:r>
          </w:p>
        </w:tc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BASIC</w:t>
            </w:r>
          </w:p>
        </w:tc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STANDARD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Création du site (une fois)</w:t>
            </w:r>
          </w:p>
        </w:tc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150 000 FCFA</w:t>
            </w:r>
          </w:p>
        </w:tc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150 000 FCFA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Abonnement mensuel</w:t>
            </w:r>
          </w:p>
        </w:tc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25 000 FCFA</w:t>
            </w:r>
          </w:p>
        </w:tc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40 000 FCFA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du premier mois (site + abonnement)</w:t>
            </w:r>
          </w:p>
        </w:tc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175 000 FCFA</w:t>
            </w:r>
          </w:p>
        </w:tc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190 000 FCFA</w:t>
            </w:r>
          </w:p>
        </w:tc>
      </w:tr>
      <w:tr>
        <w:trPr>
          <w:cantSplit/>
        </w:trPr>
        <w:tc>
          <w:tcPr>
            <w:tcW w:type="dxa" w:w="4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Total sur 3 mois (période d’engagement)</w:t>
            </w:r>
          </w:p>
        </w:tc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225 000 FCFA</w:t>
            </w:r>
          </w:p>
        </w:tc>
        <w:tc>
          <w:tcPr>
            <w:tcW w:type="dxa" w:w="262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270 000 FCFA</w:t>
            </w:r>
          </w:p>
        </w:tc>
      </w:tr>
    </w:tbl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5. 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Paiement : </w:t>
      </w:r>
      <w:r>
        <w:rPr>
          <w:rFonts w:ascii="Calibri" w:cs="Calibri" w:eastAsia="Calibri" w:hAnsi="Calibri"/>
        </w:rPr>
        <w:t xml:space="preserve">abonnement réglé en début de mois, au plus tard le 5. Site : 50 % à la commande, 50 % à la livraison.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Engagement : </w:t>
      </w:r>
      <w:r>
        <w:rPr>
          <w:rFonts w:ascii="Calibri" w:cs="Calibri" w:eastAsia="Calibri" w:hAnsi="Calibri"/>
        </w:rPr>
        <w:t xml:space="preserve">3 mois pour démarrer, puis reconduction mensuelle avec un préavis de 15 jours.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Évolution de formule : </w:t>
      </w:r>
      <w:r>
        <w:rPr>
          <w:rFonts w:ascii="Calibri" w:cs="Calibri" w:eastAsia="Calibri" w:hAnsi="Calibri"/>
        </w:rPr>
        <w:t xml:space="preserve">passage de Basic à Standard possible à tout moment, à partir du mois suivant.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Éléments à fournir : </w:t>
      </w:r>
      <w:r>
        <w:rPr>
          <w:rFonts w:ascii="Calibri" w:cs="Calibri" w:eastAsia="Calibri" w:hAnsi="Calibri"/>
        </w:rPr>
        <w:t xml:space="preserve">logo, charte graphique, documents d’offre, photos, accès administrateur aux comptes.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Accès : </w:t>
      </w:r>
      <w:r>
        <w:rPr>
          <w:rFonts w:ascii="Calibri" w:cs="Calibri" w:eastAsia="Calibri" w:hAnsi="Calibri"/>
        </w:rPr>
        <w:t xml:space="preserve">accès par invitation administrateur (Meta Business Suite, LinkedIn) plutôt que par partage de mot de passe.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Propriété : </w:t>
      </w:r>
      <w:r>
        <w:rPr>
          <w:rFonts w:ascii="Calibri" w:cs="Calibri" w:eastAsia="Calibri" w:hAnsi="Calibri"/>
        </w:rPr>
        <w:t xml:space="preserve">les comptes, le site et les contenus restent la propriété de Smart Conseils Mali.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</w:rPr>
        <w:t xml:space="preserve">Validation : </w:t>
      </w:r>
      <w:r>
        <w:rPr>
          <w:rFonts w:ascii="Calibri" w:cs="Calibri" w:eastAsia="Calibri" w:hAnsi="Calibri"/>
        </w:rPr>
        <w:t xml:space="preserve">le programme de la semaine suivante est soumis à validation avant publication.</w:t>
      </w:r>
    </w:p>
    <w:p>
      <w:pPr>
        <w:pStyle w:val="Heading1"/>
        <w:spacing w:after="140" w:before="28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6. Acceptation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Pour Smart Conseils Mali</w:t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1F4E79" w:color="auto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 prestataire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Nom 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Formule choisie :  ☐ Basic   ☐ Standard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 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Signature 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/>
            </w:r>
          </w:p>
        </w:tc>
        <w:tc>
          <w:tcPr>
            <w:tcW w:type="dxa" w:w="4819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Mohamede PANKOLO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Date 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Signature :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6"/>
        <w:szCs w:val="16"/>
      </w:rPr>
      <w:t xml:space="preserve">Smart Conseils Mali – document de travail – page </w:t>
    </w:r>
    <w:r>
      <w:rPr>
        <w:rFonts w:ascii="Calibri" w:cs="Calibri" w:eastAsia="Calibri" w:hAnsi="Calibri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2026-10-07T15:23:07.840Z</dcterms:created>
  <dcterms:modified xsi:type="dcterms:W3CDTF">2026-10-07T15:23:07.840Z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